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0443F" w14:textId="77777777" w:rsidR="00BF4464" w:rsidRDefault="00BF4464">
      <w:pPr>
        <w:jc w:val="center"/>
        <w:rPr>
          <w:rFonts w:ascii="Arial" w:hAnsi="Arial" w:cs="Arial"/>
          <w:b/>
          <w:sz w:val="24"/>
          <w:u w:val="single"/>
        </w:rPr>
      </w:pPr>
      <w:bookmarkStart w:id="0" w:name="_GoBack"/>
      <w:bookmarkEnd w:id="0"/>
    </w:p>
    <w:p w14:paraId="4B870325" w14:textId="77777777" w:rsidR="00BF4464" w:rsidRPr="00F62DE9" w:rsidRDefault="00BF4464">
      <w:pPr>
        <w:jc w:val="center"/>
        <w:rPr>
          <w:rFonts w:ascii="Arial" w:hAnsi="Arial" w:cs="Arial"/>
          <w:b/>
          <w:sz w:val="24"/>
          <w:u w:val="single"/>
        </w:rPr>
      </w:pPr>
    </w:p>
    <w:p w14:paraId="15908F9D" w14:textId="77777777" w:rsidR="00BF4464" w:rsidRPr="00F62DE9" w:rsidRDefault="00BF4464">
      <w:pPr>
        <w:jc w:val="center"/>
        <w:rPr>
          <w:rFonts w:ascii="Arial" w:hAnsi="Arial" w:cs="Arial"/>
          <w:b/>
          <w:sz w:val="24"/>
          <w:u w:val="single"/>
        </w:rPr>
      </w:pPr>
    </w:p>
    <w:p w14:paraId="65E24676" w14:textId="77777777" w:rsidR="00BF4464" w:rsidRPr="00F62DE9" w:rsidRDefault="00BF4464">
      <w:pPr>
        <w:jc w:val="center"/>
        <w:rPr>
          <w:rFonts w:ascii="Arial" w:hAnsi="Arial" w:cs="Arial"/>
          <w:b/>
          <w:sz w:val="24"/>
          <w:u w:val="single"/>
        </w:rPr>
      </w:pPr>
    </w:p>
    <w:p w14:paraId="34B60132" w14:textId="77777777" w:rsidR="00BF4464" w:rsidRPr="00F62DE9" w:rsidRDefault="00BF4464">
      <w:pPr>
        <w:jc w:val="center"/>
        <w:rPr>
          <w:rFonts w:ascii="Arial" w:hAnsi="Arial" w:cs="Arial"/>
          <w:sz w:val="24"/>
        </w:rPr>
      </w:pPr>
    </w:p>
    <w:p w14:paraId="4558BD52" w14:textId="77777777" w:rsidR="00BF4464" w:rsidRPr="00F62DE9" w:rsidRDefault="00BF4464">
      <w:pPr>
        <w:jc w:val="center"/>
        <w:rPr>
          <w:rFonts w:ascii="Arial" w:hAnsi="Arial" w:cs="Arial"/>
          <w:sz w:val="24"/>
        </w:rPr>
      </w:pPr>
    </w:p>
    <w:p w14:paraId="7863CAAD" w14:textId="77777777" w:rsidR="00BF4464" w:rsidRDefault="00BF4464">
      <w:pPr>
        <w:jc w:val="center"/>
        <w:rPr>
          <w:rFonts w:ascii="Arial" w:hAnsi="Arial" w:cs="Arial"/>
          <w:color w:val="0000FF"/>
          <w:sz w:val="24"/>
        </w:rPr>
      </w:pPr>
    </w:p>
    <w:p w14:paraId="27635186" w14:textId="77777777" w:rsidR="00BF4464" w:rsidRDefault="00BF4464">
      <w:pPr>
        <w:jc w:val="center"/>
        <w:rPr>
          <w:rFonts w:ascii="Arial" w:hAnsi="Arial" w:cs="Arial"/>
          <w:color w:val="0000FF"/>
          <w:sz w:val="24"/>
        </w:rPr>
      </w:pPr>
    </w:p>
    <w:p w14:paraId="283B5321" w14:textId="77777777" w:rsidR="00BF4464" w:rsidRDefault="00BF4464">
      <w:pPr>
        <w:jc w:val="center"/>
        <w:rPr>
          <w:rFonts w:ascii="Arial" w:hAnsi="Arial" w:cs="Arial"/>
          <w:color w:val="0000FF"/>
          <w:sz w:val="24"/>
        </w:rPr>
      </w:pPr>
    </w:p>
    <w:p w14:paraId="06F0DD7A" w14:textId="77777777" w:rsidR="00BF4464" w:rsidRDefault="00BF4464">
      <w:pPr>
        <w:jc w:val="center"/>
        <w:rPr>
          <w:rFonts w:ascii="Arial" w:hAnsi="Arial" w:cs="Arial"/>
          <w:color w:val="0000FF"/>
          <w:sz w:val="24"/>
        </w:rPr>
      </w:pPr>
    </w:p>
    <w:p w14:paraId="616D458B" w14:textId="77777777" w:rsidR="002C5DAC" w:rsidRDefault="002C5DAC">
      <w:pPr>
        <w:jc w:val="center"/>
        <w:rPr>
          <w:rFonts w:ascii="Arial" w:hAnsi="Arial" w:cs="Arial"/>
          <w:color w:val="0000FF"/>
          <w:sz w:val="24"/>
        </w:rPr>
      </w:pPr>
    </w:p>
    <w:p w14:paraId="3811D67D" w14:textId="77777777" w:rsidR="002C5DAC" w:rsidRPr="00F62DE9" w:rsidRDefault="002C5DAC">
      <w:pPr>
        <w:jc w:val="center"/>
        <w:rPr>
          <w:rFonts w:ascii="Arial" w:hAnsi="Arial" w:cs="Arial"/>
          <w:color w:val="0000FF"/>
          <w:sz w:val="24"/>
        </w:rPr>
      </w:pPr>
    </w:p>
    <w:p w14:paraId="1F5E4FF4" w14:textId="77777777" w:rsidR="00BF4464" w:rsidRPr="00F62DE9" w:rsidRDefault="00BF4464">
      <w:pPr>
        <w:jc w:val="center"/>
        <w:rPr>
          <w:rFonts w:ascii="Arial" w:hAnsi="Arial" w:cs="Arial"/>
          <w:color w:val="0000FF"/>
          <w:sz w:val="24"/>
        </w:rPr>
      </w:pPr>
    </w:p>
    <w:p w14:paraId="002E159E" w14:textId="77777777" w:rsidR="00BF4464" w:rsidRDefault="00BF4464">
      <w:pPr>
        <w:jc w:val="center"/>
        <w:rPr>
          <w:rFonts w:ascii="Arial" w:hAnsi="Arial" w:cs="Arial"/>
          <w:b/>
          <w:sz w:val="40"/>
          <w:szCs w:val="40"/>
        </w:rPr>
      </w:pPr>
      <w:bookmarkStart w:id="1" w:name="OLE_LINK1"/>
    </w:p>
    <w:p w14:paraId="02FFF6F0" w14:textId="77777777" w:rsidR="00BF4464" w:rsidRPr="009B7411" w:rsidRDefault="00AC5203" w:rsidP="00246340">
      <w:pPr>
        <w:pBdr>
          <w:bottom w:val="single" w:sz="12" w:space="1" w:color="000080"/>
        </w:pBdr>
        <w:rPr>
          <w:rFonts w:ascii="Arial" w:hAnsi="Arial" w:cs="Arial"/>
          <w:b/>
          <w:sz w:val="32"/>
          <w:szCs w:val="32"/>
        </w:rPr>
      </w:pPr>
      <w:r>
        <w:rPr>
          <w:rFonts w:ascii="Arial" w:hAnsi="Arial" w:cs="Arial"/>
          <w:b/>
          <w:sz w:val="32"/>
          <w:szCs w:val="32"/>
        </w:rPr>
        <w:t>Trade, Facilitation and Financing:</w:t>
      </w:r>
    </w:p>
    <w:p w14:paraId="30B112EE" w14:textId="77777777" w:rsidR="005C3C86" w:rsidRDefault="00AC5203" w:rsidP="00797633">
      <w:pPr>
        <w:autoSpaceDE w:val="0"/>
        <w:autoSpaceDN w:val="0"/>
        <w:adjustRightInd w:val="0"/>
        <w:snapToGrid w:val="0"/>
        <w:rPr>
          <w:rFonts w:ascii="Arial" w:hAnsi="Arial" w:cs="Arial"/>
          <w:color w:val="000000"/>
          <w:sz w:val="28"/>
          <w:szCs w:val="28"/>
        </w:rPr>
      </w:pPr>
      <w:r>
        <w:rPr>
          <w:rFonts w:ascii="Arial" w:hAnsi="Arial" w:cs="Arial"/>
          <w:color w:val="000000"/>
          <w:sz w:val="28"/>
          <w:szCs w:val="28"/>
        </w:rPr>
        <w:t>Building New Bridges in Trade-Based Development</w:t>
      </w:r>
    </w:p>
    <w:p w14:paraId="14301017" w14:textId="77777777" w:rsidR="00136547" w:rsidRDefault="00136547" w:rsidP="00797633">
      <w:pPr>
        <w:autoSpaceDE w:val="0"/>
        <w:autoSpaceDN w:val="0"/>
        <w:adjustRightInd w:val="0"/>
        <w:snapToGrid w:val="0"/>
        <w:rPr>
          <w:rFonts w:ascii="Arial" w:hAnsi="Arial" w:cs="Arial"/>
          <w:color w:val="000000"/>
          <w:sz w:val="28"/>
          <w:szCs w:val="28"/>
        </w:rPr>
      </w:pPr>
    </w:p>
    <w:p w14:paraId="12E5FB91" w14:textId="77777777" w:rsidR="00136547" w:rsidRPr="009B7411" w:rsidRDefault="00136547" w:rsidP="00797633">
      <w:pPr>
        <w:autoSpaceDE w:val="0"/>
        <w:autoSpaceDN w:val="0"/>
        <w:adjustRightInd w:val="0"/>
        <w:snapToGrid w:val="0"/>
        <w:rPr>
          <w:rFonts w:ascii="Arial" w:hAnsi="Arial" w:cs="Arial"/>
          <w:b/>
          <w:color w:val="000000"/>
          <w:sz w:val="28"/>
          <w:szCs w:val="28"/>
        </w:rPr>
      </w:pPr>
    </w:p>
    <w:p w14:paraId="1BF0A429" w14:textId="77777777" w:rsidR="00D27A35" w:rsidRDefault="00D27A35" w:rsidP="00F51E9A">
      <w:pPr>
        <w:jc w:val="center"/>
        <w:rPr>
          <w:rFonts w:ascii="Arial" w:hAnsi="Arial" w:cs="Arial"/>
          <w:sz w:val="28"/>
          <w:szCs w:val="28"/>
          <w:u w:val="single"/>
        </w:rPr>
      </w:pPr>
      <w:r>
        <w:rPr>
          <w:rFonts w:ascii="Arial" w:hAnsi="Arial" w:cs="Arial"/>
          <w:sz w:val="28"/>
          <w:szCs w:val="28"/>
          <w:u w:val="single"/>
        </w:rPr>
        <w:t xml:space="preserve">Version </w:t>
      </w:r>
      <w:r w:rsidR="0042272E">
        <w:rPr>
          <w:rFonts w:ascii="Arial" w:hAnsi="Arial" w:cs="Arial"/>
          <w:sz w:val="28"/>
          <w:szCs w:val="28"/>
          <w:u w:val="single"/>
        </w:rPr>
        <w:t>5</w:t>
      </w:r>
      <w:r w:rsidR="00236ED1">
        <w:rPr>
          <w:rFonts w:ascii="Arial" w:hAnsi="Arial" w:cs="Arial"/>
          <w:sz w:val="28"/>
          <w:szCs w:val="28"/>
          <w:u w:val="single"/>
        </w:rPr>
        <w:t>.0</w:t>
      </w:r>
    </w:p>
    <w:p w14:paraId="79D676BF" w14:textId="77777777" w:rsidR="00D27A35" w:rsidRDefault="00D27A35" w:rsidP="00F51E9A">
      <w:pPr>
        <w:jc w:val="center"/>
        <w:rPr>
          <w:rFonts w:ascii="Arial" w:hAnsi="Arial" w:cs="Arial"/>
          <w:sz w:val="28"/>
          <w:szCs w:val="28"/>
          <w:u w:val="single"/>
        </w:rPr>
      </w:pPr>
    </w:p>
    <w:p w14:paraId="33966846" w14:textId="77777777" w:rsidR="00BF4464" w:rsidRDefault="00F51E9A" w:rsidP="00AC5203">
      <w:pPr>
        <w:jc w:val="center"/>
        <w:rPr>
          <w:rFonts w:ascii="Arial" w:hAnsi="Arial" w:cs="Arial"/>
          <w:sz w:val="28"/>
          <w:szCs w:val="28"/>
        </w:rPr>
      </w:pPr>
      <w:r w:rsidRPr="00F51E9A">
        <w:rPr>
          <w:rFonts w:ascii="Arial" w:hAnsi="Arial" w:cs="Arial"/>
          <w:sz w:val="28"/>
          <w:szCs w:val="28"/>
          <w:u w:val="single"/>
        </w:rPr>
        <w:t>DRAFT</w:t>
      </w:r>
    </w:p>
    <w:p w14:paraId="2C2B106F" w14:textId="77777777" w:rsidR="005C3C86" w:rsidRDefault="005C3C86" w:rsidP="005C3C86">
      <w:pPr>
        <w:tabs>
          <w:tab w:val="left" w:pos="2130"/>
        </w:tabs>
        <w:jc w:val="right"/>
        <w:rPr>
          <w:rFonts w:ascii="Arial" w:hAnsi="Arial" w:cs="Arial"/>
          <w:sz w:val="28"/>
          <w:szCs w:val="28"/>
        </w:rPr>
      </w:pPr>
    </w:p>
    <w:p w14:paraId="0B224559" w14:textId="77777777" w:rsidR="00BF4464" w:rsidRDefault="00BF4464" w:rsidP="00F30AA3">
      <w:pPr>
        <w:rPr>
          <w:rFonts w:ascii="Arial" w:hAnsi="Arial" w:cs="Arial"/>
          <w:sz w:val="28"/>
          <w:szCs w:val="28"/>
        </w:rPr>
      </w:pPr>
    </w:p>
    <w:p w14:paraId="3CCB24B3" w14:textId="77777777" w:rsidR="00BF4464" w:rsidRPr="008D27BE" w:rsidRDefault="00BF4464" w:rsidP="008D27BE">
      <w:pPr>
        <w:ind w:left="2880"/>
        <w:rPr>
          <w:rFonts w:ascii="Arial" w:hAnsi="Arial" w:cs="Arial"/>
          <w:sz w:val="28"/>
          <w:szCs w:val="28"/>
        </w:rPr>
      </w:pPr>
    </w:p>
    <w:bookmarkEnd w:id="1"/>
    <w:p w14:paraId="584BB7CD" w14:textId="77777777" w:rsidR="005C3C86" w:rsidRDefault="005C3C86" w:rsidP="009B7411">
      <w:pPr>
        <w:rPr>
          <w:rFonts w:ascii="Arial" w:hAnsi="Arial" w:cs="Arial"/>
          <w:color w:val="000000"/>
          <w:sz w:val="24"/>
        </w:rPr>
      </w:pPr>
    </w:p>
    <w:p w14:paraId="6BD705F7" w14:textId="77777777" w:rsidR="002C5DAC" w:rsidRDefault="002C5DAC" w:rsidP="009B7411">
      <w:pPr>
        <w:rPr>
          <w:rFonts w:ascii="Arial" w:hAnsi="Arial" w:cs="Arial"/>
          <w:color w:val="000000"/>
          <w:sz w:val="24"/>
        </w:rPr>
      </w:pPr>
    </w:p>
    <w:p w14:paraId="330CD469" w14:textId="77777777" w:rsidR="002C5DAC" w:rsidRDefault="002C5DAC" w:rsidP="009B7411">
      <w:pPr>
        <w:rPr>
          <w:rFonts w:ascii="Arial" w:hAnsi="Arial" w:cs="Arial"/>
          <w:color w:val="000000"/>
          <w:sz w:val="24"/>
        </w:rPr>
      </w:pPr>
    </w:p>
    <w:p w14:paraId="0E3D8768" w14:textId="77777777" w:rsidR="002C5DAC" w:rsidRDefault="002C5DAC" w:rsidP="009B7411">
      <w:pPr>
        <w:rPr>
          <w:rFonts w:ascii="Arial" w:hAnsi="Arial" w:cs="Arial"/>
          <w:color w:val="000000"/>
          <w:sz w:val="24"/>
        </w:rPr>
      </w:pPr>
    </w:p>
    <w:p w14:paraId="69804A4A" w14:textId="77777777" w:rsidR="00BF4464" w:rsidRDefault="00BF4464" w:rsidP="005C3C86">
      <w:pPr>
        <w:jc w:val="right"/>
        <w:rPr>
          <w:rFonts w:ascii="Arial" w:hAnsi="Arial" w:cs="Arial"/>
          <w:b/>
          <w:color w:val="000000"/>
          <w:sz w:val="24"/>
          <w:u w:val="single"/>
        </w:rPr>
      </w:pPr>
      <w:r>
        <w:rPr>
          <w:rFonts w:ascii="Arial" w:hAnsi="Arial" w:cs="Arial"/>
          <w:b/>
          <w:color w:val="000000"/>
          <w:sz w:val="24"/>
          <w:u w:val="single"/>
        </w:rPr>
        <w:br w:type="page"/>
      </w:r>
    </w:p>
    <w:p w14:paraId="79AEEAD8" w14:textId="77777777" w:rsidR="00BF4464" w:rsidRDefault="00BF4464" w:rsidP="00424B78">
      <w:pPr>
        <w:rPr>
          <w:rFonts w:ascii="Arial" w:hAnsi="Arial" w:cs="Arial"/>
          <w:color w:val="000000"/>
          <w:sz w:val="24"/>
        </w:rPr>
      </w:pPr>
    </w:p>
    <w:p w14:paraId="46746B3C" w14:textId="77777777" w:rsidR="00BF4464" w:rsidRPr="003A7C73" w:rsidRDefault="00BF4464" w:rsidP="00F62AF8">
      <w:pPr>
        <w:jc w:val="center"/>
        <w:rPr>
          <w:rFonts w:ascii="Arial" w:hAnsi="Arial" w:cs="Arial"/>
          <w:b/>
          <w:color w:val="000000"/>
          <w:sz w:val="24"/>
          <w:szCs w:val="24"/>
          <w:u w:val="single"/>
        </w:rPr>
      </w:pPr>
      <w:r w:rsidRPr="003A7C73">
        <w:rPr>
          <w:rFonts w:ascii="Arial" w:hAnsi="Arial" w:cs="Arial"/>
          <w:b/>
          <w:color w:val="000000"/>
          <w:sz w:val="24"/>
          <w:szCs w:val="24"/>
          <w:u w:val="single"/>
        </w:rPr>
        <w:t>Table of Contents</w:t>
      </w:r>
    </w:p>
    <w:p w14:paraId="7B42C5EB" w14:textId="77777777" w:rsidR="00BF4464" w:rsidRPr="003A7C73" w:rsidRDefault="00BF4464">
      <w:pPr>
        <w:jc w:val="center"/>
        <w:rPr>
          <w:rFonts w:ascii="Arial" w:hAnsi="Arial" w:cs="Arial"/>
          <w:color w:val="0000FF"/>
          <w:sz w:val="22"/>
          <w:szCs w:val="22"/>
        </w:rPr>
      </w:pPr>
    </w:p>
    <w:p w14:paraId="4BAFC281" w14:textId="77777777" w:rsidR="00BF4464" w:rsidRPr="003A7C73" w:rsidRDefault="00BF4464">
      <w:pPr>
        <w:jc w:val="center"/>
        <w:rPr>
          <w:rFonts w:ascii="Arial" w:hAnsi="Arial" w:cs="Arial"/>
          <w:color w:val="0000FF"/>
          <w:sz w:val="22"/>
          <w:szCs w:val="22"/>
        </w:rPr>
      </w:pPr>
    </w:p>
    <w:sdt>
      <w:sdtPr>
        <w:rPr>
          <w:rFonts w:ascii="Times New Roman" w:eastAsia="Times New Roman" w:hAnsi="Times New Roman" w:cs="Times New Roman"/>
          <w:color w:val="auto"/>
          <w:sz w:val="20"/>
          <w:szCs w:val="20"/>
          <w:lang w:eastAsia="en-CA"/>
        </w:rPr>
        <w:id w:val="2070992543"/>
        <w:docPartObj>
          <w:docPartGallery w:val="Table of Contents"/>
          <w:docPartUnique/>
        </w:docPartObj>
      </w:sdtPr>
      <w:sdtEndPr>
        <w:rPr>
          <w:b/>
          <w:bCs/>
          <w:noProof/>
        </w:rPr>
      </w:sdtEndPr>
      <w:sdtContent>
        <w:p w14:paraId="30C5ABB3" w14:textId="77777777" w:rsidR="00AF7EBD" w:rsidRDefault="00AF7EBD">
          <w:pPr>
            <w:pStyle w:val="TOCHeading"/>
          </w:pPr>
          <w:r>
            <w:t>Contents</w:t>
          </w:r>
        </w:p>
        <w:p w14:paraId="2A58CDE4" w14:textId="77777777" w:rsidR="000B6967" w:rsidRDefault="00AF7EBD">
          <w:pPr>
            <w:pStyle w:val="TOC1"/>
            <w:tabs>
              <w:tab w:val="right" w:leader="dot" w:pos="8630"/>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441728559" w:history="1">
            <w:r w:rsidR="000B6967" w:rsidRPr="00990460">
              <w:rPr>
                <w:rStyle w:val="Hyperlink"/>
                <w:noProof/>
              </w:rPr>
              <w:t>EXECUTIVE SUMMARY</w:t>
            </w:r>
            <w:r w:rsidR="000B6967">
              <w:rPr>
                <w:noProof/>
                <w:webHidden/>
              </w:rPr>
              <w:tab/>
            </w:r>
            <w:r w:rsidR="000B6967">
              <w:rPr>
                <w:noProof/>
                <w:webHidden/>
              </w:rPr>
              <w:fldChar w:fldCharType="begin"/>
            </w:r>
            <w:r w:rsidR="000B6967">
              <w:rPr>
                <w:noProof/>
                <w:webHidden/>
              </w:rPr>
              <w:instrText xml:space="preserve"> PAGEREF _Toc441728559 \h </w:instrText>
            </w:r>
            <w:r w:rsidR="000B6967">
              <w:rPr>
                <w:noProof/>
                <w:webHidden/>
              </w:rPr>
            </w:r>
            <w:r w:rsidR="000B6967">
              <w:rPr>
                <w:noProof/>
                <w:webHidden/>
              </w:rPr>
              <w:fldChar w:fldCharType="separate"/>
            </w:r>
            <w:r w:rsidR="000B6967">
              <w:rPr>
                <w:noProof/>
                <w:webHidden/>
              </w:rPr>
              <w:t>4</w:t>
            </w:r>
            <w:r w:rsidR="000B6967">
              <w:rPr>
                <w:noProof/>
                <w:webHidden/>
              </w:rPr>
              <w:fldChar w:fldCharType="end"/>
            </w:r>
          </w:hyperlink>
        </w:p>
        <w:p w14:paraId="2BDF71D4" w14:textId="77777777" w:rsidR="000B6967" w:rsidRDefault="00081BF5">
          <w:pPr>
            <w:pStyle w:val="TOC1"/>
            <w:tabs>
              <w:tab w:val="right" w:leader="dot" w:pos="8630"/>
            </w:tabs>
            <w:rPr>
              <w:rFonts w:asciiTheme="minorHAnsi" w:eastAsiaTheme="minorEastAsia" w:hAnsiTheme="minorHAnsi" w:cstheme="minorBidi"/>
              <w:noProof/>
              <w:sz w:val="22"/>
              <w:szCs w:val="22"/>
              <w:lang w:val="en-GB" w:eastAsia="en-GB"/>
            </w:rPr>
          </w:pPr>
          <w:hyperlink w:anchor="_Toc441728560" w:history="1">
            <w:r w:rsidR="000B6967" w:rsidRPr="00990460">
              <w:rPr>
                <w:rStyle w:val="Hyperlink"/>
                <w:noProof/>
              </w:rPr>
              <w:t>TRADE FINANCE: FOUR ELEMENTS</w:t>
            </w:r>
            <w:r w:rsidR="000B6967">
              <w:rPr>
                <w:noProof/>
                <w:webHidden/>
              </w:rPr>
              <w:tab/>
            </w:r>
            <w:r w:rsidR="000B6967">
              <w:rPr>
                <w:noProof/>
                <w:webHidden/>
              </w:rPr>
              <w:fldChar w:fldCharType="begin"/>
            </w:r>
            <w:r w:rsidR="000B6967">
              <w:rPr>
                <w:noProof/>
                <w:webHidden/>
              </w:rPr>
              <w:instrText xml:space="preserve"> PAGEREF _Toc441728560 \h </w:instrText>
            </w:r>
            <w:r w:rsidR="000B6967">
              <w:rPr>
                <w:noProof/>
                <w:webHidden/>
              </w:rPr>
            </w:r>
            <w:r w:rsidR="000B6967">
              <w:rPr>
                <w:noProof/>
                <w:webHidden/>
              </w:rPr>
              <w:fldChar w:fldCharType="separate"/>
            </w:r>
            <w:r w:rsidR="000B6967">
              <w:rPr>
                <w:noProof/>
                <w:webHidden/>
              </w:rPr>
              <w:t>5</w:t>
            </w:r>
            <w:r w:rsidR="000B6967">
              <w:rPr>
                <w:noProof/>
                <w:webHidden/>
              </w:rPr>
              <w:fldChar w:fldCharType="end"/>
            </w:r>
          </w:hyperlink>
        </w:p>
        <w:p w14:paraId="361EAF3A" w14:textId="77777777" w:rsidR="000B6967" w:rsidRDefault="00081BF5">
          <w:pPr>
            <w:pStyle w:val="TOC2"/>
            <w:tabs>
              <w:tab w:val="right" w:leader="dot" w:pos="8630"/>
            </w:tabs>
            <w:rPr>
              <w:rFonts w:asciiTheme="minorHAnsi" w:eastAsiaTheme="minorEastAsia" w:hAnsiTheme="minorHAnsi" w:cstheme="minorBidi"/>
              <w:noProof/>
              <w:sz w:val="22"/>
              <w:szCs w:val="22"/>
              <w:lang w:val="en-GB" w:eastAsia="en-GB"/>
            </w:rPr>
          </w:pPr>
          <w:hyperlink w:anchor="_Toc441728561" w:history="1">
            <w:r w:rsidR="000B6967" w:rsidRPr="00990460">
              <w:rPr>
                <w:rStyle w:val="Hyperlink"/>
                <w:noProof/>
              </w:rPr>
              <w:t>Overview of Trade Finance</w:t>
            </w:r>
            <w:r w:rsidR="000B6967">
              <w:rPr>
                <w:noProof/>
                <w:webHidden/>
              </w:rPr>
              <w:tab/>
            </w:r>
            <w:r w:rsidR="000B6967">
              <w:rPr>
                <w:noProof/>
                <w:webHidden/>
              </w:rPr>
              <w:fldChar w:fldCharType="begin"/>
            </w:r>
            <w:r w:rsidR="000B6967">
              <w:rPr>
                <w:noProof/>
                <w:webHidden/>
              </w:rPr>
              <w:instrText xml:space="preserve"> PAGEREF _Toc441728561 \h </w:instrText>
            </w:r>
            <w:r w:rsidR="000B6967">
              <w:rPr>
                <w:noProof/>
                <w:webHidden/>
              </w:rPr>
            </w:r>
            <w:r w:rsidR="000B6967">
              <w:rPr>
                <w:noProof/>
                <w:webHidden/>
              </w:rPr>
              <w:fldChar w:fldCharType="separate"/>
            </w:r>
            <w:r w:rsidR="000B6967">
              <w:rPr>
                <w:noProof/>
                <w:webHidden/>
              </w:rPr>
              <w:t>5</w:t>
            </w:r>
            <w:r w:rsidR="000B6967">
              <w:rPr>
                <w:noProof/>
                <w:webHidden/>
              </w:rPr>
              <w:fldChar w:fldCharType="end"/>
            </w:r>
          </w:hyperlink>
        </w:p>
        <w:p w14:paraId="52351C69" w14:textId="77777777" w:rsidR="000B6967" w:rsidRDefault="00081BF5">
          <w:pPr>
            <w:pStyle w:val="TOC2"/>
            <w:tabs>
              <w:tab w:val="left" w:pos="660"/>
              <w:tab w:val="right" w:leader="dot" w:pos="8630"/>
            </w:tabs>
            <w:rPr>
              <w:rFonts w:asciiTheme="minorHAnsi" w:eastAsiaTheme="minorEastAsia" w:hAnsiTheme="minorHAnsi" w:cstheme="minorBidi"/>
              <w:noProof/>
              <w:sz w:val="22"/>
              <w:szCs w:val="22"/>
              <w:lang w:val="en-GB" w:eastAsia="en-GB"/>
            </w:rPr>
          </w:pPr>
          <w:hyperlink w:anchor="_Toc441728562" w:history="1">
            <w:r w:rsidR="000B6967" w:rsidRPr="00990460">
              <w:rPr>
                <w:rStyle w:val="Hyperlink"/>
                <w:noProof/>
              </w:rPr>
              <w:t>1.</w:t>
            </w:r>
            <w:r w:rsidR="000B6967">
              <w:rPr>
                <w:rFonts w:asciiTheme="minorHAnsi" w:eastAsiaTheme="minorEastAsia" w:hAnsiTheme="minorHAnsi" w:cstheme="minorBidi"/>
                <w:noProof/>
                <w:sz w:val="22"/>
                <w:szCs w:val="22"/>
                <w:lang w:val="en-GB" w:eastAsia="en-GB"/>
              </w:rPr>
              <w:tab/>
            </w:r>
            <w:r w:rsidR="000B6967" w:rsidRPr="00990460">
              <w:rPr>
                <w:rStyle w:val="Hyperlink"/>
                <w:noProof/>
              </w:rPr>
              <w:t>Secure &amp; Timely Payment</w:t>
            </w:r>
            <w:r w:rsidR="000B6967">
              <w:rPr>
                <w:noProof/>
                <w:webHidden/>
              </w:rPr>
              <w:tab/>
            </w:r>
            <w:r w:rsidR="000B6967">
              <w:rPr>
                <w:noProof/>
                <w:webHidden/>
              </w:rPr>
              <w:fldChar w:fldCharType="begin"/>
            </w:r>
            <w:r w:rsidR="000B6967">
              <w:rPr>
                <w:noProof/>
                <w:webHidden/>
              </w:rPr>
              <w:instrText xml:space="preserve"> PAGEREF _Toc441728562 \h </w:instrText>
            </w:r>
            <w:r w:rsidR="000B6967">
              <w:rPr>
                <w:noProof/>
                <w:webHidden/>
              </w:rPr>
            </w:r>
            <w:r w:rsidR="000B6967">
              <w:rPr>
                <w:noProof/>
                <w:webHidden/>
              </w:rPr>
              <w:fldChar w:fldCharType="separate"/>
            </w:r>
            <w:r w:rsidR="000B6967">
              <w:rPr>
                <w:noProof/>
                <w:webHidden/>
              </w:rPr>
              <w:t>7</w:t>
            </w:r>
            <w:r w:rsidR="000B6967">
              <w:rPr>
                <w:noProof/>
                <w:webHidden/>
              </w:rPr>
              <w:fldChar w:fldCharType="end"/>
            </w:r>
          </w:hyperlink>
        </w:p>
        <w:p w14:paraId="5A8FC7E7" w14:textId="77777777" w:rsidR="000B6967" w:rsidRDefault="00081BF5">
          <w:pPr>
            <w:pStyle w:val="TOC2"/>
            <w:tabs>
              <w:tab w:val="left" w:pos="660"/>
              <w:tab w:val="right" w:leader="dot" w:pos="8630"/>
            </w:tabs>
            <w:rPr>
              <w:rFonts w:asciiTheme="minorHAnsi" w:eastAsiaTheme="minorEastAsia" w:hAnsiTheme="minorHAnsi" w:cstheme="minorBidi"/>
              <w:noProof/>
              <w:sz w:val="22"/>
              <w:szCs w:val="22"/>
              <w:lang w:val="en-GB" w:eastAsia="en-GB"/>
            </w:rPr>
          </w:pPr>
          <w:hyperlink w:anchor="_Toc441728563" w:history="1">
            <w:r w:rsidR="000B6967" w:rsidRPr="00990460">
              <w:rPr>
                <w:rStyle w:val="Hyperlink"/>
                <w:noProof/>
              </w:rPr>
              <w:t>2.</w:t>
            </w:r>
            <w:r w:rsidR="000B6967">
              <w:rPr>
                <w:rFonts w:asciiTheme="minorHAnsi" w:eastAsiaTheme="minorEastAsia" w:hAnsiTheme="minorHAnsi" w:cstheme="minorBidi"/>
                <w:noProof/>
                <w:sz w:val="22"/>
                <w:szCs w:val="22"/>
                <w:lang w:val="en-GB" w:eastAsia="en-GB"/>
              </w:rPr>
              <w:tab/>
            </w:r>
            <w:r w:rsidR="000B6967" w:rsidRPr="00990460">
              <w:rPr>
                <w:rStyle w:val="Hyperlink"/>
                <w:noProof/>
              </w:rPr>
              <w:t>Risk Mitigation</w:t>
            </w:r>
            <w:r w:rsidR="000B6967">
              <w:rPr>
                <w:noProof/>
                <w:webHidden/>
              </w:rPr>
              <w:tab/>
            </w:r>
            <w:r w:rsidR="000B6967">
              <w:rPr>
                <w:noProof/>
                <w:webHidden/>
              </w:rPr>
              <w:fldChar w:fldCharType="begin"/>
            </w:r>
            <w:r w:rsidR="000B6967">
              <w:rPr>
                <w:noProof/>
                <w:webHidden/>
              </w:rPr>
              <w:instrText xml:space="preserve"> PAGEREF _Toc441728563 \h </w:instrText>
            </w:r>
            <w:r w:rsidR="000B6967">
              <w:rPr>
                <w:noProof/>
                <w:webHidden/>
              </w:rPr>
            </w:r>
            <w:r w:rsidR="000B6967">
              <w:rPr>
                <w:noProof/>
                <w:webHidden/>
              </w:rPr>
              <w:fldChar w:fldCharType="separate"/>
            </w:r>
            <w:r w:rsidR="000B6967">
              <w:rPr>
                <w:noProof/>
                <w:webHidden/>
              </w:rPr>
              <w:t>10</w:t>
            </w:r>
            <w:r w:rsidR="000B6967">
              <w:rPr>
                <w:noProof/>
                <w:webHidden/>
              </w:rPr>
              <w:fldChar w:fldCharType="end"/>
            </w:r>
          </w:hyperlink>
        </w:p>
        <w:p w14:paraId="58F4C800" w14:textId="77777777" w:rsidR="000B6967" w:rsidRDefault="00081BF5">
          <w:pPr>
            <w:pStyle w:val="TOC2"/>
            <w:tabs>
              <w:tab w:val="left" w:pos="660"/>
              <w:tab w:val="right" w:leader="dot" w:pos="8630"/>
            </w:tabs>
            <w:rPr>
              <w:rFonts w:asciiTheme="minorHAnsi" w:eastAsiaTheme="minorEastAsia" w:hAnsiTheme="minorHAnsi" w:cstheme="minorBidi"/>
              <w:noProof/>
              <w:sz w:val="22"/>
              <w:szCs w:val="22"/>
              <w:lang w:val="en-GB" w:eastAsia="en-GB"/>
            </w:rPr>
          </w:pPr>
          <w:hyperlink w:anchor="_Toc441728564" w:history="1">
            <w:r w:rsidR="000B6967" w:rsidRPr="00990460">
              <w:rPr>
                <w:rStyle w:val="Hyperlink"/>
                <w:noProof/>
              </w:rPr>
              <w:t>3.</w:t>
            </w:r>
            <w:r w:rsidR="000B6967">
              <w:rPr>
                <w:rFonts w:asciiTheme="minorHAnsi" w:eastAsiaTheme="minorEastAsia" w:hAnsiTheme="minorHAnsi" w:cstheme="minorBidi"/>
                <w:noProof/>
                <w:sz w:val="22"/>
                <w:szCs w:val="22"/>
                <w:lang w:val="en-GB" w:eastAsia="en-GB"/>
              </w:rPr>
              <w:tab/>
            </w:r>
            <w:r w:rsidR="000B6967" w:rsidRPr="00990460">
              <w:rPr>
                <w:rStyle w:val="Hyperlink"/>
                <w:noProof/>
              </w:rPr>
              <w:t>Financing</w:t>
            </w:r>
            <w:r w:rsidR="000B6967">
              <w:rPr>
                <w:noProof/>
                <w:webHidden/>
              </w:rPr>
              <w:tab/>
            </w:r>
            <w:r w:rsidR="000B6967">
              <w:rPr>
                <w:noProof/>
                <w:webHidden/>
              </w:rPr>
              <w:fldChar w:fldCharType="begin"/>
            </w:r>
            <w:r w:rsidR="000B6967">
              <w:rPr>
                <w:noProof/>
                <w:webHidden/>
              </w:rPr>
              <w:instrText xml:space="preserve"> PAGEREF _Toc441728564 \h </w:instrText>
            </w:r>
            <w:r w:rsidR="000B6967">
              <w:rPr>
                <w:noProof/>
                <w:webHidden/>
              </w:rPr>
            </w:r>
            <w:r w:rsidR="000B6967">
              <w:rPr>
                <w:noProof/>
                <w:webHidden/>
              </w:rPr>
              <w:fldChar w:fldCharType="separate"/>
            </w:r>
            <w:r w:rsidR="000B6967">
              <w:rPr>
                <w:noProof/>
                <w:webHidden/>
              </w:rPr>
              <w:t>12</w:t>
            </w:r>
            <w:r w:rsidR="000B6967">
              <w:rPr>
                <w:noProof/>
                <w:webHidden/>
              </w:rPr>
              <w:fldChar w:fldCharType="end"/>
            </w:r>
          </w:hyperlink>
        </w:p>
        <w:p w14:paraId="41A99519" w14:textId="77777777" w:rsidR="000B6967" w:rsidRDefault="00081BF5">
          <w:pPr>
            <w:pStyle w:val="TOC2"/>
            <w:tabs>
              <w:tab w:val="left" w:pos="660"/>
              <w:tab w:val="right" w:leader="dot" w:pos="8630"/>
            </w:tabs>
            <w:rPr>
              <w:rFonts w:asciiTheme="minorHAnsi" w:eastAsiaTheme="minorEastAsia" w:hAnsiTheme="minorHAnsi" w:cstheme="minorBidi"/>
              <w:noProof/>
              <w:sz w:val="22"/>
              <w:szCs w:val="22"/>
              <w:lang w:val="en-GB" w:eastAsia="en-GB"/>
            </w:rPr>
          </w:pPr>
          <w:hyperlink w:anchor="_Toc441728565" w:history="1">
            <w:r w:rsidR="000B6967" w:rsidRPr="00990460">
              <w:rPr>
                <w:rStyle w:val="Hyperlink"/>
                <w:noProof/>
              </w:rPr>
              <w:t>4.</w:t>
            </w:r>
            <w:r w:rsidR="000B6967">
              <w:rPr>
                <w:rFonts w:asciiTheme="minorHAnsi" w:eastAsiaTheme="minorEastAsia" w:hAnsiTheme="minorHAnsi" w:cstheme="minorBidi"/>
                <w:noProof/>
                <w:sz w:val="22"/>
                <w:szCs w:val="22"/>
                <w:lang w:val="en-GB" w:eastAsia="en-GB"/>
              </w:rPr>
              <w:tab/>
            </w:r>
            <w:r w:rsidR="000B6967" w:rsidRPr="00990460">
              <w:rPr>
                <w:rStyle w:val="Hyperlink"/>
                <w:noProof/>
              </w:rPr>
              <w:t>Information Flow</w:t>
            </w:r>
            <w:r w:rsidR="000B6967">
              <w:rPr>
                <w:noProof/>
                <w:webHidden/>
              </w:rPr>
              <w:tab/>
            </w:r>
            <w:r w:rsidR="000B6967">
              <w:rPr>
                <w:noProof/>
                <w:webHidden/>
              </w:rPr>
              <w:fldChar w:fldCharType="begin"/>
            </w:r>
            <w:r w:rsidR="000B6967">
              <w:rPr>
                <w:noProof/>
                <w:webHidden/>
              </w:rPr>
              <w:instrText xml:space="preserve"> PAGEREF _Toc441728565 \h </w:instrText>
            </w:r>
            <w:r w:rsidR="000B6967">
              <w:rPr>
                <w:noProof/>
                <w:webHidden/>
              </w:rPr>
            </w:r>
            <w:r w:rsidR="000B6967">
              <w:rPr>
                <w:noProof/>
                <w:webHidden/>
              </w:rPr>
              <w:fldChar w:fldCharType="separate"/>
            </w:r>
            <w:r w:rsidR="000B6967">
              <w:rPr>
                <w:noProof/>
                <w:webHidden/>
              </w:rPr>
              <w:t>17</w:t>
            </w:r>
            <w:r w:rsidR="000B6967">
              <w:rPr>
                <w:noProof/>
                <w:webHidden/>
              </w:rPr>
              <w:fldChar w:fldCharType="end"/>
            </w:r>
          </w:hyperlink>
        </w:p>
        <w:p w14:paraId="21C9A58B" w14:textId="77777777" w:rsidR="000B6967" w:rsidRDefault="00081BF5">
          <w:pPr>
            <w:pStyle w:val="TOC1"/>
            <w:tabs>
              <w:tab w:val="right" w:leader="dot" w:pos="8630"/>
            </w:tabs>
            <w:rPr>
              <w:rFonts w:asciiTheme="minorHAnsi" w:eastAsiaTheme="minorEastAsia" w:hAnsiTheme="minorHAnsi" w:cstheme="minorBidi"/>
              <w:noProof/>
              <w:sz w:val="22"/>
              <w:szCs w:val="22"/>
              <w:lang w:val="en-GB" w:eastAsia="en-GB"/>
            </w:rPr>
          </w:pPr>
          <w:hyperlink w:anchor="_Toc441728566" w:history="1">
            <w:r w:rsidR="000B6967" w:rsidRPr="00990460">
              <w:rPr>
                <w:rStyle w:val="Hyperlink"/>
                <w:noProof/>
              </w:rPr>
              <w:t>SUPPLY CHAIN FINANCE</w:t>
            </w:r>
            <w:r w:rsidR="000B6967">
              <w:rPr>
                <w:noProof/>
                <w:webHidden/>
              </w:rPr>
              <w:tab/>
            </w:r>
            <w:r w:rsidR="000B6967">
              <w:rPr>
                <w:noProof/>
                <w:webHidden/>
              </w:rPr>
              <w:fldChar w:fldCharType="begin"/>
            </w:r>
            <w:r w:rsidR="000B6967">
              <w:rPr>
                <w:noProof/>
                <w:webHidden/>
              </w:rPr>
              <w:instrText xml:space="preserve"> PAGEREF _Toc441728566 \h </w:instrText>
            </w:r>
            <w:r w:rsidR="000B6967">
              <w:rPr>
                <w:noProof/>
                <w:webHidden/>
              </w:rPr>
            </w:r>
            <w:r w:rsidR="000B6967">
              <w:rPr>
                <w:noProof/>
                <w:webHidden/>
              </w:rPr>
              <w:fldChar w:fldCharType="separate"/>
            </w:r>
            <w:r w:rsidR="000B6967">
              <w:rPr>
                <w:noProof/>
                <w:webHidden/>
              </w:rPr>
              <w:t>19</w:t>
            </w:r>
            <w:r w:rsidR="000B6967">
              <w:rPr>
                <w:noProof/>
                <w:webHidden/>
              </w:rPr>
              <w:fldChar w:fldCharType="end"/>
            </w:r>
          </w:hyperlink>
        </w:p>
        <w:p w14:paraId="4FE08795" w14:textId="77777777" w:rsidR="000B6967" w:rsidRDefault="00081BF5">
          <w:pPr>
            <w:pStyle w:val="TOC1"/>
            <w:tabs>
              <w:tab w:val="right" w:leader="dot" w:pos="8630"/>
            </w:tabs>
            <w:rPr>
              <w:rFonts w:asciiTheme="minorHAnsi" w:eastAsiaTheme="minorEastAsia" w:hAnsiTheme="minorHAnsi" w:cstheme="minorBidi"/>
              <w:noProof/>
              <w:sz w:val="22"/>
              <w:szCs w:val="22"/>
              <w:lang w:val="en-GB" w:eastAsia="en-GB"/>
            </w:rPr>
          </w:pPr>
          <w:hyperlink w:anchor="_Toc441728567" w:history="1">
            <w:r w:rsidR="000B6967" w:rsidRPr="00990460">
              <w:rPr>
                <w:rStyle w:val="Hyperlink"/>
                <w:noProof/>
              </w:rPr>
              <w:t>FINANCING TRADE FACILITATION IN CONTEXT</w:t>
            </w:r>
            <w:r w:rsidR="000B6967">
              <w:rPr>
                <w:noProof/>
                <w:webHidden/>
              </w:rPr>
              <w:tab/>
            </w:r>
            <w:r w:rsidR="000B6967">
              <w:rPr>
                <w:noProof/>
                <w:webHidden/>
              </w:rPr>
              <w:fldChar w:fldCharType="begin"/>
            </w:r>
            <w:r w:rsidR="000B6967">
              <w:rPr>
                <w:noProof/>
                <w:webHidden/>
              </w:rPr>
              <w:instrText xml:space="preserve"> PAGEREF _Toc441728567 \h </w:instrText>
            </w:r>
            <w:r w:rsidR="000B6967">
              <w:rPr>
                <w:noProof/>
                <w:webHidden/>
              </w:rPr>
            </w:r>
            <w:r w:rsidR="000B6967">
              <w:rPr>
                <w:noProof/>
                <w:webHidden/>
              </w:rPr>
              <w:fldChar w:fldCharType="separate"/>
            </w:r>
            <w:r w:rsidR="000B6967">
              <w:rPr>
                <w:noProof/>
                <w:webHidden/>
              </w:rPr>
              <w:t>24</w:t>
            </w:r>
            <w:r w:rsidR="000B6967">
              <w:rPr>
                <w:noProof/>
                <w:webHidden/>
              </w:rPr>
              <w:fldChar w:fldCharType="end"/>
            </w:r>
          </w:hyperlink>
        </w:p>
        <w:p w14:paraId="73BE40E8" w14:textId="77777777" w:rsidR="000B6967" w:rsidRDefault="00081BF5">
          <w:pPr>
            <w:pStyle w:val="TOC2"/>
            <w:tabs>
              <w:tab w:val="right" w:leader="dot" w:pos="8630"/>
            </w:tabs>
            <w:rPr>
              <w:rFonts w:asciiTheme="minorHAnsi" w:eastAsiaTheme="minorEastAsia" w:hAnsiTheme="minorHAnsi" w:cstheme="minorBidi"/>
              <w:noProof/>
              <w:sz w:val="22"/>
              <w:szCs w:val="22"/>
              <w:lang w:val="en-GB" w:eastAsia="en-GB"/>
            </w:rPr>
          </w:pPr>
          <w:hyperlink w:anchor="_Toc441728568" w:history="1">
            <w:r w:rsidR="000B6967" w:rsidRPr="00990460">
              <w:rPr>
                <w:rStyle w:val="Hyperlink"/>
                <w:noProof/>
              </w:rPr>
              <w:t>Trade, Finance and Development</w:t>
            </w:r>
            <w:r w:rsidR="000B6967">
              <w:rPr>
                <w:noProof/>
                <w:webHidden/>
              </w:rPr>
              <w:tab/>
            </w:r>
            <w:r w:rsidR="000B6967">
              <w:rPr>
                <w:noProof/>
                <w:webHidden/>
              </w:rPr>
              <w:fldChar w:fldCharType="begin"/>
            </w:r>
            <w:r w:rsidR="000B6967">
              <w:rPr>
                <w:noProof/>
                <w:webHidden/>
              </w:rPr>
              <w:instrText xml:space="preserve"> PAGEREF _Toc441728568 \h </w:instrText>
            </w:r>
            <w:r w:rsidR="000B6967">
              <w:rPr>
                <w:noProof/>
                <w:webHidden/>
              </w:rPr>
            </w:r>
            <w:r w:rsidR="000B6967">
              <w:rPr>
                <w:noProof/>
                <w:webHidden/>
              </w:rPr>
              <w:fldChar w:fldCharType="separate"/>
            </w:r>
            <w:r w:rsidR="000B6967">
              <w:rPr>
                <w:noProof/>
                <w:webHidden/>
              </w:rPr>
              <w:t>24</w:t>
            </w:r>
            <w:r w:rsidR="000B6967">
              <w:rPr>
                <w:noProof/>
                <w:webHidden/>
              </w:rPr>
              <w:fldChar w:fldCharType="end"/>
            </w:r>
          </w:hyperlink>
        </w:p>
        <w:p w14:paraId="64CD060E" w14:textId="77777777" w:rsidR="000B6967" w:rsidRDefault="00081BF5">
          <w:pPr>
            <w:pStyle w:val="TOC2"/>
            <w:tabs>
              <w:tab w:val="right" w:leader="dot" w:pos="8630"/>
            </w:tabs>
            <w:rPr>
              <w:rFonts w:asciiTheme="minorHAnsi" w:eastAsiaTheme="minorEastAsia" w:hAnsiTheme="minorHAnsi" w:cstheme="minorBidi"/>
              <w:noProof/>
              <w:sz w:val="22"/>
              <w:szCs w:val="22"/>
              <w:lang w:val="en-GB" w:eastAsia="en-GB"/>
            </w:rPr>
          </w:pPr>
          <w:hyperlink w:anchor="_Toc441728569" w:history="1">
            <w:r w:rsidR="000B6967" w:rsidRPr="00990460">
              <w:rPr>
                <w:rStyle w:val="Hyperlink"/>
                <w:noProof/>
              </w:rPr>
              <w:t>Trade and Financing Capacity</w:t>
            </w:r>
            <w:r w:rsidR="000B6967">
              <w:rPr>
                <w:noProof/>
                <w:webHidden/>
              </w:rPr>
              <w:tab/>
            </w:r>
            <w:r w:rsidR="000B6967">
              <w:rPr>
                <w:noProof/>
                <w:webHidden/>
              </w:rPr>
              <w:fldChar w:fldCharType="begin"/>
            </w:r>
            <w:r w:rsidR="000B6967">
              <w:rPr>
                <w:noProof/>
                <w:webHidden/>
              </w:rPr>
              <w:instrText xml:space="preserve"> PAGEREF _Toc441728569 \h </w:instrText>
            </w:r>
            <w:r w:rsidR="000B6967">
              <w:rPr>
                <w:noProof/>
                <w:webHidden/>
              </w:rPr>
            </w:r>
            <w:r w:rsidR="000B6967">
              <w:rPr>
                <w:noProof/>
                <w:webHidden/>
              </w:rPr>
              <w:fldChar w:fldCharType="separate"/>
            </w:r>
            <w:r w:rsidR="000B6967">
              <w:rPr>
                <w:noProof/>
                <w:webHidden/>
              </w:rPr>
              <w:t>26</w:t>
            </w:r>
            <w:r w:rsidR="000B6967">
              <w:rPr>
                <w:noProof/>
                <w:webHidden/>
              </w:rPr>
              <w:fldChar w:fldCharType="end"/>
            </w:r>
          </w:hyperlink>
        </w:p>
        <w:p w14:paraId="286E3801" w14:textId="77777777" w:rsidR="000B6967" w:rsidRDefault="00081BF5">
          <w:pPr>
            <w:pStyle w:val="TOC2"/>
            <w:tabs>
              <w:tab w:val="right" w:leader="dot" w:pos="8630"/>
            </w:tabs>
            <w:rPr>
              <w:rFonts w:asciiTheme="minorHAnsi" w:eastAsiaTheme="minorEastAsia" w:hAnsiTheme="minorHAnsi" w:cstheme="minorBidi"/>
              <w:noProof/>
              <w:sz w:val="22"/>
              <w:szCs w:val="22"/>
              <w:lang w:val="en-GB" w:eastAsia="en-GB"/>
            </w:rPr>
          </w:pPr>
          <w:hyperlink w:anchor="_Toc441728570" w:history="1">
            <w:r w:rsidR="000B6967" w:rsidRPr="00990460">
              <w:rPr>
                <w:rStyle w:val="Hyperlink"/>
                <w:noProof/>
              </w:rPr>
              <w:t>A Real Example: The WTO Trade Facilitation Agreement Facility</w:t>
            </w:r>
            <w:r w:rsidR="000B6967">
              <w:rPr>
                <w:noProof/>
                <w:webHidden/>
              </w:rPr>
              <w:tab/>
            </w:r>
            <w:r w:rsidR="000B6967">
              <w:rPr>
                <w:noProof/>
                <w:webHidden/>
              </w:rPr>
              <w:fldChar w:fldCharType="begin"/>
            </w:r>
            <w:r w:rsidR="000B6967">
              <w:rPr>
                <w:noProof/>
                <w:webHidden/>
              </w:rPr>
              <w:instrText xml:space="preserve"> PAGEREF _Toc441728570 \h </w:instrText>
            </w:r>
            <w:r w:rsidR="000B6967">
              <w:rPr>
                <w:noProof/>
                <w:webHidden/>
              </w:rPr>
            </w:r>
            <w:r w:rsidR="000B6967">
              <w:rPr>
                <w:noProof/>
                <w:webHidden/>
              </w:rPr>
              <w:fldChar w:fldCharType="separate"/>
            </w:r>
            <w:r w:rsidR="000B6967">
              <w:rPr>
                <w:noProof/>
                <w:webHidden/>
              </w:rPr>
              <w:t>28</w:t>
            </w:r>
            <w:r w:rsidR="000B6967">
              <w:rPr>
                <w:noProof/>
                <w:webHidden/>
              </w:rPr>
              <w:fldChar w:fldCharType="end"/>
            </w:r>
          </w:hyperlink>
        </w:p>
        <w:p w14:paraId="27674DF0" w14:textId="77777777" w:rsidR="000B6967" w:rsidRDefault="00081BF5">
          <w:pPr>
            <w:pStyle w:val="TOC2"/>
            <w:tabs>
              <w:tab w:val="right" w:leader="dot" w:pos="8630"/>
            </w:tabs>
            <w:rPr>
              <w:rFonts w:asciiTheme="minorHAnsi" w:eastAsiaTheme="minorEastAsia" w:hAnsiTheme="minorHAnsi" w:cstheme="minorBidi"/>
              <w:noProof/>
              <w:sz w:val="22"/>
              <w:szCs w:val="22"/>
              <w:lang w:val="en-GB" w:eastAsia="en-GB"/>
            </w:rPr>
          </w:pPr>
          <w:hyperlink w:anchor="_Toc441728571" w:history="1">
            <w:r w:rsidR="000B6967" w:rsidRPr="00990460">
              <w:rPr>
                <w:rStyle w:val="Hyperlink"/>
                <w:noProof/>
              </w:rPr>
              <w:t>CONCLUSIONS</w:t>
            </w:r>
            <w:r w:rsidR="000B6967">
              <w:rPr>
                <w:noProof/>
                <w:webHidden/>
              </w:rPr>
              <w:tab/>
            </w:r>
            <w:r w:rsidR="000B6967">
              <w:rPr>
                <w:noProof/>
                <w:webHidden/>
              </w:rPr>
              <w:fldChar w:fldCharType="begin"/>
            </w:r>
            <w:r w:rsidR="000B6967">
              <w:rPr>
                <w:noProof/>
                <w:webHidden/>
              </w:rPr>
              <w:instrText xml:space="preserve"> PAGEREF _Toc441728571 \h </w:instrText>
            </w:r>
            <w:r w:rsidR="000B6967">
              <w:rPr>
                <w:noProof/>
                <w:webHidden/>
              </w:rPr>
            </w:r>
            <w:r w:rsidR="000B6967">
              <w:rPr>
                <w:noProof/>
                <w:webHidden/>
              </w:rPr>
              <w:fldChar w:fldCharType="separate"/>
            </w:r>
            <w:r w:rsidR="000B6967">
              <w:rPr>
                <w:noProof/>
                <w:webHidden/>
              </w:rPr>
              <w:t>30</w:t>
            </w:r>
            <w:r w:rsidR="000B6967">
              <w:rPr>
                <w:noProof/>
                <w:webHidden/>
              </w:rPr>
              <w:fldChar w:fldCharType="end"/>
            </w:r>
          </w:hyperlink>
        </w:p>
        <w:p w14:paraId="4125C648" w14:textId="77777777" w:rsidR="000B6967" w:rsidRDefault="00081BF5">
          <w:pPr>
            <w:pStyle w:val="TOC1"/>
            <w:tabs>
              <w:tab w:val="right" w:leader="dot" w:pos="8630"/>
            </w:tabs>
            <w:rPr>
              <w:rFonts w:asciiTheme="minorHAnsi" w:eastAsiaTheme="minorEastAsia" w:hAnsiTheme="minorHAnsi" w:cstheme="minorBidi"/>
              <w:noProof/>
              <w:sz w:val="22"/>
              <w:szCs w:val="22"/>
              <w:lang w:val="en-GB" w:eastAsia="en-GB"/>
            </w:rPr>
          </w:pPr>
          <w:hyperlink w:anchor="_Toc441728572" w:history="1">
            <w:r w:rsidR="000B6967" w:rsidRPr="00990460">
              <w:rPr>
                <w:rStyle w:val="Hyperlink"/>
                <w:noProof/>
              </w:rPr>
              <w:t>Appendix</w:t>
            </w:r>
            <w:r w:rsidR="000B6967">
              <w:rPr>
                <w:noProof/>
                <w:webHidden/>
              </w:rPr>
              <w:tab/>
            </w:r>
            <w:r w:rsidR="000B6967">
              <w:rPr>
                <w:noProof/>
                <w:webHidden/>
              </w:rPr>
              <w:fldChar w:fldCharType="begin"/>
            </w:r>
            <w:r w:rsidR="000B6967">
              <w:rPr>
                <w:noProof/>
                <w:webHidden/>
              </w:rPr>
              <w:instrText xml:space="preserve"> PAGEREF _Toc441728572 \h </w:instrText>
            </w:r>
            <w:r w:rsidR="000B6967">
              <w:rPr>
                <w:noProof/>
                <w:webHidden/>
              </w:rPr>
            </w:r>
            <w:r w:rsidR="000B6967">
              <w:rPr>
                <w:noProof/>
                <w:webHidden/>
              </w:rPr>
              <w:fldChar w:fldCharType="separate"/>
            </w:r>
            <w:r w:rsidR="000B6967">
              <w:rPr>
                <w:noProof/>
                <w:webHidden/>
              </w:rPr>
              <w:t>31</w:t>
            </w:r>
            <w:r w:rsidR="000B6967">
              <w:rPr>
                <w:noProof/>
                <w:webHidden/>
              </w:rPr>
              <w:fldChar w:fldCharType="end"/>
            </w:r>
          </w:hyperlink>
        </w:p>
        <w:p w14:paraId="613486AE" w14:textId="77777777" w:rsidR="000B6967" w:rsidRDefault="00081BF5">
          <w:pPr>
            <w:pStyle w:val="TOC2"/>
            <w:tabs>
              <w:tab w:val="right" w:leader="dot" w:pos="8630"/>
            </w:tabs>
            <w:rPr>
              <w:rFonts w:asciiTheme="minorHAnsi" w:eastAsiaTheme="minorEastAsia" w:hAnsiTheme="minorHAnsi" w:cstheme="minorBidi"/>
              <w:noProof/>
              <w:sz w:val="22"/>
              <w:szCs w:val="22"/>
              <w:lang w:val="en-GB" w:eastAsia="en-GB"/>
            </w:rPr>
          </w:pPr>
          <w:hyperlink w:anchor="_Toc441728573" w:history="1">
            <w:r w:rsidR="000B6967" w:rsidRPr="00990460">
              <w:rPr>
                <w:rStyle w:val="Hyperlink"/>
                <w:noProof/>
              </w:rPr>
              <w:t>TRADE FINANCE ILLUSTRATED THROUGH THE LETTER OF CREDIT</w:t>
            </w:r>
            <w:r w:rsidR="000B6967">
              <w:rPr>
                <w:noProof/>
                <w:webHidden/>
              </w:rPr>
              <w:tab/>
            </w:r>
            <w:r w:rsidR="000B6967">
              <w:rPr>
                <w:noProof/>
                <w:webHidden/>
              </w:rPr>
              <w:fldChar w:fldCharType="begin"/>
            </w:r>
            <w:r w:rsidR="000B6967">
              <w:rPr>
                <w:noProof/>
                <w:webHidden/>
              </w:rPr>
              <w:instrText xml:space="preserve"> PAGEREF _Toc441728573 \h </w:instrText>
            </w:r>
            <w:r w:rsidR="000B6967">
              <w:rPr>
                <w:noProof/>
                <w:webHidden/>
              </w:rPr>
            </w:r>
            <w:r w:rsidR="000B6967">
              <w:rPr>
                <w:noProof/>
                <w:webHidden/>
              </w:rPr>
              <w:fldChar w:fldCharType="separate"/>
            </w:r>
            <w:r w:rsidR="000B6967">
              <w:rPr>
                <w:noProof/>
                <w:webHidden/>
              </w:rPr>
              <w:t>31</w:t>
            </w:r>
            <w:r w:rsidR="000B6967">
              <w:rPr>
                <w:noProof/>
                <w:webHidden/>
              </w:rPr>
              <w:fldChar w:fldCharType="end"/>
            </w:r>
          </w:hyperlink>
        </w:p>
        <w:p w14:paraId="371FA8D6" w14:textId="77777777" w:rsidR="000B6967" w:rsidRDefault="00081BF5">
          <w:pPr>
            <w:pStyle w:val="TOC2"/>
            <w:tabs>
              <w:tab w:val="right" w:leader="dot" w:pos="8630"/>
            </w:tabs>
            <w:rPr>
              <w:rFonts w:asciiTheme="minorHAnsi" w:eastAsiaTheme="minorEastAsia" w:hAnsiTheme="minorHAnsi" w:cstheme="minorBidi"/>
              <w:noProof/>
              <w:sz w:val="22"/>
              <w:szCs w:val="22"/>
              <w:lang w:val="en-GB" w:eastAsia="en-GB"/>
            </w:rPr>
          </w:pPr>
          <w:hyperlink w:anchor="_Toc441728574" w:history="1">
            <w:r w:rsidR="000B6967" w:rsidRPr="00990460">
              <w:rPr>
                <w:rStyle w:val="Hyperlink"/>
                <w:noProof/>
              </w:rPr>
              <w:t>PAIN POINTS AND CHALLENGES IN FINANCING TRADE</w:t>
            </w:r>
            <w:r w:rsidR="000B6967">
              <w:rPr>
                <w:noProof/>
                <w:webHidden/>
              </w:rPr>
              <w:tab/>
            </w:r>
            <w:r w:rsidR="000B6967">
              <w:rPr>
                <w:noProof/>
                <w:webHidden/>
              </w:rPr>
              <w:fldChar w:fldCharType="begin"/>
            </w:r>
            <w:r w:rsidR="000B6967">
              <w:rPr>
                <w:noProof/>
                <w:webHidden/>
              </w:rPr>
              <w:instrText xml:space="preserve"> PAGEREF _Toc441728574 \h </w:instrText>
            </w:r>
            <w:r w:rsidR="000B6967">
              <w:rPr>
                <w:noProof/>
                <w:webHidden/>
              </w:rPr>
            </w:r>
            <w:r w:rsidR="000B6967">
              <w:rPr>
                <w:noProof/>
                <w:webHidden/>
              </w:rPr>
              <w:fldChar w:fldCharType="separate"/>
            </w:r>
            <w:r w:rsidR="000B6967">
              <w:rPr>
                <w:noProof/>
                <w:webHidden/>
              </w:rPr>
              <w:t>36</w:t>
            </w:r>
            <w:r w:rsidR="000B6967">
              <w:rPr>
                <w:noProof/>
                <w:webHidden/>
              </w:rPr>
              <w:fldChar w:fldCharType="end"/>
            </w:r>
          </w:hyperlink>
        </w:p>
        <w:p w14:paraId="549CFB99" w14:textId="77777777" w:rsidR="000B6967" w:rsidRDefault="00081BF5">
          <w:pPr>
            <w:pStyle w:val="TOC3"/>
            <w:tabs>
              <w:tab w:val="right" w:leader="dot" w:pos="8630"/>
            </w:tabs>
            <w:rPr>
              <w:rFonts w:asciiTheme="minorHAnsi" w:eastAsiaTheme="minorEastAsia" w:hAnsiTheme="minorHAnsi" w:cstheme="minorBidi"/>
              <w:noProof/>
              <w:sz w:val="22"/>
              <w:szCs w:val="22"/>
              <w:lang w:val="en-GB" w:eastAsia="en-GB"/>
            </w:rPr>
          </w:pPr>
          <w:hyperlink w:anchor="_Toc441728575" w:history="1">
            <w:r w:rsidR="000B6967" w:rsidRPr="00990460">
              <w:rPr>
                <w:rStyle w:val="Hyperlink"/>
                <w:noProof/>
                <w:lang w:val="en-CA"/>
              </w:rPr>
              <w:t>Trade Finance is Poorly Understood</w:t>
            </w:r>
            <w:r w:rsidR="000B6967">
              <w:rPr>
                <w:noProof/>
                <w:webHidden/>
              </w:rPr>
              <w:tab/>
            </w:r>
            <w:r w:rsidR="000B6967">
              <w:rPr>
                <w:noProof/>
                <w:webHidden/>
              </w:rPr>
              <w:fldChar w:fldCharType="begin"/>
            </w:r>
            <w:r w:rsidR="000B6967">
              <w:rPr>
                <w:noProof/>
                <w:webHidden/>
              </w:rPr>
              <w:instrText xml:space="preserve"> PAGEREF _Toc441728575 \h </w:instrText>
            </w:r>
            <w:r w:rsidR="000B6967">
              <w:rPr>
                <w:noProof/>
                <w:webHidden/>
              </w:rPr>
            </w:r>
            <w:r w:rsidR="000B6967">
              <w:rPr>
                <w:noProof/>
                <w:webHidden/>
              </w:rPr>
              <w:fldChar w:fldCharType="separate"/>
            </w:r>
            <w:r w:rsidR="000B6967">
              <w:rPr>
                <w:noProof/>
                <w:webHidden/>
              </w:rPr>
              <w:t>37</w:t>
            </w:r>
            <w:r w:rsidR="000B6967">
              <w:rPr>
                <w:noProof/>
                <w:webHidden/>
              </w:rPr>
              <w:fldChar w:fldCharType="end"/>
            </w:r>
          </w:hyperlink>
        </w:p>
        <w:p w14:paraId="256CFEF7" w14:textId="77777777" w:rsidR="000B6967" w:rsidRDefault="00081BF5">
          <w:pPr>
            <w:pStyle w:val="TOC3"/>
            <w:tabs>
              <w:tab w:val="right" w:leader="dot" w:pos="8630"/>
            </w:tabs>
            <w:rPr>
              <w:rFonts w:asciiTheme="minorHAnsi" w:eastAsiaTheme="minorEastAsia" w:hAnsiTheme="minorHAnsi" w:cstheme="minorBidi"/>
              <w:noProof/>
              <w:sz w:val="22"/>
              <w:szCs w:val="22"/>
              <w:lang w:val="en-GB" w:eastAsia="en-GB"/>
            </w:rPr>
          </w:pPr>
          <w:hyperlink w:anchor="_Toc441728576" w:history="1">
            <w:r w:rsidR="000B6967" w:rsidRPr="00990460">
              <w:rPr>
                <w:rStyle w:val="Hyperlink"/>
                <w:noProof/>
                <w:lang w:val="en-CA"/>
              </w:rPr>
              <w:t>Trade Financing is Perceived as High-Risk</w:t>
            </w:r>
            <w:r w:rsidR="000B6967">
              <w:rPr>
                <w:noProof/>
                <w:webHidden/>
              </w:rPr>
              <w:tab/>
            </w:r>
            <w:r w:rsidR="000B6967">
              <w:rPr>
                <w:noProof/>
                <w:webHidden/>
              </w:rPr>
              <w:fldChar w:fldCharType="begin"/>
            </w:r>
            <w:r w:rsidR="000B6967">
              <w:rPr>
                <w:noProof/>
                <w:webHidden/>
              </w:rPr>
              <w:instrText xml:space="preserve"> PAGEREF _Toc441728576 \h </w:instrText>
            </w:r>
            <w:r w:rsidR="000B6967">
              <w:rPr>
                <w:noProof/>
                <w:webHidden/>
              </w:rPr>
            </w:r>
            <w:r w:rsidR="000B6967">
              <w:rPr>
                <w:noProof/>
                <w:webHidden/>
              </w:rPr>
              <w:fldChar w:fldCharType="separate"/>
            </w:r>
            <w:r w:rsidR="000B6967">
              <w:rPr>
                <w:noProof/>
                <w:webHidden/>
              </w:rPr>
              <w:t>37</w:t>
            </w:r>
            <w:r w:rsidR="000B6967">
              <w:rPr>
                <w:noProof/>
                <w:webHidden/>
              </w:rPr>
              <w:fldChar w:fldCharType="end"/>
            </w:r>
          </w:hyperlink>
        </w:p>
        <w:p w14:paraId="617E1029" w14:textId="77777777" w:rsidR="000B6967" w:rsidRDefault="00081BF5">
          <w:pPr>
            <w:pStyle w:val="TOC3"/>
            <w:tabs>
              <w:tab w:val="right" w:leader="dot" w:pos="8630"/>
            </w:tabs>
            <w:rPr>
              <w:rFonts w:asciiTheme="minorHAnsi" w:eastAsiaTheme="minorEastAsia" w:hAnsiTheme="minorHAnsi" w:cstheme="minorBidi"/>
              <w:noProof/>
              <w:sz w:val="22"/>
              <w:szCs w:val="22"/>
              <w:lang w:val="en-GB" w:eastAsia="en-GB"/>
            </w:rPr>
          </w:pPr>
          <w:hyperlink w:anchor="_Toc441728577" w:history="1">
            <w:r w:rsidR="000B6967" w:rsidRPr="00990460">
              <w:rPr>
                <w:rStyle w:val="Hyperlink"/>
                <w:noProof/>
                <w:lang w:val="en-CA"/>
              </w:rPr>
              <w:t>Traditional Trade Finance is Paper and Process Intensive</w:t>
            </w:r>
            <w:r w:rsidR="000B6967">
              <w:rPr>
                <w:noProof/>
                <w:webHidden/>
              </w:rPr>
              <w:tab/>
            </w:r>
            <w:r w:rsidR="000B6967">
              <w:rPr>
                <w:noProof/>
                <w:webHidden/>
              </w:rPr>
              <w:fldChar w:fldCharType="begin"/>
            </w:r>
            <w:r w:rsidR="000B6967">
              <w:rPr>
                <w:noProof/>
                <w:webHidden/>
              </w:rPr>
              <w:instrText xml:space="preserve"> PAGEREF _Toc441728577 \h </w:instrText>
            </w:r>
            <w:r w:rsidR="000B6967">
              <w:rPr>
                <w:noProof/>
                <w:webHidden/>
              </w:rPr>
            </w:r>
            <w:r w:rsidR="000B6967">
              <w:rPr>
                <w:noProof/>
                <w:webHidden/>
              </w:rPr>
              <w:fldChar w:fldCharType="separate"/>
            </w:r>
            <w:r w:rsidR="000B6967">
              <w:rPr>
                <w:noProof/>
                <w:webHidden/>
              </w:rPr>
              <w:t>39</w:t>
            </w:r>
            <w:r w:rsidR="000B6967">
              <w:rPr>
                <w:noProof/>
                <w:webHidden/>
              </w:rPr>
              <w:fldChar w:fldCharType="end"/>
            </w:r>
          </w:hyperlink>
        </w:p>
        <w:p w14:paraId="3C3EEB35" w14:textId="77777777" w:rsidR="000B6967" w:rsidRDefault="00081BF5">
          <w:pPr>
            <w:pStyle w:val="TOC3"/>
            <w:tabs>
              <w:tab w:val="right" w:leader="dot" w:pos="8630"/>
            </w:tabs>
            <w:rPr>
              <w:rFonts w:asciiTheme="minorHAnsi" w:eastAsiaTheme="minorEastAsia" w:hAnsiTheme="minorHAnsi" w:cstheme="minorBidi"/>
              <w:noProof/>
              <w:sz w:val="22"/>
              <w:szCs w:val="22"/>
              <w:lang w:val="en-GB" w:eastAsia="en-GB"/>
            </w:rPr>
          </w:pPr>
          <w:hyperlink w:anchor="_Toc441728578" w:history="1">
            <w:r w:rsidR="000B6967" w:rsidRPr="00990460">
              <w:rPr>
                <w:rStyle w:val="Hyperlink"/>
                <w:noProof/>
                <w:lang w:val="en-CA"/>
              </w:rPr>
              <w:t>Underservicing of SMEs and Developing Markets</w:t>
            </w:r>
            <w:r w:rsidR="000B6967">
              <w:rPr>
                <w:noProof/>
                <w:webHidden/>
              </w:rPr>
              <w:tab/>
            </w:r>
            <w:r w:rsidR="000B6967">
              <w:rPr>
                <w:noProof/>
                <w:webHidden/>
              </w:rPr>
              <w:fldChar w:fldCharType="begin"/>
            </w:r>
            <w:r w:rsidR="000B6967">
              <w:rPr>
                <w:noProof/>
                <w:webHidden/>
              </w:rPr>
              <w:instrText xml:space="preserve"> PAGEREF _Toc441728578 \h </w:instrText>
            </w:r>
            <w:r w:rsidR="000B6967">
              <w:rPr>
                <w:noProof/>
                <w:webHidden/>
              </w:rPr>
            </w:r>
            <w:r w:rsidR="000B6967">
              <w:rPr>
                <w:noProof/>
                <w:webHidden/>
              </w:rPr>
              <w:fldChar w:fldCharType="separate"/>
            </w:r>
            <w:r w:rsidR="000B6967">
              <w:rPr>
                <w:noProof/>
                <w:webHidden/>
              </w:rPr>
              <w:t>40</w:t>
            </w:r>
            <w:r w:rsidR="000B6967">
              <w:rPr>
                <w:noProof/>
                <w:webHidden/>
              </w:rPr>
              <w:fldChar w:fldCharType="end"/>
            </w:r>
          </w:hyperlink>
        </w:p>
        <w:p w14:paraId="54D222D3" w14:textId="77777777" w:rsidR="000B6967" w:rsidRDefault="00081BF5">
          <w:pPr>
            <w:pStyle w:val="TOC2"/>
            <w:tabs>
              <w:tab w:val="right" w:leader="dot" w:pos="8630"/>
            </w:tabs>
            <w:rPr>
              <w:rFonts w:asciiTheme="minorHAnsi" w:eastAsiaTheme="minorEastAsia" w:hAnsiTheme="minorHAnsi" w:cstheme="minorBidi"/>
              <w:noProof/>
              <w:sz w:val="22"/>
              <w:szCs w:val="22"/>
              <w:lang w:val="en-GB" w:eastAsia="en-GB"/>
            </w:rPr>
          </w:pPr>
          <w:hyperlink w:anchor="_Toc441728579" w:history="1">
            <w:r w:rsidR="000B6967" w:rsidRPr="00990460">
              <w:rPr>
                <w:rStyle w:val="Hyperlink"/>
                <w:noProof/>
              </w:rPr>
              <w:t>ILLUSTRATIVE PRACTICES IN TRADE FACILITATION</w:t>
            </w:r>
            <w:r w:rsidR="000B6967">
              <w:rPr>
                <w:noProof/>
                <w:webHidden/>
              </w:rPr>
              <w:tab/>
            </w:r>
            <w:r w:rsidR="000B6967">
              <w:rPr>
                <w:noProof/>
                <w:webHidden/>
              </w:rPr>
              <w:fldChar w:fldCharType="begin"/>
            </w:r>
            <w:r w:rsidR="000B6967">
              <w:rPr>
                <w:noProof/>
                <w:webHidden/>
              </w:rPr>
              <w:instrText xml:space="preserve"> PAGEREF _Toc441728579 \h </w:instrText>
            </w:r>
            <w:r w:rsidR="000B6967">
              <w:rPr>
                <w:noProof/>
                <w:webHidden/>
              </w:rPr>
            </w:r>
            <w:r w:rsidR="000B6967">
              <w:rPr>
                <w:noProof/>
                <w:webHidden/>
              </w:rPr>
              <w:fldChar w:fldCharType="separate"/>
            </w:r>
            <w:r w:rsidR="000B6967">
              <w:rPr>
                <w:noProof/>
                <w:webHidden/>
              </w:rPr>
              <w:t>41</w:t>
            </w:r>
            <w:r w:rsidR="000B6967">
              <w:rPr>
                <w:noProof/>
                <w:webHidden/>
              </w:rPr>
              <w:fldChar w:fldCharType="end"/>
            </w:r>
          </w:hyperlink>
        </w:p>
        <w:p w14:paraId="1C8ED8F0" w14:textId="77777777" w:rsidR="000B6967" w:rsidRDefault="00081BF5">
          <w:pPr>
            <w:pStyle w:val="TOC3"/>
            <w:tabs>
              <w:tab w:val="right" w:leader="dot" w:pos="8630"/>
            </w:tabs>
            <w:rPr>
              <w:rFonts w:asciiTheme="minorHAnsi" w:eastAsiaTheme="minorEastAsia" w:hAnsiTheme="minorHAnsi" w:cstheme="minorBidi"/>
              <w:noProof/>
              <w:sz w:val="22"/>
              <w:szCs w:val="22"/>
              <w:lang w:val="en-GB" w:eastAsia="en-GB"/>
            </w:rPr>
          </w:pPr>
          <w:hyperlink w:anchor="_Toc441728580" w:history="1">
            <w:r w:rsidR="000B6967" w:rsidRPr="00990460">
              <w:rPr>
                <w:rStyle w:val="Hyperlink"/>
                <w:noProof/>
              </w:rPr>
              <w:t>Single Window Initiatives</w:t>
            </w:r>
            <w:r w:rsidR="000B6967">
              <w:rPr>
                <w:noProof/>
                <w:webHidden/>
              </w:rPr>
              <w:tab/>
            </w:r>
            <w:r w:rsidR="000B6967">
              <w:rPr>
                <w:noProof/>
                <w:webHidden/>
              </w:rPr>
              <w:fldChar w:fldCharType="begin"/>
            </w:r>
            <w:r w:rsidR="000B6967">
              <w:rPr>
                <w:noProof/>
                <w:webHidden/>
              </w:rPr>
              <w:instrText xml:space="preserve"> PAGEREF _Toc441728580 \h </w:instrText>
            </w:r>
            <w:r w:rsidR="000B6967">
              <w:rPr>
                <w:noProof/>
                <w:webHidden/>
              </w:rPr>
            </w:r>
            <w:r w:rsidR="000B6967">
              <w:rPr>
                <w:noProof/>
                <w:webHidden/>
              </w:rPr>
              <w:fldChar w:fldCharType="separate"/>
            </w:r>
            <w:r w:rsidR="000B6967">
              <w:rPr>
                <w:noProof/>
                <w:webHidden/>
              </w:rPr>
              <w:t>42</w:t>
            </w:r>
            <w:r w:rsidR="000B6967">
              <w:rPr>
                <w:noProof/>
                <w:webHidden/>
              </w:rPr>
              <w:fldChar w:fldCharType="end"/>
            </w:r>
          </w:hyperlink>
        </w:p>
        <w:p w14:paraId="2F253253" w14:textId="77777777" w:rsidR="000B6967" w:rsidRDefault="00081BF5">
          <w:pPr>
            <w:pStyle w:val="TOC3"/>
            <w:tabs>
              <w:tab w:val="right" w:leader="dot" w:pos="8630"/>
            </w:tabs>
            <w:rPr>
              <w:rFonts w:asciiTheme="minorHAnsi" w:eastAsiaTheme="minorEastAsia" w:hAnsiTheme="minorHAnsi" w:cstheme="minorBidi"/>
              <w:noProof/>
              <w:sz w:val="22"/>
              <w:szCs w:val="22"/>
              <w:lang w:val="en-GB" w:eastAsia="en-GB"/>
            </w:rPr>
          </w:pPr>
          <w:hyperlink w:anchor="_Toc441728581" w:history="1">
            <w:r w:rsidR="000B6967" w:rsidRPr="00990460">
              <w:rPr>
                <w:rStyle w:val="Hyperlink"/>
                <w:noProof/>
              </w:rPr>
              <w:t>Linking Facilitation and Finance</w:t>
            </w:r>
            <w:r w:rsidR="000B6967">
              <w:rPr>
                <w:noProof/>
                <w:webHidden/>
              </w:rPr>
              <w:tab/>
            </w:r>
            <w:r w:rsidR="000B6967">
              <w:rPr>
                <w:noProof/>
                <w:webHidden/>
              </w:rPr>
              <w:fldChar w:fldCharType="begin"/>
            </w:r>
            <w:r w:rsidR="000B6967">
              <w:rPr>
                <w:noProof/>
                <w:webHidden/>
              </w:rPr>
              <w:instrText xml:space="preserve"> PAGEREF _Toc441728581 \h </w:instrText>
            </w:r>
            <w:r w:rsidR="000B6967">
              <w:rPr>
                <w:noProof/>
                <w:webHidden/>
              </w:rPr>
            </w:r>
            <w:r w:rsidR="000B6967">
              <w:rPr>
                <w:noProof/>
                <w:webHidden/>
              </w:rPr>
              <w:fldChar w:fldCharType="separate"/>
            </w:r>
            <w:r w:rsidR="000B6967">
              <w:rPr>
                <w:noProof/>
                <w:webHidden/>
              </w:rPr>
              <w:t>43</w:t>
            </w:r>
            <w:r w:rsidR="000B6967">
              <w:rPr>
                <w:noProof/>
                <w:webHidden/>
              </w:rPr>
              <w:fldChar w:fldCharType="end"/>
            </w:r>
          </w:hyperlink>
        </w:p>
        <w:p w14:paraId="41086A67" w14:textId="77777777" w:rsidR="00AF7EBD" w:rsidRDefault="00AF7EBD">
          <w:r>
            <w:rPr>
              <w:b/>
              <w:bCs/>
              <w:noProof/>
            </w:rPr>
            <w:fldChar w:fldCharType="end"/>
          </w:r>
        </w:p>
      </w:sdtContent>
    </w:sdt>
    <w:p w14:paraId="7AE6B97F" w14:textId="77777777" w:rsidR="00BF4464" w:rsidRPr="008D15CA" w:rsidRDefault="00BF4464">
      <w:pPr>
        <w:jc w:val="center"/>
        <w:rPr>
          <w:rFonts w:ascii="Arial" w:hAnsi="Arial" w:cs="Arial"/>
          <w:b/>
          <w:color w:val="0000FF"/>
          <w:sz w:val="22"/>
          <w:szCs w:val="22"/>
        </w:rPr>
      </w:pPr>
    </w:p>
    <w:p w14:paraId="0067334E" w14:textId="77777777" w:rsidR="00BF4464" w:rsidRDefault="00BF4464">
      <w:pPr>
        <w:jc w:val="center"/>
        <w:rPr>
          <w:rFonts w:ascii="Arial" w:hAnsi="Arial" w:cs="Arial"/>
          <w:b/>
          <w:color w:val="0000FF"/>
          <w:sz w:val="22"/>
          <w:szCs w:val="22"/>
        </w:rPr>
      </w:pPr>
    </w:p>
    <w:p w14:paraId="1227D5AF" w14:textId="77777777" w:rsidR="00303100" w:rsidRPr="00303100" w:rsidRDefault="00303100">
      <w:pPr>
        <w:jc w:val="center"/>
        <w:rPr>
          <w:rFonts w:ascii="Arial" w:hAnsi="Arial" w:cs="Arial"/>
          <w:b/>
          <w:color w:val="000000"/>
          <w:sz w:val="24"/>
          <w:szCs w:val="24"/>
          <w:u w:val="single"/>
        </w:rPr>
      </w:pPr>
      <w:r w:rsidRPr="00303100">
        <w:rPr>
          <w:rFonts w:ascii="Arial" w:hAnsi="Arial" w:cs="Arial"/>
          <w:b/>
          <w:color w:val="000000"/>
          <w:sz w:val="24"/>
          <w:szCs w:val="24"/>
          <w:u w:val="single"/>
        </w:rPr>
        <w:t>Table of Figures</w:t>
      </w:r>
    </w:p>
    <w:p w14:paraId="1D3D63B5" w14:textId="77777777" w:rsidR="00AF7EBD" w:rsidRDefault="00303100">
      <w:pPr>
        <w:pStyle w:val="TableofFigures"/>
        <w:tabs>
          <w:tab w:val="right" w:leader="dot" w:pos="8630"/>
        </w:tabs>
        <w:rPr>
          <w:rFonts w:asciiTheme="minorHAnsi" w:eastAsiaTheme="minorEastAsia" w:hAnsiTheme="minorHAnsi" w:cstheme="minorBidi"/>
          <w:noProof/>
          <w:sz w:val="22"/>
          <w:szCs w:val="22"/>
          <w:lang w:val="en-GB" w:eastAsia="en-GB"/>
        </w:rPr>
      </w:pPr>
      <w:r w:rsidRPr="00303100">
        <w:rPr>
          <w:b/>
          <w:color w:val="0000FF"/>
          <w:sz w:val="24"/>
          <w:szCs w:val="24"/>
        </w:rPr>
        <w:fldChar w:fldCharType="begin"/>
      </w:r>
      <w:r w:rsidRPr="00303100">
        <w:rPr>
          <w:b/>
          <w:color w:val="0000FF"/>
          <w:sz w:val="24"/>
          <w:szCs w:val="24"/>
        </w:rPr>
        <w:instrText xml:space="preserve"> TOC \h \z \c "Figure" </w:instrText>
      </w:r>
      <w:r w:rsidRPr="00303100">
        <w:rPr>
          <w:b/>
          <w:color w:val="0000FF"/>
          <w:sz w:val="24"/>
          <w:szCs w:val="24"/>
        </w:rPr>
        <w:fldChar w:fldCharType="separate"/>
      </w:r>
      <w:hyperlink w:anchor="_Toc436042265" w:history="1">
        <w:r w:rsidR="00AF7EBD" w:rsidRPr="009161D1">
          <w:rPr>
            <w:rStyle w:val="Hyperlink"/>
            <w:noProof/>
          </w:rPr>
          <w:t>Figure 1: Four Elements of Trade Finance and Supply Chain Finance</w:t>
        </w:r>
        <w:r w:rsidR="00AF7EBD">
          <w:rPr>
            <w:noProof/>
            <w:webHidden/>
          </w:rPr>
          <w:tab/>
        </w:r>
        <w:r w:rsidR="00AF7EBD">
          <w:rPr>
            <w:noProof/>
            <w:webHidden/>
          </w:rPr>
          <w:fldChar w:fldCharType="begin"/>
        </w:r>
        <w:r w:rsidR="00AF7EBD">
          <w:rPr>
            <w:noProof/>
            <w:webHidden/>
          </w:rPr>
          <w:instrText xml:space="preserve"> PAGEREF _Toc436042265 \h </w:instrText>
        </w:r>
        <w:r w:rsidR="00AF7EBD">
          <w:rPr>
            <w:noProof/>
            <w:webHidden/>
          </w:rPr>
        </w:r>
        <w:r w:rsidR="00AF7EBD">
          <w:rPr>
            <w:noProof/>
            <w:webHidden/>
          </w:rPr>
          <w:fldChar w:fldCharType="separate"/>
        </w:r>
        <w:r w:rsidR="00FD6954">
          <w:rPr>
            <w:noProof/>
            <w:webHidden/>
          </w:rPr>
          <w:t>7</w:t>
        </w:r>
        <w:r w:rsidR="00AF7EBD">
          <w:rPr>
            <w:noProof/>
            <w:webHidden/>
          </w:rPr>
          <w:fldChar w:fldCharType="end"/>
        </w:r>
      </w:hyperlink>
    </w:p>
    <w:p w14:paraId="5726E363"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66" w:history="1">
        <w:r w:rsidR="00AF7EBD" w:rsidRPr="009161D1">
          <w:rPr>
            <w:rStyle w:val="Hyperlink"/>
            <w:noProof/>
          </w:rPr>
          <w:t>Figure 2: SWIFT Message Structure</w:t>
        </w:r>
        <w:r w:rsidR="00AF7EBD">
          <w:rPr>
            <w:noProof/>
            <w:webHidden/>
          </w:rPr>
          <w:tab/>
        </w:r>
        <w:r w:rsidR="00AF7EBD">
          <w:rPr>
            <w:noProof/>
            <w:webHidden/>
          </w:rPr>
          <w:fldChar w:fldCharType="begin"/>
        </w:r>
        <w:r w:rsidR="00AF7EBD">
          <w:rPr>
            <w:noProof/>
            <w:webHidden/>
          </w:rPr>
          <w:instrText xml:space="preserve"> PAGEREF _Toc436042266 \h </w:instrText>
        </w:r>
        <w:r w:rsidR="00AF7EBD">
          <w:rPr>
            <w:noProof/>
            <w:webHidden/>
          </w:rPr>
        </w:r>
        <w:r w:rsidR="00AF7EBD">
          <w:rPr>
            <w:noProof/>
            <w:webHidden/>
          </w:rPr>
          <w:fldChar w:fldCharType="separate"/>
        </w:r>
        <w:r w:rsidR="00FD6954">
          <w:rPr>
            <w:noProof/>
            <w:webHidden/>
          </w:rPr>
          <w:t>8</w:t>
        </w:r>
        <w:r w:rsidR="00AF7EBD">
          <w:rPr>
            <w:noProof/>
            <w:webHidden/>
          </w:rPr>
          <w:fldChar w:fldCharType="end"/>
        </w:r>
      </w:hyperlink>
    </w:p>
    <w:p w14:paraId="09EE27B5"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67" w:history="1">
        <w:r w:rsidR="00AF7EBD" w:rsidRPr="009161D1">
          <w:rPr>
            <w:rStyle w:val="Hyperlink"/>
            <w:noProof/>
          </w:rPr>
          <w:t>Figure 3: Settlement Options in International Trade</w:t>
        </w:r>
        <w:r w:rsidR="00AF7EBD">
          <w:rPr>
            <w:noProof/>
            <w:webHidden/>
          </w:rPr>
          <w:tab/>
        </w:r>
        <w:r w:rsidR="00AF7EBD">
          <w:rPr>
            <w:noProof/>
            <w:webHidden/>
          </w:rPr>
          <w:fldChar w:fldCharType="begin"/>
        </w:r>
        <w:r w:rsidR="00AF7EBD">
          <w:rPr>
            <w:noProof/>
            <w:webHidden/>
          </w:rPr>
          <w:instrText xml:space="preserve"> PAGEREF _Toc436042267 \h </w:instrText>
        </w:r>
        <w:r w:rsidR="00AF7EBD">
          <w:rPr>
            <w:noProof/>
            <w:webHidden/>
          </w:rPr>
        </w:r>
        <w:r w:rsidR="00AF7EBD">
          <w:rPr>
            <w:noProof/>
            <w:webHidden/>
          </w:rPr>
          <w:fldChar w:fldCharType="separate"/>
        </w:r>
        <w:r w:rsidR="00FD6954">
          <w:rPr>
            <w:noProof/>
            <w:webHidden/>
          </w:rPr>
          <w:t>9</w:t>
        </w:r>
        <w:r w:rsidR="00AF7EBD">
          <w:rPr>
            <w:noProof/>
            <w:webHidden/>
          </w:rPr>
          <w:fldChar w:fldCharType="end"/>
        </w:r>
      </w:hyperlink>
    </w:p>
    <w:p w14:paraId="1075FCF6"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68" w:history="1">
        <w:r w:rsidR="00AF7EBD" w:rsidRPr="009161D1">
          <w:rPr>
            <w:rStyle w:val="Hyperlink"/>
            <w:noProof/>
          </w:rPr>
          <w:t>Figure 4: Characteristics of Settlement Options</w:t>
        </w:r>
        <w:r w:rsidR="00AF7EBD">
          <w:rPr>
            <w:noProof/>
            <w:webHidden/>
          </w:rPr>
          <w:tab/>
        </w:r>
        <w:r w:rsidR="00AF7EBD">
          <w:rPr>
            <w:noProof/>
            <w:webHidden/>
          </w:rPr>
          <w:fldChar w:fldCharType="begin"/>
        </w:r>
        <w:r w:rsidR="00AF7EBD">
          <w:rPr>
            <w:noProof/>
            <w:webHidden/>
          </w:rPr>
          <w:instrText xml:space="preserve"> PAGEREF _Toc436042268 \h </w:instrText>
        </w:r>
        <w:r w:rsidR="00AF7EBD">
          <w:rPr>
            <w:noProof/>
            <w:webHidden/>
          </w:rPr>
        </w:r>
        <w:r w:rsidR="00AF7EBD">
          <w:rPr>
            <w:noProof/>
            <w:webHidden/>
          </w:rPr>
          <w:fldChar w:fldCharType="separate"/>
        </w:r>
        <w:r w:rsidR="00FD6954">
          <w:rPr>
            <w:noProof/>
            <w:webHidden/>
          </w:rPr>
          <w:t>10</w:t>
        </w:r>
        <w:r w:rsidR="00AF7EBD">
          <w:rPr>
            <w:noProof/>
            <w:webHidden/>
          </w:rPr>
          <w:fldChar w:fldCharType="end"/>
        </w:r>
      </w:hyperlink>
    </w:p>
    <w:p w14:paraId="1976114F"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69" w:history="1">
        <w:r w:rsidR="00AF7EBD" w:rsidRPr="009161D1">
          <w:rPr>
            <w:rStyle w:val="Hyperlink"/>
            <w:noProof/>
          </w:rPr>
          <w:t>Figure 5: Risk in International Trade</w:t>
        </w:r>
        <w:r w:rsidR="00AF7EBD">
          <w:rPr>
            <w:noProof/>
            <w:webHidden/>
          </w:rPr>
          <w:tab/>
        </w:r>
        <w:r w:rsidR="00AF7EBD">
          <w:rPr>
            <w:noProof/>
            <w:webHidden/>
          </w:rPr>
          <w:fldChar w:fldCharType="begin"/>
        </w:r>
        <w:r w:rsidR="00AF7EBD">
          <w:rPr>
            <w:noProof/>
            <w:webHidden/>
          </w:rPr>
          <w:instrText xml:space="preserve"> PAGEREF _Toc436042269 \h </w:instrText>
        </w:r>
        <w:r w:rsidR="00AF7EBD">
          <w:rPr>
            <w:noProof/>
            <w:webHidden/>
          </w:rPr>
        </w:r>
        <w:r w:rsidR="00AF7EBD">
          <w:rPr>
            <w:noProof/>
            <w:webHidden/>
          </w:rPr>
          <w:fldChar w:fldCharType="separate"/>
        </w:r>
        <w:r w:rsidR="00FD6954">
          <w:rPr>
            <w:noProof/>
            <w:webHidden/>
          </w:rPr>
          <w:t>11</w:t>
        </w:r>
        <w:r w:rsidR="00AF7EBD">
          <w:rPr>
            <w:noProof/>
            <w:webHidden/>
          </w:rPr>
          <w:fldChar w:fldCharType="end"/>
        </w:r>
      </w:hyperlink>
    </w:p>
    <w:p w14:paraId="6182B00E"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70" w:history="1">
        <w:r w:rsidR="00AF7EBD" w:rsidRPr="009161D1">
          <w:rPr>
            <w:rStyle w:val="Hyperlink"/>
            <w:noProof/>
          </w:rPr>
          <w:t>Figure 6: MDB Trade Finance Programs</w:t>
        </w:r>
        <w:r w:rsidR="00AF7EBD">
          <w:rPr>
            <w:noProof/>
            <w:webHidden/>
          </w:rPr>
          <w:tab/>
        </w:r>
        <w:r w:rsidR="00AF7EBD">
          <w:rPr>
            <w:noProof/>
            <w:webHidden/>
          </w:rPr>
          <w:fldChar w:fldCharType="begin"/>
        </w:r>
        <w:r w:rsidR="00AF7EBD">
          <w:rPr>
            <w:noProof/>
            <w:webHidden/>
          </w:rPr>
          <w:instrText xml:space="preserve"> PAGEREF _Toc436042270 \h </w:instrText>
        </w:r>
        <w:r w:rsidR="00AF7EBD">
          <w:rPr>
            <w:noProof/>
            <w:webHidden/>
          </w:rPr>
        </w:r>
        <w:r w:rsidR="00AF7EBD">
          <w:rPr>
            <w:noProof/>
            <w:webHidden/>
          </w:rPr>
          <w:fldChar w:fldCharType="separate"/>
        </w:r>
        <w:r w:rsidR="00FD6954">
          <w:rPr>
            <w:noProof/>
            <w:webHidden/>
          </w:rPr>
          <w:t>12</w:t>
        </w:r>
        <w:r w:rsidR="00AF7EBD">
          <w:rPr>
            <w:noProof/>
            <w:webHidden/>
          </w:rPr>
          <w:fldChar w:fldCharType="end"/>
        </w:r>
      </w:hyperlink>
    </w:p>
    <w:p w14:paraId="6DA8F74E"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71" w:history="1">
        <w:r w:rsidR="00AF7EBD" w:rsidRPr="009161D1">
          <w:rPr>
            <w:rStyle w:val="Hyperlink"/>
            <w:noProof/>
          </w:rPr>
          <w:t>Figure 7: Pre-shipment Finance: Sample Structure</w:t>
        </w:r>
        <w:r w:rsidR="00AF7EBD">
          <w:rPr>
            <w:noProof/>
            <w:webHidden/>
          </w:rPr>
          <w:tab/>
        </w:r>
        <w:r w:rsidR="00AF7EBD">
          <w:rPr>
            <w:noProof/>
            <w:webHidden/>
          </w:rPr>
          <w:fldChar w:fldCharType="begin"/>
        </w:r>
        <w:r w:rsidR="00AF7EBD">
          <w:rPr>
            <w:noProof/>
            <w:webHidden/>
          </w:rPr>
          <w:instrText xml:space="preserve"> PAGEREF _Toc436042271 \h </w:instrText>
        </w:r>
        <w:r w:rsidR="00AF7EBD">
          <w:rPr>
            <w:noProof/>
            <w:webHidden/>
          </w:rPr>
        </w:r>
        <w:r w:rsidR="00AF7EBD">
          <w:rPr>
            <w:noProof/>
            <w:webHidden/>
          </w:rPr>
          <w:fldChar w:fldCharType="separate"/>
        </w:r>
        <w:r w:rsidR="00FD6954">
          <w:rPr>
            <w:noProof/>
            <w:webHidden/>
          </w:rPr>
          <w:t>13</w:t>
        </w:r>
        <w:r w:rsidR="00AF7EBD">
          <w:rPr>
            <w:noProof/>
            <w:webHidden/>
          </w:rPr>
          <w:fldChar w:fldCharType="end"/>
        </w:r>
      </w:hyperlink>
    </w:p>
    <w:p w14:paraId="06244C99"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72" w:history="1">
        <w:r w:rsidR="00AF7EBD" w:rsidRPr="009161D1">
          <w:rPr>
            <w:rStyle w:val="Hyperlink"/>
            <w:noProof/>
          </w:rPr>
          <w:t>Figure 8: Linking the Physical and the Financial Supply Chains</w:t>
        </w:r>
        <w:r w:rsidR="00AF7EBD">
          <w:rPr>
            <w:noProof/>
            <w:webHidden/>
          </w:rPr>
          <w:tab/>
        </w:r>
        <w:r w:rsidR="00AF7EBD">
          <w:rPr>
            <w:noProof/>
            <w:webHidden/>
          </w:rPr>
          <w:fldChar w:fldCharType="begin"/>
        </w:r>
        <w:r w:rsidR="00AF7EBD">
          <w:rPr>
            <w:noProof/>
            <w:webHidden/>
          </w:rPr>
          <w:instrText xml:space="preserve"> PAGEREF _Toc436042272 \h </w:instrText>
        </w:r>
        <w:r w:rsidR="00AF7EBD">
          <w:rPr>
            <w:noProof/>
            <w:webHidden/>
          </w:rPr>
        </w:r>
        <w:r w:rsidR="00AF7EBD">
          <w:rPr>
            <w:noProof/>
            <w:webHidden/>
          </w:rPr>
          <w:fldChar w:fldCharType="separate"/>
        </w:r>
        <w:r w:rsidR="00FD6954">
          <w:rPr>
            <w:noProof/>
            <w:webHidden/>
          </w:rPr>
          <w:t>14</w:t>
        </w:r>
        <w:r w:rsidR="00AF7EBD">
          <w:rPr>
            <w:noProof/>
            <w:webHidden/>
          </w:rPr>
          <w:fldChar w:fldCharType="end"/>
        </w:r>
      </w:hyperlink>
    </w:p>
    <w:p w14:paraId="399B345E"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73" w:history="1">
        <w:r w:rsidR="00AF7EBD" w:rsidRPr="009161D1">
          <w:rPr>
            <w:rStyle w:val="Hyperlink"/>
            <w:noProof/>
          </w:rPr>
          <w:t>Figure 9: The Buy-Ship-Pay Reference Model</w:t>
        </w:r>
        <w:r w:rsidR="00AF7EBD">
          <w:rPr>
            <w:noProof/>
            <w:webHidden/>
          </w:rPr>
          <w:tab/>
        </w:r>
        <w:r w:rsidR="00AF7EBD">
          <w:rPr>
            <w:noProof/>
            <w:webHidden/>
          </w:rPr>
          <w:fldChar w:fldCharType="begin"/>
        </w:r>
        <w:r w:rsidR="00AF7EBD">
          <w:rPr>
            <w:noProof/>
            <w:webHidden/>
          </w:rPr>
          <w:instrText xml:space="preserve"> PAGEREF _Toc436042273 \h </w:instrText>
        </w:r>
        <w:r w:rsidR="00AF7EBD">
          <w:rPr>
            <w:noProof/>
            <w:webHidden/>
          </w:rPr>
        </w:r>
        <w:r w:rsidR="00AF7EBD">
          <w:rPr>
            <w:noProof/>
            <w:webHidden/>
          </w:rPr>
          <w:fldChar w:fldCharType="separate"/>
        </w:r>
        <w:r w:rsidR="00FD6954">
          <w:rPr>
            <w:noProof/>
            <w:webHidden/>
          </w:rPr>
          <w:t>15</w:t>
        </w:r>
        <w:r w:rsidR="00AF7EBD">
          <w:rPr>
            <w:noProof/>
            <w:webHidden/>
          </w:rPr>
          <w:fldChar w:fldCharType="end"/>
        </w:r>
      </w:hyperlink>
    </w:p>
    <w:p w14:paraId="1234C920"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74" w:history="1">
        <w:r w:rsidR="00AF7EBD" w:rsidRPr="009161D1">
          <w:rPr>
            <w:rStyle w:val="Hyperlink"/>
            <w:noProof/>
          </w:rPr>
          <w:t>Figure 10: End-to-End Supply Chain Processes Illustrated</w:t>
        </w:r>
        <w:r w:rsidR="00AF7EBD">
          <w:rPr>
            <w:noProof/>
            <w:webHidden/>
          </w:rPr>
          <w:tab/>
        </w:r>
        <w:r w:rsidR="00AF7EBD">
          <w:rPr>
            <w:noProof/>
            <w:webHidden/>
          </w:rPr>
          <w:fldChar w:fldCharType="begin"/>
        </w:r>
        <w:r w:rsidR="00AF7EBD">
          <w:rPr>
            <w:noProof/>
            <w:webHidden/>
          </w:rPr>
          <w:instrText xml:space="preserve"> PAGEREF _Toc436042274 \h </w:instrText>
        </w:r>
        <w:r w:rsidR="00AF7EBD">
          <w:rPr>
            <w:noProof/>
            <w:webHidden/>
          </w:rPr>
        </w:r>
        <w:r w:rsidR="00AF7EBD">
          <w:rPr>
            <w:noProof/>
            <w:webHidden/>
          </w:rPr>
          <w:fldChar w:fldCharType="separate"/>
        </w:r>
        <w:r w:rsidR="00FD6954">
          <w:rPr>
            <w:noProof/>
            <w:webHidden/>
          </w:rPr>
          <w:t>16</w:t>
        </w:r>
        <w:r w:rsidR="00AF7EBD">
          <w:rPr>
            <w:noProof/>
            <w:webHidden/>
          </w:rPr>
          <w:fldChar w:fldCharType="end"/>
        </w:r>
      </w:hyperlink>
    </w:p>
    <w:p w14:paraId="0E149556"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75" w:history="1">
        <w:r w:rsidR="00AF7EBD" w:rsidRPr="009161D1">
          <w:rPr>
            <w:rStyle w:val="Hyperlink"/>
            <w:noProof/>
          </w:rPr>
          <w:t>Figure 11: Loan Price Ranges with Rates Expressed as Annual Interest Rates</w:t>
        </w:r>
        <w:r w:rsidR="00AF7EBD">
          <w:rPr>
            <w:noProof/>
            <w:webHidden/>
          </w:rPr>
          <w:tab/>
        </w:r>
        <w:r w:rsidR="00AF7EBD">
          <w:rPr>
            <w:noProof/>
            <w:webHidden/>
          </w:rPr>
          <w:fldChar w:fldCharType="begin"/>
        </w:r>
        <w:r w:rsidR="00AF7EBD">
          <w:rPr>
            <w:noProof/>
            <w:webHidden/>
          </w:rPr>
          <w:instrText xml:space="preserve"> PAGEREF _Toc436042275 \h </w:instrText>
        </w:r>
        <w:r w:rsidR="00AF7EBD">
          <w:rPr>
            <w:noProof/>
            <w:webHidden/>
          </w:rPr>
        </w:r>
        <w:r w:rsidR="00AF7EBD">
          <w:rPr>
            <w:noProof/>
            <w:webHidden/>
          </w:rPr>
          <w:fldChar w:fldCharType="separate"/>
        </w:r>
        <w:r w:rsidR="00FD6954">
          <w:rPr>
            <w:noProof/>
            <w:webHidden/>
          </w:rPr>
          <w:t>17</w:t>
        </w:r>
        <w:r w:rsidR="00AF7EBD">
          <w:rPr>
            <w:noProof/>
            <w:webHidden/>
          </w:rPr>
          <w:fldChar w:fldCharType="end"/>
        </w:r>
      </w:hyperlink>
    </w:p>
    <w:p w14:paraId="46B1CD5F"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76" w:history="1">
        <w:r w:rsidR="00AF7EBD" w:rsidRPr="009161D1">
          <w:rPr>
            <w:rStyle w:val="Hyperlink"/>
            <w:noProof/>
          </w:rPr>
          <w:t>Figure 12: Needs of Buyers and Suppliers: Physical, Financial and Information Flow</w:t>
        </w:r>
        <w:r w:rsidR="00AF7EBD">
          <w:rPr>
            <w:noProof/>
            <w:webHidden/>
          </w:rPr>
          <w:tab/>
        </w:r>
        <w:r w:rsidR="00AF7EBD">
          <w:rPr>
            <w:noProof/>
            <w:webHidden/>
          </w:rPr>
          <w:fldChar w:fldCharType="begin"/>
        </w:r>
        <w:r w:rsidR="00AF7EBD">
          <w:rPr>
            <w:noProof/>
            <w:webHidden/>
          </w:rPr>
          <w:instrText xml:space="preserve"> PAGEREF _Toc436042276 \h </w:instrText>
        </w:r>
        <w:r w:rsidR="00AF7EBD">
          <w:rPr>
            <w:noProof/>
            <w:webHidden/>
          </w:rPr>
        </w:r>
        <w:r w:rsidR="00AF7EBD">
          <w:rPr>
            <w:noProof/>
            <w:webHidden/>
          </w:rPr>
          <w:fldChar w:fldCharType="separate"/>
        </w:r>
        <w:r w:rsidR="00FD6954">
          <w:rPr>
            <w:noProof/>
            <w:webHidden/>
          </w:rPr>
          <w:t>18</w:t>
        </w:r>
        <w:r w:rsidR="00AF7EBD">
          <w:rPr>
            <w:noProof/>
            <w:webHidden/>
          </w:rPr>
          <w:fldChar w:fldCharType="end"/>
        </w:r>
      </w:hyperlink>
    </w:p>
    <w:p w14:paraId="2E209A24"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77" w:history="1">
        <w:r w:rsidR="00AF7EBD" w:rsidRPr="009161D1">
          <w:rPr>
            <w:rStyle w:val="Hyperlink"/>
            <w:noProof/>
          </w:rPr>
          <w:t>Figure 13: Open Account vs. Letter of Credit</w:t>
        </w:r>
        <w:r w:rsidR="00AF7EBD">
          <w:rPr>
            <w:noProof/>
            <w:webHidden/>
          </w:rPr>
          <w:tab/>
        </w:r>
        <w:r w:rsidR="00AF7EBD">
          <w:rPr>
            <w:noProof/>
            <w:webHidden/>
          </w:rPr>
          <w:fldChar w:fldCharType="begin"/>
        </w:r>
        <w:r w:rsidR="00AF7EBD">
          <w:rPr>
            <w:noProof/>
            <w:webHidden/>
          </w:rPr>
          <w:instrText xml:space="preserve"> PAGEREF _Toc436042277 \h </w:instrText>
        </w:r>
        <w:r w:rsidR="00AF7EBD">
          <w:rPr>
            <w:noProof/>
            <w:webHidden/>
          </w:rPr>
        </w:r>
        <w:r w:rsidR="00AF7EBD">
          <w:rPr>
            <w:noProof/>
            <w:webHidden/>
          </w:rPr>
          <w:fldChar w:fldCharType="separate"/>
        </w:r>
        <w:r w:rsidR="00FD6954">
          <w:rPr>
            <w:noProof/>
            <w:webHidden/>
          </w:rPr>
          <w:t>19</w:t>
        </w:r>
        <w:r w:rsidR="00AF7EBD">
          <w:rPr>
            <w:noProof/>
            <w:webHidden/>
          </w:rPr>
          <w:fldChar w:fldCharType="end"/>
        </w:r>
      </w:hyperlink>
    </w:p>
    <w:p w14:paraId="33C62EBF"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78" w:history="1">
        <w:r w:rsidR="00AF7EBD" w:rsidRPr="009161D1">
          <w:rPr>
            <w:rStyle w:val="Hyperlink"/>
            <w:noProof/>
          </w:rPr>
          <w:t>Figure 14: Supply Chain Finance for Buyers and Suppliers</w:t>
        </w:r>
        <w:r w:rsidR="00AF7EBD">
          <w:rPr>
            <w:noProof/>
            <w:webHidden/>
          </w:rPr>
          <w:tab/>
        </w:r>
        <w:r w:rsidR="00AF7EBD">
          <w:rPr>
            <w:noProof/>
            <w:webHidden/>
          </w:rPr>
          <w:fldChar w:fldCharType="begin"/>
        </w:r>
        <w:r w:rsidR="00AF7EBD">
          <w:rPr>
            <w:noProof/>
            <w:webHidden/>
          </w:rPr>
          <w:instrText xml:space="preserve"> PAGEREF _Toc436042278 \h </w:instrText>
        </w:r>
        <w:r w:rsidR="00AF7EBD">
          <w:rPr>
            <w:noProof/>
            <w:webHidden/>
          </w:rPr>
        </w:r>
        <w:r w:rsidR="00AF7EBD">
          <w:rPr>
            <w:noProof/>
            <w:webHidden/>
          </w:rPr>
          <w:fldChar w:fldCharType="separate"/>
        </w:r>
        <w:r w:rsidR="00FD6954">
          <w:rPr>
            <w:noProof/>
            <w:webHidden/>
          </w:rPr>
          <w:t>20</w:t>
        </w:r>
        <w:r w:rsidR="00AF7EBD">
          <w:rPr>
            <w:noProof/>
            <w:webHidden/>
          </w:rPr>
          <w:fldChar w:fldCharType="end"/>
        </w:r>
      </w:hyperlink>
    </w:p>
    <w:p w14:paraId="54FC1CCB"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79" w:history="1">
        <w:r w:rsidR="00AF7EBD" w:rsidRPr="009161D1">
          <w:rPr>
            <w:rStyle w:val="Hyperlink"/>
            <w:noProof/>
          </w:rPr>
          <w:t>Figure 15: Scope of Supply Chain Finance</w:t>
        </w:r>
        <w:r w:rsidR="00AF7EBD">
          <w:rPr>
            <w:noProof/>
            <w:webHidden/>
          </w:rPr>
          <w:tab/>
        </w:r>
        <w:r w:rsidR="00AF7EBD">
          <w:rPr>
            <w:noProof/>
            <w:webHidden/>
          </w:rPr>
          <w:fldChar w:fldCharType="begin"/>
        </w:r>
        <w:r w:rsidR="00AF7EBD">
          <w:rPr>
            <w:noProof/>
            <w:webHidden/>
          </w:rPr>
          <w:instrText xml:space="preserve"> PAGEREF _Toc436042279 \h </w:instrText>
        </w:r>
        <w:r w:rsidR="00AF7EBD">
          <w:rPr>
            <w:noProof/>
            <w:webHidden/>
          </w:rPr>
        </w:r>
        <w:r w:rsidR="00AF7EBD">
          <w:rPr>
            <w:noProof/>
            <w:webHidden/>
          </w:rPr>
          <w:fldChar w:fldCharType="separate"/>
        </w:r>
        <w:r w:rsidR="00FD6954">
          <w:rPr>
            <w:noProof/>
            <w:webHidden/>
          </w:rPr>
          <w:t>20</w:t>
        </w:r>
        <w:r w:rsidR="00AF7EBD">
          <w:rPr>
            <w:noProof/>
            <w:webHidden/>
          </w:rPr>
          <w:fldChar w:fldCharType="end"/>
        </w:r>
      </w:hyperlink>
    </w:p>
    <w:p w14:paraId="66E9758E"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80" w:history="1">
        <w:r w:rsidR="00AF7EBD" w:rsidRPr="009161D1">
          <w:rPr>
            <w:rStyle w:val="Hyperlink"/>
            <w:noProof/>
          </w:rPr>
          <w:t>Figure 16: Draft Supply Chain Finance Techniques and Definitions</w:t>
        </w:r>
        <w:r w:rsidR="00AF7EBD">
          <w:rPr>
            <w:noProof/>
            <w:webHidden/>
          </w:rPr>
          <w:tab/>
        </w:r>
        <w:r w:rsidR="00AF7EBD">
          <w:rPr>
            <w:noProof/>
            <w:webHidden/>
          </w:rPr>
          <w:fldChar w:fldCharType="begin"/>
        </w:r>
        <w:r w:rsidR="00AF7EBD">
          <w:rPr>
            <w:noProof/>
            <w:webHidden/>
          </w:rPr>
          <w:instrText xml:space="preserve"> PAGEREF _Toc436042280 \h </w:instrText>
        </w:r>
        <w:r w:rsidR="00AF7EBD">
          <w:rPr>
            <w:noProof/>
            <w:webHidden/>
          </w:rPr>
        </w:r>
        <w:r w:rsidR="00AF7EBD">
          <w:rPr>
            <w:noProof/>
            <w:webHidden/>
          </w:rPr>
          <w:fldChar w:fldCharType="separate"/>
        </w:r>
        <w:r w:rsidR="00FD6954">
          <w:rPr>
            <w:noProof/>
            <w:webHidden/>
          </w:rPr>
          <w:t>21</w:t>
        </w:r>
        <w:r w:rsidR="00AF7EBD">
          <w:rPr>
            <w:noProof/>
            <w:webHidden/>
          </w:rPr>
          <w:fldChar w:fldCharType="end"/>
        </w:r>
      </w:hyperlink>
    </w:p>
    <w:p w14:paraId="254FB250"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81" w:history="1">
        <w:r w:rsidR="00AF7EBD" w:rsidRPr="009161D1">
          <w:rPr>
            <w:rStyle w:val="Hyperlink"/>
            <w:noProof/>
          </w:rPr>
          <w:t>Figure 17: Growth in Export Trade Financing (Traditional and SCF)</w:t>
        </w:r>
        <w:r w:rsidR="00AF7EBD">
          <w:rPr>
            <w:noProof/>
            <w:webHidden/>
          </w:rPr>
          <w:tab/>
        </w:r>
        <w:r w:rsidR="00AF7EBD">
          <w:rPr>
            <w:noProof/>
            <w:webHidden/>
          </w:rPr>
          <w:fldChar w:fldCharType="begin"/>
        </w:r>
        <w:r w:rsidR="00AF7EBD">
          <w:rPr>
            <w:noProof/>
            <w:webHidden/>
          </w:rPr>
          <w:instrText xml:space="preserve"> PAGEREF _Toc436042281 \h </w:instrText>
        </w:r>
        <w:r w:rsidR="00AF7EBD">
          <w:rPr>
            <w:noProof/>
            <w:webHidden/>
          </w:rPr>
        </w:r>
        <w:r w:rsidR="00AF7EBD">
          <w:rPr>
            <w:noProof/>
            <w:webHidden/>
          </w:rPr>
          <w:fldChar w:fldCharType="separate"/>
        </w:r>
        <w:r w:rsidR="00FD6954">
          <w:rPr>
            <w:noProof/>
            <w:webHidden/>
          </w:rPr>
          <w:t>23</w:t>
        </w:r>
        <w:r w:rsidR="00AF7EBD">
          <w:rPr>
            <w:noProof/>
            <w:webHidden/>
          </w:rPr>
          <w:fldChar w:fldCharType="end"/>
        </w:r>
      </w:hyperlink>
    </w:p>
    <w:p w14:paraId="7D7865D9"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82" w:history="1">
        <w:r w:rsidR="00AF7EBD" w:rsidRPr="009161D1">
          <w:rPr>
            <w:rStyle w:val="Hyperlink"/>
            <w:noProof/>
          </w:rPr>
          <w:t>Figure 18: Trade Facilitation Practices Help to Reduce Poverty</w:t>
        </w:r>
        <w:r w:rsidR="00AF7EBD">
          <w:rPr>
            <w:noProof/>
            <w:webHidden/>
          </w:rPr>
          <w:tab/>
        </w:r>
        <w:r w:rsidR="00AF7EBD">
          <w:rPr>
            <w:noProof/>
            <w:webHidden/>
          </w:rPr>
          <w:fldChar w:fldCharType="begin"/>
        </w:r>
        <w:r w:rsidR="00AF7EBD">
          <w:rPr>
            <w:noProof/>
            <w:webHidden/>
          </w:rPr>
          <w:instrText xml:space="preserve"> PAGEREF _Toc436042282 \h </w:instrText>
        </w:r>
        <w:r w:rsidR="00AF7EBD">
          <w:rPr>
            <w:noProof/>
            <w:webHidden/>
          </w:rPr>
        </w:r>
        <w:r w:rsidR="00AF7EBD">
          <w:rPr>
            <w:noProof/>
            <w:webHidden/>
          </w:rPr>
          <w:fldChar w:fldCharType="separate"/>
        </w:r>
        <w:r w:rsidR="00FD6954">
          <w:rPr>
            <w:noProof/>
            <w:webHidden/>
          </w:rPr>
          <w:t>24</w:t>
        </w:r>
        <w:r w:rsidR="00AF7EBD">
          <w:rPr>
            <w:noProof/>
            <w:webHidden/>
          </w:rPr>
          <w:fldChar w:fldCharType="end"/>
        </w:r>
      </w:hyperlink>
    </w:p>
    <w:p w14:paraId="0EE83E48"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83" w:history="1">
        <w:r w:rsidR="00AF7EBD" w:rsidRPr="009161D1">
          <w:rPr>
            <w:rStyle w:val="Hyperlink"/>
            <w:noProof/>
          </w:rPr>
          <w:t>Figure 19: Global Shortfall or “Financing Gap”Quantified</w:t>
        </w:r>
        <w:r w:rsidR="00AF7EBD">
          <w:rPr>
            <w:noProof/>
            <w:webHidden/>
          </w:rPr>
          <w:tab/>
        </w:r>
        <w:r w:rsidR="00AF7EBD">
          <w:rPr>
            <w:noProof/>
            <w:webHidden/>
          </w:rPr>
          <w:fldChar w:fldCharType="begin"/>
        </w:r>
        <w:r w:rsidR="00AF7EBD">
          <w:rPr>
            <w:noProof/>
            <w:webHidden/>
          </w:rPr>
          <w:instrText xml:space="preserve"> PAGEREF _Toc436042283 \h </w:instrText>
        </w:r>
        <w:r w:rsidR="00AF7EBD">
          <w:rPr>
            <w:noProof/>
            <w:webHidden/>
          </w:rPr>
        </w:r>
        <w:r w:rsidR="00AF7EBD">
          <w:rPr>
            <w:noProof/>
            <w:webHidden/>
          </w:rPr>
          <w:fldChar w:fldCharType="separate"/>
        </w:r>
        <w:r w:rsidR="00FD6954">
          <w:rPr>
            <w:noProof/>
            <w:webHidden/>
          </w:rPr>
          <w:t>26</w:t>
        </w:r>
        <w:r w:rsidR="00AF7EBD">
          <w:rPr>
            <w:noProof/>
            <w:webHidden/>
          </w:rPr>
          <w:fldChar w:fldCharType="end"/>
        </w:r>
      </w:hyperlink>
    </w:p>
    <w:p w14:paraId="7EA9FAC9"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84" w:history="1">
        <w:r w:rsidR="00AF7EBD" w:rsidRPr="009161D1">
          <w:rPr>
            <w:rStyle w:val="Hyperlink"/>
            <w:noProof/>
          </w:rPr>
          <w:t>Figure 20:Global Trade Financing Options</w:t>
        </w:r>
        <w:r w:rsidR="00AF7EBD">
          <w:rPr>
            <w:noProof/>
            <w:webHidden/>
          </w:rPr>
          <w:tab/>
        </w:r>
        <w:r w:rsidR="00AF7EBD">
          <w:rPr>
            <w:noProof/>
            <w:webHidden/>
          </w:rPr>
          <w:fldChar w:fldCharType="begin"/>
        </w:r>
        <w:r w:rsidR="00AF7EBD">
          <w:rPr>
            <w:noProof/>
            <w:webHidden/>
          </w:rPr>
          <w:instrText xml:space="preserve"> PAGEREF _Toc436042284 \h </w:instrText>
        </w:r>
        <w:r w:rsidR="00AF7EBD">
          <w:rPr>
            <w:noProof/>
            <w:webHidden/>
          </w:rPr>
        </w:r>
        <w:r w:rsidR="00AF7EBD">
          <w:rPr>
            <w:noProof/>
            <w:webHidden/>
          </w:rPr>
          <w:fldChar w:fldCharType="separate"/>
        </w:r>
        <w:r w:rsidR="00FD6954">
          <w:rPr>
            <w:noProof/>
            <w:webHidden/>
          </w:rPr>
          <w:t>28</w:t>
        </w:r>
        <w:r w:rsidR="00AF7EBD">
          <w:rPr>
            <w:noProof/>
            <w:webHidden/>
          </w:rPr>
          <w:fldChar w:fldCharType="end"/>
        </w:r>
      </w:hyperlink>
    </w:p>
    <w:p w14:paraId="5A06FEC8"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85" w:history="1">
        <w:r w:rsidR="00AF7EBD" w:rsidRPr="009161D1">
          <w:rPr>
            <w:rStyle w:val="Hyperlink"/>
            <w:noProof/>
          </w:rPr>
          <w:t>Figure 21: Documentary Credit Transaction Flow</w:t>
        </w:r>
        <w:r w:rsidR="00AF7EBD">
          <w:rPr>
            <w:noProof/>
            <w:webHidden/>
          </w:rPr>
          <w:tab/>
        </w:r>
        <w:r w:rsidR="00AF7EBD">
          <w:rPr>
            <w:noProof/>
            <w:webHidden/>
          </w:rPr>
          <w:fldChar w:fldCharType="begin"/>
        </w:r>
        <w:r w:rsidR="00AF7EBD">
          <w:rPr>
            <w:noProof/>
            <w:webHidden/>
          </w:rPr>
          <w:instrText xml:space="preserve"> PAGEREF _Toc436042285 \h </w:instrText>
        </w:r>
        <w:r w:rsidR="00AF7EBD">
          <w:rPr>
            <w:noProof/>
            <w:webHidden/>
          </w:rPr>
        </w:r>
        <w:r w:rsidR="00AF7EBD">
          <w:rPr>
            <w:noProof/>
            <w:webHidden/>
          </w:rPr>
          <w:fldChar w:fldCharType="separate"/>
        </w:r>
        <w:r w:rsidR="00FD6954">
          <w:rPr>
            <w:noProof/>
            <w:webHidden/>
          </w:rPr>
          <w:t>31</w:t>
        </w:r>
        <w:r w:rsidR="00AF7EBD">
          <w:rPr>
            <w:noProof/>
            <w:webHidden/>
          </w:rPr>
          <w:fldChar w:fldCharType="end"/>
        </w:r>
      </w:hyperlink>
    </w:p>
    <w:p w14:paraId="596931F8"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86" w:history="1">
        <w:r w:rsidR="00AF7EBD" w:rsidRPr="009161D1">
          <w:rPr>
            <w:rStyle w:val="Hyperlink"/>
            <w:noProof/>
          </w:rPr>
          <w:t>Figure 22: Factors Limiting Banks’ Ability to Provide Trade Finance</w:t>
        </w:r>
        <w:r w:rsidR="00AF7EBD">
          <w:rPr>
            <w:noProof/>
            <w:webHidden/>
          </w:rPr>
          <w:tab/>
        </w:r>
        <w:r w:rsidR="00AF7EBD">
          <w:rPr>
            <w:noProof/>
            <w:webHidden/>
          </w:rPr>
          <w:fldChar w:fldCharType="begin"/>
        </w:r>
        <w:r w:rsidR="00AF7EBD">
          <w:rPr>
            <w:noProof/>
            <w:webHidden/>
          </w:rPr>
          <w:instrText xml:space="preserve"> PAGEREF _Toc436042286 \h </w:instrText>
        </w:r>
        <w:r w:rsidR="00AF7EBD">
          <w:rPr>
            <w:noProof/>
            <w:webHidden/>
          </w:rPr>
        </w:r>
        <w:r w:rsidR="00AF7EBD">
          <w:rPr>
            <w:noProof/>
            <w:webHidden/>
          </w:rPr>
          <w:fldChar w:fldCharType="separate"/>
        </w:r>
        <w:r w:rsidR="00FD6954">
          <w:rPr>
            <w:noProof/>
            <w:webHidden/>
          </w:rPr>
          <w:t>36</w:t>
        </w:r>
        <w:r w:rsidR="00AF7EBD">
          <w:rPr>
            <w:noProof/>
            <w:webHidden/>
          </w:rPr>
          <w:fldChar w:fldCharType="end"/>
        </w:r>
      </w:hyperlink>
    </w:p>
    <w:p w14:paraId="33AEE5D7"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87" w:history="1">
        <w:r w:rsidR="00AF7EBD" w:rsidRPr="009161D1">
          <w:rPr>
            <w:rStyle w:val="Hyperlink"/>
            <w:noProof/>
          </w:rPr>
          <w:t>Figure 23: Factors Limiting Companies’ Ability to Obtain Trade Finance</w:t>
        </w:r>
        <w:r w:rsidR="00AF7EBD">
          <w:rPr>
            <w:noProof/>
            <w:webHidden/>
          </w:rPr>
          <w:tab/>
        </w:r>
        <w:r w:rsidR="00AF7EBD">
          <w:rPr>
            <w:noProof/>
            <w:webHidden/>
          </w:rPr>
          <w:fldChar w:fldCharType="begin"/>
        </w:r>
        <w:r w:rsidR="00AF7EBD">
          <w:rPr>
            <w:noProof/>
            <w:webHidden/>
          </w:rPr>
          <w:instrText xml:space="preserve"> PAGEREF _Toc436042287 \h </w:instrText>
        </w:r>
        <w:r w:rsidR="00AF7EBD">
          <w:rPr>
            <w:noProof/>
            <w:webHidden/>
          </w:rPr>
        </w:r>
        <w:r w:rsidR="00AF7EBD">
          <w:rPr>
            <w:noProof/>
            <w:webHidden/>
          </w:rPr>
          <w:fldChar w:fldCharType="separate"/>
        </w:r>
        <w:r w:rsidR="00FD6954">
          <w:rPr>
            <w:noProof/>
            <w:webHidden/>
          </w:rPr>
          <w:t>36</w:t>
        </w:r>
        <w:r w:rsidR="00AF7EBD">
          <w:rPr>
            <w:noProof/>
            <w:webHidden/>
          </w:rPr>
          <w:fldChar w:fldCharType="end"/>
        </w:r>
      </w:hyperlink>
    </w:p>
    <w:p w14:paraId="57B42E6A"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88" w:history="1">
        <w:r w:rsidR="00AF7EBD" w:rsidRPr="009161D1">
          <w:rPr>
            <w:rStyle w:val="Hyperlink"/>
            <w:noProof/>
          </w:rPr>
          <w:t>Figure 24: Trade Finance Default and Loss Rates</w:t>
        </w:r>
        <w:r w:rsidR="00AF7EBD">
          <w:rPr>
            <w:noProof/>
            <w:webHidden/>
          </w:rPr>
          <w:tab/>
        </w:r>
        <w:r w:rsidR="00AF7EBD">
          <w:rPr>
            <w:noProof/>
            <w:webHidden/>
          </w:rPr>
          <w:fldChar w:fldCharType="begin"/>
        </w:r>
        <w:r w:rsidR="00AF7EBD">
          <w:rPr>
            <w:noProof/>
            <w:webHidden/>
          </w:rPr>
          <w:instrText xml:space="preserve"> PAGEREF _Toc436042288 \h </w:instrText>
        </w:r>
        <w:r w:rsidR="00AF7EBD">
          <w:rPr>
            <w:noProof/>
            <w:webHidden/>
          </w:rPr>
        </w:r>
        <w:r w:rsidR="00AF7EBD">
          <w:rPr>
            <w:noProof/>
            <w:webHidden/>
          </w:rPr>
          <w:fldChar w:fldCharType="separate"/>
        </w:r>
        <w:r w:rsidR="00FD6954">
          <w:rPr>
            <w:noProof/>
            <w:webHidden/>
          </w:rPr>
          <w:t>38</w:t>
        </w:r>
        <w:r w:rsidR="00AF7EBD">
          <w:rPr>
            <w:noProof/>
            <w:webHidden/>
          </w:rPr>
          <w:fldChar w:fldCharType="end"/>
        </w:r>
      </w:hyperlink>
    </w:p>
    <w:p w14:paraId="36657306"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89" w:history="1">
        <w:r w:rsidR="00AF7EBD" w:rsidRPr="009161D1">
          <w:rPr>
            <w:rStyle w:val="Hyperlink"/>
            <w:noProof/>
          </w:rPr>
          <w:t>Figure 25: Positioning the Bank Payment Obligation</w:t>
        </w:r>
        <w:r w:rsidR="00AF7EBD">
          <w:rPr>
            <w:noProof/>
            <w:webHidden/>
          </w:rPr>
          <w:tab/>
        </w:r>
        <w:r w:rsidR="00AF7EBD">
          <w:rPr>
            <w:noProof/>
            <w:webHidden/>
          </w:rPr>
          <w:fldChar w:fldCharType="begin"/>
        </w:r>
        <w:r w:rsidR="00AF7EBD">
          <w:rPr>
            <w:noProof/>
            <w:webHidden/>
          </w:rPr>
          <w:instrText xml:space="preserve"> PAGEREF _Toc436042289 \h </w:instrText>
        </w:r>
        <w:r w:rsidR="00AF7EBD">
          <w:rPr>
            <w:noProof/>
            <w:webHidden/>
          </w:rPr>
        </w:r>
        <w:r w:rsidR="00AF7EBD">
          <w:rPr>
            <w:noProof/>
            <w:webHidden/>
          </w:rPr>
          <w:fldChar w:fldCharType="separate"/>
        </w:r>
        <w:r w:rsidR="00FD6954">
          <w:rPr>
            <w:noProof/>
            <w:webHidden/>
          </w:rPr>
          <w:t>39</w:t>
        </w:r>
        <w:r w:rsidR="00AF7EBD">
          <w:rPr>
            <w:noProof/>
            <w:webHidden/>
          </w:rPr>
          <w:fldChar w:fldCharType="end"/>
        </w:r>
      </w:hyperlink>
    </w:p>
    <w:p w14:paraId="6CFA70D6"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90" w:history="1">
        <w:r w:rsidR="00AF7EBD" w:rsidRPr="009161D1">
          <w:rPr>
            <w:rStyle w:val="Hyperlink"/>
            <w:noProof/>
          </w:rPr>
          <w:t>Figure 26:Trade Facilitation Flows</w:t>
        </w:r>
        <w:r w:rsidR="00AF7EBD">
          <w:rPr>
            <w:noProof/>
            <w:webHidden/>
          </w:rPr>
          <w:tab/>
        </w:r>
        <w:r w:rsidR="00AF7EBD">
          <w:rPr>
            <w:noProof/>
            <w:webHidden/>
          </w:rPr>
          <w:fldChar w:fldCharType="begin"/>
        </w:r>
        <w:r w:rsidR="00AF7EBD">
          <w:rPr>
            <w:noProof/>
            <w:webHidden/>
          </w:rPr>
          <w:instrText xml:space="preserve"> PAGEREF _Toc436042290 \h </w:instrText>
        </w:r>
        <w:r w:rsidR="00AF7EBD">
          <w:rPr>
            <w:noProof/>
            <w:webHidden/>
          </w:rPr>
        </w:r>
        <w:r w:rsidR="00AF7EBD">
          <w:rPr>
            <w:noProof/>
            <w:webHidden/>
          </w:rPr>
          <w:fldChar w:fldCharType="separate"/>
        </w:r>
        <w:r w:rsidR="00FD6954">
          <w:rPr>
            <w:noProof/>
            <w:webHidden/>
          </w:rPr>
          <w:t>41</w:t>
        </w:r>
        <w:r w:rsidR="00AF7EBD">
          <w:rPr>
            <w:noProof/>
            <w:webHidden/>
          </w:rPr>
          <w:fldChar w:fldCharType="end"/>
        </w:r>
      </w:hyperlink>
    </w:p>
    <w:p w14:paraId="5EC7C2C4" w14:textId="77777777" w:rsidR="00AF7EBD" w:rsidRDefault="00081BF5">
      <w:pPr>
        <w:pStyle w:val="TableofFigures"/>
        <w:tabs>
          <w:tab w:val="right" w:leader="dot" w:pos="8630"/>
        </w:tabs>
        <w:rPr>
          <w:rFonts w:asciiTheme="minorHAnsi" w:eastAsiaTheme="minorEastAsia" w:hAnsiTheme="minorHAnsi" w:cstheme="minorBidi"/>
          <w:noProof/>
          <w:sz w:val="22"/>
          <w:szCs w:val="22"/>
          <w:lang w:val="en-GB" w:eastAsia="en-GB"/>
        </w:rPr>
      </w:pPr>
      <w:hyperlink w:anchor="_Toc436042291" w:history="1">
        <w:r w:rsidR="00AF7EBD" w:rsidRPr="009161D1">
          <w:rPr>
            <w:rStyle w:val="Hyperlink"/>
            <w:noProof/>
          </w:rPr>
          <w:t>Figure 27: Single Window Model</w:t>
        </w:r>
        <w:r w:rsidR="00AF7EBD">
          <w:rPr>
            <w:noProof/>
            <w:webHidden/>
          </w:rPr>
          <w:tab/>
        </w:r>
        <w:r w:rsidR="00AF7EBD">
          <w:rPr>
            <w:noProof/>
            <w:webHidden/>
          </w:rPr>
          <w:fldChar w:fldCharType="begin"/>
        </w:r>
        <w:r w:rsidR="00AF7EBD">
          <w:rPr>
            <w:noProof/>
            <w:webHidden/>
          </w:rPr>
          <w:instrText xml:space="preserve"> PAGEREF _Toc436042291 \h </w:instrText>
        </w:r>
        <w:r w:rsidR="00AF7EBD">
          <w:rPr>
            <w:noProof/>
            <w:webHidden/>
          </w:rPr>
        </w:r>
        <w:r w:rsidR="00AF7EBD">
          <w:rPr>
            <w:noProof/>
            <w:webHidden/>
          </w:rPr>
          <w:fldChar w:fldCharType="separate"/>
        </w:r>
        <w:r w:rsidR="00FD6954">
          <w:rPr>
            <w:noProof/>
            <w:webHidden/>
          </w:rPr>
          <w:t>42</w:t>
        </w:r>
        <w:r w:rsidR="00AF7EBD">
          <w:rPr>
            <w:noProof/>
            <w:webHidden/>
          </w:rPr>
          <w:fldChar w:fldCharType="end"/>
        </w:r>
      </w:hyperlink>
    </w:p>
    <w:p w14:paraId="3087D150" w14:textId="77777777" w:rsidR="00BF4464" w:rsidRPr="008D15CA" w:rsidRDefault="00303100">
      <w:pPr>
        <w:rPr>
          <w:rFonts w:ascii="Arial" w:hAnsi="Arial" w:cs="Arial"/>
          <w:b/>
          <w:color w:val="0000FF"/>
          <w:sz w:val="22"/>
          <w:szCs w:val="22"/>
        </w:rPr>
      </w:pPr>
      <w:r w:rsidRPr="00303100">
        <w:rPr>
          <w:b/>
          <w:color w:val="0000FF"/>
          <w:sz w:val="24"/>
          <w:szCs w:val="24"/>
        </w:rPr>
        <w:fldChar w:fldCharType="end"/>
      </w:r>
    </w:p>
    <w:p w14:paraId="6575CA6B" w14:textId="77777777" w:rsidR="00BF4464" w:rsidRPr="008D15CA" w:rsidRDefault="00BF4464">
      <w:pPr>
        <w:rPr>
          <w:rFonts w:ascii="Arial" w:hAnsi="Arial" w:cs="Arial"/>
          <w:b/>
          <w:color w:val="0000FF"/>
          <w:sz w:val="22"/>
          <w:szCs w:val="22"/>
        </w:rPr>
      </w:pPr>
    </w:p>
    <w:p w14:paraId="72E35B56" w14:textId="77777777" w:rsidR="00BF4464" w:rsidRPr="008D15CA" w:rsidRDefault="00BF4464">
      <w:pPr>
        <w:rPr>
          <w:rFonts w:ascii="Arial" w:hAnsi="Arial" w:cs="Arial"/>
          <w:b/>
          <w:color w:val="0000FF"/>
          <w:sz w:val="22"/>
          <w:szCs w:val="22"/>
        </w:rPr>
      </w:pPr>
    </w:p>
    <w:p w14:paraId="1733E4BC" w14:textId="77777777" w:rsidR="00BF4464" w:rsidRPr="008D15CA" w:rsidRDefault="00BF4464">
      <w:pPr>
        <w:rPr>
          <w:rFonts w:ascii="Arial" w:hAnsi="Arial" w:cs="Arial"/>
          <w:b/>
          <w:color w:val="0000FF"/>
          <w:sz w:val="22"/>
          <w:szCs w:val="22"/>
        </w:rPr>
      </w:pPr>
    </w:p>
    <w:p w14:paraId="3CDAC8C1" w14:textId="77777777" w:rsidR="00BF4464" w:rsidRPr="008D15CA" w:rsidRDefault="00BF4464">
      <w:pPr>
        <w:rPr>
          <w:rFonts w:ascii="Arial" w:hAnsi="Arial" w:cs="Arial"/>
          <w:b/>
          <w:color w:val="0000FF"/>
          <w:sz w:val="22"/>
          <w:szCs w:val="22"/>
        </w:rPr>
      </w:pPr>
    </w:p>
    <w:p w14:paraId="30546064" w14:textId="77777777" w:rsidR="00BF4464" w:rsidRPr="008D15CA" w:rsidRDefault="00BF4464" w:rsidP="00303100">
      <w:pPr>
        <w:pStyle w:val="Heading1"/>
      </w:pPr>
      <w:r w:rsidRPr="008D15CA">
        <w:br w:type="page"/>
      </w:r>
      <w:bookmarkStart w:id="2" w:name="_Toc441728559"/>
      <w:r w:rsidR="00F82F31">
        <w:lastRenderedPageBreak/>
        <w:t>EXECUTIVE SUMMARY</w:t>
      </w:r>
      <w:bookmarkEnd w:id="2"/>
    </w:p>
    <w:p w14:paraId="3002B2B9" w14:textId="77777777" w:rsidR="00163A1E" w:rsidRDefault="001F5CEB" w:rsidP="00271841">
      <w:pPr>
        <w:jc w:val="both"/>
        <w:rPr>
          <w:rFonts w:ascii="Arial" w:hAnsi="Arial" w:cs="Arial"/>
          <w:sz w:val="22"/>
          <w:szCs w:val="22"/>
          <w:lang w:val="en-CA"/>
        </w:rPr>
      </w:pPr>
      <w:r>
        <w:rPr>
          <w:rFonts w:ascii="Arial" w:hAnsi="Arial" w:cs="Arial"/>
          <w:sz w:val="22"/>
          <w:szCs w:val="22"/>
          <w:lang w:val="en-CA"/>
        </w:rPr>
        <w:t xml:space="preserve">The fundamental objective of this UN/CEFAT-sponsored project is to articulate the linkages and complementary nature of </w:t>
      </w:r>
      <w:r w:rsidR="00303100">
        <w:rPr>
          <w:rFonts w:ascii="Arial" w:hAnsi="Arial" w:cs="Arial"/>
          <w:sz w:val="22"/>
          <w:szCs w:val="22"/>
          <w:lang w:val="en-CA"/>
        </w:rPr>
        <w:t>T</w:t>
      </w:r>
      <w:r>
        <w:rPr>
          <w:rFonts w:ascii="Arial" w:hAnsi="Arial" w:cs="Arial"/>
          <w:sz w:val="22"/>
          <w:szCs w:val="22"/>
          <w:lang w:val="en-CA"/>
        </w:rPr>
        <w:t xml:space="preserve">rade </w:t>
      </w:r>
      <w:r w:rsidR="00303100">
        <w:rPr>
          <w:rFonts w:ascii="Arial" w:hAnsi="Arial" w:cs="Arial"/>
          <w:sz w:val="22"/>
          <w:szCs w:val="22"/>
          <w:lang w:val="en-CA"/>
        </w:rPr>
        <w:t>F</w:t>
      </w:r>
      <w:r>
        <w:rPr>
          <w:rFonts w:ascii="Arial" w:hAnsi="Arial" w:cs="Arial"/>
          <w:sz w:val="22"/>
          <w:szCs w:val="22"/>
          <w:lang w:val="en-CA"/>
        </w:rPr>
        <w:t xml:space="preserve">acilitation activity (initially, Single Window market access programs) </w:t>
      </w:r>
      <w:r w:rsidR="00303100">
        <w:rPr>
          <w:rFonts w:ascii="Arial" w:hAnsi="Arial" w:cs="Arial"/>
          <w:sz w:val="22"/>
          <w:szCs w:val="22"/>
          <w:lang w:val="en-CA"/>
        </w:rPr>
        <w:t>with</w:t>
      </w:r>
      <w:r>
        <w:rPr>
          <w:rFonts w:ascii="Arial" w:hAnsi="Arial" w:cs="Arial"/>
          <w:sz w:val="22"/>
          <w:szCs w:val="22"/>
          <w:lang w:val="en-CA"/>
        </w:rPr>
        <w:t xml:space="preserve"> the financing of international commerce</w:t>
      </w:r>
      <w:r w:rsidR="00303100">
        <w:rPr>
          <w:rFonts w:ascii="Arial" w:hAnsi="Arial" w:cs="Arial"/>
          <w:sz w:val="22"/>
          <w:szCs w:val="22"/>
          <w:lang w:val="en-CA"/>
        </w:rPr>
        <w:t xml:space="preserve"> under the broad array of Trade Finance and Supply Chain Finance solutions. This paper </w:t>
      </w:r>
      <w:r w:rsidR="00287814">
        <w:rPr>
          <w:rFonts w:ascii="Arial" w:hAnsi="Arial" w:cs="Arial"/>
          <w:sz w:val="22"/>
          <w:szCs w:val="22"/>
          <w:lang w:val="en-CA"/>
        </w:rPr>
        <w:t>asserts the strategic importance to “bridge” Single Window, Trade Finance and Supply Chain Finance instruments, practices, and supporting technologies,</w:t>
      </w:r>
      <w:r>
        <w:rPr>
          <w:rFonts w:ascii="Arial" w:hAnsi="Arial" w:cs="Arial"/>
          <w:sz w:val="22"/>
          <w:szCs w:val="22"/>
          <w:lang w:val="en-CA"/>
        </w:rPr>
        <w:t xml:space="preserve"> demonstrat</w:t>
      </w:r>
      <w:r w:rsidR="00287814">
        <w:rPr>
          <w:rFonts w:ascii="Arial" w:hAnsi="Arial" w:cs="Arial"/>
          <w:sz w:val="22"/>
          <w:szCs w:val="22"/>
          <w:lang w:val="en-CA"/>
        </w:rPr>
        <w:t>ing</w:t>
      </w:r>
      <w:r>
        <w:rPr>
          <w:rFonts w:ascii="Arial" w:hAnsi="Arial" w:cs="Arial"/>
          <w:sz w:val="22"/>
          <w:szCs w:val="22"/>
          <w:lang w:val="en-CA"/>
        </w:rPr>
        <w:t xml:space="preserve"> that the inclusion of financing as an in-scope element of </w:t>
      </w:r>
      <w:r w:rsidR="00886184">
        <w:rPr>
          <w:rFonts w:ascii="Arial" w:hAnsi="Arial" w:cs="Arial"/>
          <w:sz w:val="22"/>
          <w:szCs w:val="22"/>
          <w:lang w:val="en-CA"/>
        </w:rPr>
        <w:t>T</w:t>
      </w:r>
      <w:r>
        <w:rPr>
          <w:rFonts w:ascii="Arial" w:hAnsi="Arial" w:cs="Arial"/>
          <w:sz w:val="22"/>
          <w:szCs w:val="22"/>
          <w:lang w:val="en-CA"/>
        </w:rPr>
        <w:t xml:space="preserve">rade </w:t>
      </w:r>
      <w:r w:rsidR="00886184">
        <w:rPr>
          <w:rFonts w:ascii="Arial" w:hAnsi="Arial" w:cs="Arial"/>
          <w:sz w:val="22"/>
          <w:szCs w:val="22"/>
          <w:lang w:val="en-CA"/>
        </w:rPr>
        <w:t>F</w:t>
      </w:r>
      <w:r>
        <w:rPr>
          <w:rFonts w:ascii="Arial" w:hAnsi="Arial" w:cs="Arial"/>
          <w:sz w:val="22"/>
          <w:szCs w:val="22"/>
          <w:lang w:val="en-CA"/>
        </w:rPr>
        <w:t>acilitation presents significant, untapped potential in trade-based international development.</w:t>
      </w:r>
    </w:p>
    <w:p w14:paraId="728F273D" w14:textId="77777777" w:rsidR="00AF7EBD" w:rsidRDefault="00AF7EBD" w:rsidP="00271841">
      <w:pPr>
        <w:jc w:val="both"/>
        <w:rPr>
          <w:rFonts w:ascii="Arial" w:hAnsi="Arial" w:cs="Arial"/>
          <w:sz w:val="22"/>
          <w:szCs w:val="22"/>
          <w:lang w:val="en-CA"/>
        </w:rPr>
      </w:pPr>
    </w:p>
    <w:p w14:paraId="78E14CA9" w14:textId="77777777" w:rsidR="00AF7EBD" w:rsidRDefault="00AF7EBD" w:rsidP="00AF7EBD">
      <w:pPr>
        <w:jc w:val="both"/>
        <w:rPr>
          <w:rFonts w:ascii="Arial" w:hAnsi="Arial" w:cs="Arial"/>
          <w:sz w:val="22"/>
          <w:szCs w:val="22"/>
          <w:lang w:val="en-CA"/>
        </w:rPr>
      </w:pPr>
      <w:r>
        <w:rPr>
          <w:rFonts w:ascii="Arial" w:hAnsi="Arial" w:cs="Arial"/>
          <w:sz w:val="22"/>
          <w:szCs w:val="22"/>
          <w:lang w:val="en-CA"/>
        </w:rPr>
        <w:t>In essence, getting everything right around the physical movement of goods (i.e., the commonly understood scope of Trade Facilitation) is important. However, in the absence of adequate and affordable levels of financing and risk mitigation, such activities will only partially allow importers and exporters to conduct trade in a sustainable way. Furthermore, the economic and development objectives will only be partially achieved.</w:t>
      </w:r>
    </w:p>
    <w:p w14:paraId="7646F92F" w14:textId="77777777" w:rsidR="001F5CEB" w:rsidRDefault="001F5CEB" w:rsidP="00271841">
      <w:pPr>
        <w:jc w:val="both"/>
        <w:rPr>
          <w:rFonts w:ascii="Arial" w:hAnsi="Arial" w:cs="Arial"/>
          <w:sz w:val="22"/>
          <w:szCs w:val="22"/>
          <w:lang w:val="en-CA"/>
        </w:rPr>
      </w:pPr>
    </w:p>
    <w:p w14:paraId="1BD281C7" w14:textId="77777777" w:rsidR="001F5CEB" w:rsidRDefault="001F5CEB" w:rsidP="00271841">
      <w:pPr>
        <w:jc w:val="both"/>
        <w:rPr>
          <w:rFonts w:ascii="Arial" w:hAnsi="Arial" w:cs="Arial"/>
          <w:sz w:val="22"/>
          <w:szCs w:val="22"/>
          <w:lang w:val="en-CA"/>
        </w:rPr>
      </w:pPr>
      <w:r>
        <w:rPr>
          <w:rFonts w:ascii="Arial" w:hAnsi="Arial" w:cs="Arial"/>
          <w:sz w:val="22"/>
          <w:szCs w:val="22"/>
          <w:lang w:val="en-CA"/>
        </w:rPr>
        <w:t xml:space="preserve">Trade </w:t>
      </w:r>
      <w:r w:rsidR="00FB6E66">
        <w:rPr>
          <w:rFonts w:ascii="Arial" w:hAnsi="Arial" w:cs="Arial"/>
          <w:sz w:val="22"/>
          <w:szCs w:val="22"/>
          <w:lang w:val="en-CA"/>
        </w:rPr>
        <w:t>F</w:t>
      </w:r>
      <w:r>
        <w:rPr>
          <w:rFonts w:ascii="Arial" w:hAnsi="Arial" w:cs="Arial"/>
          <w:sz w:val="22"/>
          <w:szCs w:val="22"/>
          <w:lang w:val="en-CA"/>
        </w:rPr>
        <w:t xml:space="preserve">acilitation is a mature discipline, a critical contributor to development efforts, either at the policy level or  at the transactional level, and the adoption, effectiveness and success of Single Window programs (being deployed in OECD economies, as well  as in near frontier-status developing economies) represents a clear and striking success in the business of </w:t>
      </w:r>
      <w:r w:rsidR="00FB6E66">
        <w:rPr>
          <w:rFonts w:ascii="Arial" w:hAnsi="Arial" w:cs="Arial"/>
          <w:sz w:val="22"/>
          <w:szCs w:val="22"/>
          <w:lang w:val="en-CA"/>
        </w:rPr>
        <w:t>T</w:t>
      </w:r>
      <w:r>
        <w:rPr>
          <w:rFonts w:ascii="Arial" w:hAnsi="Arial" w:cs="Arial"/>
          <w:sz w:val="22"/>
          <w:szCs w:val="22"/>
          <w:lang w:val="en-CA"/>
        </w:rPr>
        <w:t xml:space="preserve">rade </w:t>
      </w:r>
      <w:r w:rsidR="00FB6E66">
        <w:rPr>
          <w:rFonts w:ascii="Arial" w:hAnsi="Arial" w:cs="Arial"/>
          <w:sz w:val="22"/>
          <w:szCs w:val="22"/>
          <w:lang w:val="en-CA"/>
        </w:rPr>
        <w:t>F</w:t>
      </w:r>
      <w:r>
        <w:rPr>
          <w:rFonts w:ascii="Arial" w:hAnsi="Arial" w:cs="Arial"/>
          <w:sz w:val="22"/>
          <w:szCs w:val="22"/>
          <w:lang w:val="en-CA"/>
        </w:rPr>
        <w:t>acilitation.</w:t>
      </w:r>
      <w:r w:rsidR="00AF7EBD">
        <w:rPr>
          <w:rFonts w:ascii="Arial" w:hAnsi="Arial" w:cs="Arial"/>
          <w:sz w:val="22"/>
          <w:szCs w:val="22"/>
          <w:lang w:val="en-CA"/>
        </w:rPr>
        <w:t xml:space="preserve"> </w:t>
      </w:r>
      <w:r>
        <w:rPr>
          <w:rFonts w:ascii="Arial" w:hAnsi="Arial" w:cs="Arial"/>
          <w:sz w:val="22"/>
          <w:szCs w:val="22"/>
          <w:lang w:val="en-CA"/>
        </w:rPr>
        <w:t xml:space="preserve">Single Window initiatives are at various stages in development along a wide spectrum, from basic services and capabilities to comprehensive programs. </w:t>
      </w:r>
    </w:p>
    <w:p w14:paraId="75C972F3" w14:textId="77777777" w:rsidR="001F5CEB" w:rsidRDefault="001F5CEB" w:rsidP="00271841">
      <w:pPr>
        <w:jc w:val="both"/>
        <w:rPr>
          <w:rFonts w:ascii="Arial" w:hAnsi="Arial" w:cs="Arial"/>
          <w:sz w:val="22"/>
          <w:szCs w:val="22"/>
          <w:lang w:val="en-CA"/>
        </w:rPr>
      </w:pPr>
    </w:p>
    <w:p w14:paraId="4C4BD54E" w14:textId="77777777" w:rsidR="001F5CEB" w:rsidRDefault="001F5CEB" w:rsidP="00271841">
      <w:pPr>
        <w:jc w:val="both"/>
        <w:rPr>
          <w:rFonts w:ascii="Arial" w:hAnsi="Arial" w:cs="Arial"/>
          <w:sz w:val="22"/>
          <w:szCs w:val="22"/>
          <w:lang w:val="en-CA"/>
        </w:rPr>
      </w:pPr>
      <w:r>
        <w:rPr>
          <w:rFonts w:ascii="Arial" w:hAnsi="Arial" w:cs="Arial"/>
          <w:sz w:val="22"/>
          <w:szCs w:val="22"/>
          <w:lang w:val="en-CA"/>
        </w:rPr>
        <w:t xml:space="preserve">Acknowledging the significant promise in Single Window programs, the exclusion of financing as an element of the these efforts, and as a key component of </w:t>
      </w:r>
      <w:r w:rsidR="00AF7EBD">
        <w:rPr>
          <w:rFonts w:ascii="Arial" w:hAnsi="Arial" w:cs="Arial"/>
          <w:sz w:val="22"/>
          <w:szCs w:val="22"/>
          <w:lang w:val="en-CA"/>
        </w:rPr>
        <w:t>T</w:t>
      </w:r>
      <w:r>
        <w:rPr>
          <w:rFonts w:ascii="Arial" w:hAnsi="Arial" w:cs="Arial"/>
          <w:sz w:val="22"/>
          <w:szCs w:val="22"/>
          <w:lang w:val="en-CA"/>
        </w:rPr>
        <w:t xml:space="preserve">rade </w:t>
      </w:r>
      <w:r w:rsidR="00AF7EBD">
        <w:rPr>
          <w:rFonts w:ascii="Arial" w:hAnsi="Arial" w:cs="Arial"/>
          <w:sz w:val="22"/>
          <w:szCs w:val="22"/>
          <w:lang w:val="en-CA"/>
        </w:rPr>
        <w:t>F</w:t>
      </w:r>
      <w:r>
        <w:rPr>
          <w:rFonts w:ascii="Arial" w:hAnsi="Arial" w:cs="Arial"/>
          <w:sz w:val="22"/>
          <w:szCs w:val="22"/>
          <w:lang w:val="en-CA"/>
        </w:rPr>
        <w:t>acilitation, misses a critical commercial reality that underpins global trade flows, trade relationships and international supply chains: lack of adequate levels of financing (including risk mitigation) is consistently identified as a major obstacle to the pursuit of additional opportunities in international markets.</w:t>
      </w:r>
    </w:p>
    <w:p w14:paraId="1442E316" w14:textId="77777777" w:rsidR="00553221" w:rsidRDefault="00553221" w:rsidP="00271841">
      <w:pPr>
        <w:jc w:val="both"/>
        <w:rPr>
          <w:rFonts w:ascii="Arial" w:hAnsi="Arial" w:cs="Arial"/>
          <w:sz w:val="22"/>
          <w:szCs w:val="22"/>
          <w:lang w:val="en-CA"/>
        </w:rPr>
      </w:pPr>
    </w:p>
    <w:p w14:paraId="650E7CFC" w14:textId="77777777" w:rsidR="00553221" w:rsidRPr="00553221" w:rsidRDefault="00553221" w:rsidP="00553221">
      <w:pPr>
        <w:jc w:val="both"/>
        <w:rPr>
          <w:rFonts w:ascii="Arial" w:hAnsi="Arial" w:cs="Arial"/>
          <w:sz w:val="22"/>
          <w:szCs w:val="22"/>
          <w:lang w:val="en-CA"/>
        </w:rPr>
      </w:pPr>
      <w:r w:rsidRPr="00553221">
        <w:rPr>
          <w:rFonts w:ascii="Arial" w:hAnsi="Arial" w:cs="Arial"/>
          <w:sz w:val="22"/>
          <w:szCs w:val="22"/>
          <w:lang w:val="en-CA"/>
        </w:rPr>
        <w:t xml:space="preserve">The opportunity to integrate </w:t>
      </w:r>
      <w:r w:rsidR="00FB6E66">
        <w:rPr>
          <w:rFonts w:ascii="Arial" w:hAnsi="Arial" w:cs="Arial"/>
          <w:sz w:val="22"/>
          <w:szCs w:val="22"/>
          <w:lang w:val="en-CA"/>
        </w:rPr>
        <w:t xml:space="preserve">(i.e., bridge) </w:t>
      </w:r>
      <w:r w:rsidRPr="00553221">
        <w:rPr>
          <w:rFonts w:ascii="Arial" w:hAnsi="Arial" w:cs="Arial"/>
          <w:sz w:val="22"/>
          <w:szCs w:val="22"/>
          <w:lang w:val="en-CA"/>
        </w:rPr>
        <w:t>Trade Finance and Supply Chain Finance pr</w:t>
      </w:r>
      <w:r w:rsidR="00FB6E66">
        <w:rPr>
          <w:rFonts w:ascii="Arial" w:hAnsi="Arial" w:cs="Arial"/>
          <w:sz w:val="22"/>
          <w:szCs w:val="22"/>
          <w:lang w:val="en-CA"/>
        </w:rPr>
        <w:t>actices</w:t>
      </w:r>
      <w:r w:rsidRPr="00553221">
        <w:rPr>
          <w:rFonts w:ascii="Arial" w:hAnsi="Arial" w:cs="Arial"/>
          <w:sz w:val="22"/>
          <w:szCs w:val="22"/>
          <w:lang w:val="en-CA"/>
        </w:rPr>
        <w:t xml:space="preserve"> and solutions into Trade Facilitation activities, including Single Window market access programs, is clearly there, and can be pursued through a range of industry players active in financing international commerce.</w:t>
      </w:r>
    </w:p>
    <w:p w14:paraId="77DDC003" w14:textId="77777777" w:rsidR="00553221" w:rsidRPr="00553221" w:rsidRDefault="00553221" w:rsidP="00553221">
      <w:pPr>
        <w:jc w:val="both"/>
        <w:rPr>
          <w:rFonts w:ascii="Arial" w:hAnsi="Arial" w:cs="Arial"/>
          <w:sz w:val="22"/>
          <w:szCs w:val="22"/>
          <w:lang w:val="en-CA"/>
        </w:rPr>
      </w:pPr>
    </w:p>
    <w:p w14:paraId="111C2595" w14:textId="77777777" w:rsidR="00553221" w:rsidRDefault="00553221" w:rsidP="00553221">
      <w:pPr>
        <w:jc w:val="both"/>
        <w:rPr>
          <w:rFonts w:ascii="Arial" w:hAnsi="Arial" w:cs="Arial"/>
          <w:sz w:val="22"/>
          <w:szCs w:val="22"/>
          <w:lang w:val="en-CA"/>
        </w:rPr>
      </w:pPr>
      <w:r w:rsidRPr="00553221">
        <w:rPr>
          <w:rFonts w:ascii="Arial" w:hAnsi="Arial" w:cs="Arial"/>
          <w:sz w:val="22"/>
          <w:szCs w:val="22"/>
          <w:lang w:val="en-CA"/>
        </w:rPr>
        <w:t xml:space="preserve">This UN/CEFACT-sponsored project provides an opportunity to undertake qualitative and quantitative analysis around the opportunities and the value-creation that will flow from </w:t>
      </w:r>
      <w:r w:rsidR="00AF7EBD">
        <w:rPr>
          <w:rFonts w:ascii="Arial" w:hAnsi="Arial" w:cs="Arial"/>
          <w:sz w:val="22"/>
          <w:szCs w:val="22"/>
          <w:lang w:val="en-CA"/>
        </w:rPr>
        <w:t xml:space="preserve">bridging </w:t>
      </w:r>
      <w:r w:rsidRPr="00553221">
        <w:rPr>
          <w:rFonts w:ascii="Arial" w:hAnsi="Arial" w:cs="Arial"/>
          <w:sz w:val="22"/>
          <w:szCs w:val="22"/>
          <w:lang w:val="en-CA"/>
        </w:rPr>
        <w:t>financing into Trade Facilitation activity, and to do so concurrently from the perspective of Trade Facilitation practitioners and Trade Finance and Supply Chain Finance experts.</w:t>
      </w:r>
    </w:p>
    <w:p w14:paraId="7FDA8D95" w14:textId="77777777" w:rsidR="001F5CEB" w:rsidRDefault="001F5CEB" w:rsidP="00271841">
      <w:pPr>
        <w:jc w:val="both"/>
        <w:rPr>
          <w:rFonts w:ascii="Arial" w:hAnsi="Arial" w:cs="Arial"/>
          <w:sz w:val="22"/>
          <w:szCs w:val="22"/>
          <w:lang w:val="en-CA"/>
        </w:rPr>
      </w:pPr>
    </w:p>
    <w:p w14:paraId="7E767FC4" w14:textId="77777777" w:rsidR="00F82F31" w:rsidRDefault="00F82F31" w:rsidP="00271841">
      <w:pPr>
        <w:jc w:val="both"/>
        <w:rPr>
          <w:rFonts w:ascii="Arial" w:hAnsi="Arial" w:cs="Arial"/>
          <w:sz w:val="22"/>
          <w:szCs w:val="22"/>
          <w:lang w:val="en-CA"/>
        </w:rPr>
      </w:pPr>
    </w:p>
    <w:p w14:paraId="23107F1C" w14:textId="77777777" w:rsidR="00F82F31" w:rsidRDefault="00F82F31" w:rsidP="00271841">
      <w:pPr>
        <w:jc w:val="both"/>
        <w:rPr>
          <w:rFonts w:ascii="Arial" w:hAnsi="Arial" w:cs="Arial"/>
          <w:sz w:val="22"/>
          <w:szCs w:val="22"/>
          <w:lang w:val="en-CA"/>
        </w:rPr>
      </w:pPr>
    </w:p>
    <w:p w14:paraId="4AE92738" w14:textId="77777777" w:rsidR="00C3074F" w:rsidRPr="008D15CA" w:rsidRDefault="00BF4464" w:rsidP="00AF7EBD">
      <w:pPr>
        <w:pStyle w:val="Heading1"/>
      </w:pPr>
      <w:r>
        <w:br w:type="page"/>
      </w:r>
      <w:bookmarkStart w:id="3" w:name="_Toc441728560"/>
      <w:r w:rsidR="00F82F31">
        <w:lastRenderedPageBreak/>
        <w:t>TRADE FINANCE: FOUR ELEMENTS</w:t>
      </w:r>
      <w:bookmarkEnd w:id="3"/>
    </w:p>
    <w:p w14:paraId="6D926536" w14:textId="77777777" w:rsidR="00C3074F" w:rsidRPr="00E42F20" w:rsidRDefault="00F82F31" w:rsidP="00C3074F">
      <w:pPr>
        <w:pStyle w:val="Heading2"/>
        <w:rPr>
          <w:sz w:val="22"/>
          <w:szCs w:val="22"/>
        </w:rPr>
      </w:pPr>
      <w:bookmarkStart w:id="4" w:name="_Toc436042202"/>
      <w:bookmarkStart w:id="5" w:name="_Toc441728561"/>
      <w:r>
        <w:rPr>
          <w:sz w:val="22"/>
          <w:szCs w:val="22"/>
        </w:rPr>
        <w:t>Overview of Trade Finance</w:t>
      </w:r>
      <w:bookmarkEnd w:id="4"/>
      <w:bookmarkEnd w:id="5"/>
    </w:p>
    <w:p w14:paraId="2441A89A" w14:textId="77777777" w:rsidR="00EF2336" w:rsidRDefault="009F2116" w:rsidP="000632B0">
      <w:p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 xml:space="preserve">International </w:t>
      </w:r>
      <w:r w:rsidR="00120AD6">
        <w:rPr>
          <w:rFonts w:ascii="Arial" w:hAnsi="Arial" w:cs="Arial"/>
          <w:color w:val="000000"/>
          <w:sz w:val="22"/>
          <w:szCs w:val="22"/>
          <w:lang w:val="en-GB"/>
        </w:rPr>
        <w:t>T</w:t>
      </w:r>
      <w:r>
        <w:rPr>
          <w:rFonts w:ascii="Arial" w:hAnsi="Arial" w:cs="Arial"/>
          <w:color w:val="000000"/>
          <w:sz w:val="22"/>
          <w:szCs w:val="22"/>
          <w:lang w:val="en-GB"/>
        </w:rPr>
        <w:t>rade is a long-enduring part of the hu</w:t>
      </w:r>
      <w:r w:rsidR="00236ED1">
        <w:rPr>
          <w:rFonts w:ascii="Arial" w:hAnsi="Arial" w:cs="Arial"/>
          <w:color w:val="000000"/>
          <w:sz w:val="22"/>
          <w:szCs w:val="22"/>
          <w:lang w:val="en-GB"/>
        </w:rPr>
        <w:t>man experience and of commerce: one that has come increasingly into sharp focus as a force for creation of economic value, growth and recovery, since the glob</w:t>
      </w:r>
      <w:r w:rsidR="00EF2336">
        <w:rPr>
          <w:rFonts w:ascii="Arial" w:hAnsi="Arial" w:cs="Arial"/>
          <w:color w:val="000000"/>
          <w:sz w:val="22"/>
          <w:szCs w:val="22"/>
          <w:lang w:val="en-GB"/>
        </w:rPr>
        <w:t>al crisis which began in 2008.</w:t>
      </w:r>
    </w:p>
    <w:p w14:paraId="05EDE9A6" w14:textId="77777777" w:rsidR="009F2116" w:rsidRDefault="00236ED1" w:rsidP="000632B0">
      <w:p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D</w:t>
      </w:r>
      <w:r w:rsidR="009F2116">
        <w:rPr>
          <w:rFonts w:ascii="Arial" w:hAnsi="Arial" w:cs="Arial"/>
          <w:color w:val="000000"/>
          <w:sz w:val="22"/>
          <w:szCs w:val="22"/>
          <w:lang w:val="en-GB"/>
        </w:rPr>
        <w:t xml:space="preserve">espite the imperfections that persist in the current </w:t>
      </w:r>
      <w:r w:rsidR="00120AD6">
        <w:rPr>
          <w:rFonts w:ascii="Arial" w:hAnsi="Arial" w:cs="Arial"/>
          <w:color w:val="000000"/>
          <w:sz w:val="22"/>
          <w:szCs w:val="22"/>
          <w:lang w:val="en-GB"/>
        </w:rPr>
        <w:t>eco</w:t>
      </w:r>
      <w:r w:rsidR="009F2116">
        <w:rPr>
          <w:rFonts w:ascii="Arial" w:hAnsi="Arial" w:cs="Arial"/>
          <w:color w:val="000000"/>
          <w:sz w:val="22"/>
          <w:szCs w:val="22"/>
          <w:lang w:val="en-GB"/>
        </w:rPr>
        <w:t xml:space="preserve">system </w:t>
      </w:r>
      <w:r>
        <w:rPr>
          <w:rFonts w:ascii="Arial" w:hAnsi="Arial" w:cs="Arial"/>
          <w:color w:val="000000"/>
          <w:sz w:val="22"/>
          <w:szCs w:val="22"/>
          <w:lang w:val="en-GB"/>
        </w:rPr>
        <w:t xml:space="preserve">around trade and investment, </w:t>
      </w:r>
      <w:r w:rsidR="009F2116">
        <w:rPr>
          <w:rFonts w:ascii="Arial" w:hAnsi="Arial" w:cs="Arial"/>
          <w:color w:val="000000"/>
          <w:sz w:val="22"/>
          <w:szCs w:val="22"/>
          <w:lang w:val="en-GB"/>
        </w:rPr>
        <w:t>there is no denying that trade creates value</w:t>
      </w:r>
      <w:r>
        <w:rPr>
          <w:rFonts w:ascii="Arial" w:hAnsi="Arial" w:cs="Arial"/>
          <w:color w:val="000000"/>
          <w:sz w:val="22"/>
          <w:szCs w:val="22"/>
          <w:lang w:val="en-GB"/>
        </w:rPr>
        <w:t>, and is one of relatively few levers that can be influenced by public policy to effect change on a global scale</w:t>
      </w:r>
      <w:r w:rsidR="009F2116">
        <w:rPr>
          <w:rFonts w:ascii="Arial" w:hAnsi="Arial" w:cs="Arial"/>
          <w:color w:val="000000"/>
          <w:sz w:val="22"/>
          <w:szCs w:val="22"/>
          <w:lang w:val="en-GB"/>
        </w:rPr>
        <w:t xml:space="preserve">. Notably, trade flows have </w:t>
      </w:r>
      <w:r w:rsidR="00560C15">
        <w:rPr>
          <w:rFonts w:ascii="Arial" w:hAnsi="Arial" w:cs="Arial"/>
          <w:color w:val="000000"/>
          <w:sz w:val="22"/>
          <w:szCs w:val="22"/>
          <w:lang w:val="en-GB"/>
        </w:rPr>
        <w:t xml:space="preserve">had </w:t>
      </w:r>
      <w:r w:rsidR="009F2116">
        <w:rPr>
          <w:rFonts w:ascii="Arial" w:hAnsi="Arial" w:cs="Arial"/>
          <w:color w:val="000000"/>
          <w:sz w:val="22"/>
          <w:szCs w:val="22"/>
          <w:lang w:val="en-GB"/>
        </w:rPr>
        <w:t xml:space="preserve">a decades-long history of growing at rates that exceeded global GDP, </w:t>
      </w:r>
      <w:r>
        <w:rPr>
          <w:rFonts w:ascii="Arial" w:hAnsi="Arial" w:cs="Arial"/>
          <w:color w:val="000000"/>
          <w:sz w:val="22"/>
          <w:szCs w:val="22"/>
          <w:lang w:val="en-GB"/>
        </w:rPr>
        <w:t>with the recent exception linked to the global economic crisis</w:t>
      </w:r>
      <w:r w:rsidR="009F2116">
        <w:rPr>
          <w:rFonts w:ascii="Arial" w:hAnsi="Arial" w:cs="Arial"/>
          <w:color w:val="000000"/>
          <w:sz w:val="22"/>
          <w:szCs w:val="22"/>
          <w:lang w:val="en-GB"/>
        </w:rPr>
        <w:t>.</w:t>
      </w:r>
    </w:p>
    <w:p w14:paraId="132946A5" w14:textId="77777777" w:rsidR="009F2116" w:rsidRDefault="009F2116" w:rsidP="000632B0">
      <w:p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 xml:space="preserve">While there are debates </w:t>
      </w:r>
      <w:r w:rsidR="00B94381">
        <w:rPr>
          <w:rFonts w:ascii="Arial" w:hAnsi="Arial" w:cs="Arial"/>
          <w:color w:val="000000"/>
          <w:sz w:val="22"/>
          <w:szCs w:val="22"/>
          <w:lang w:val="en-GB"/>
        </w:rPr>
        <w:t xml:space="preserve">about the actual value and benefits of trade </w:t>
      </w:r>
      <w:r w:rsidR="00236ED1">
        <w:rPr>
          <w:rFonts w:ascii="Arial" w:hAnsi="Arial" w:cs="Arial"/>
          <w:color w:val="000000"/>
          <w:sz w:val="22"/>
          <w:szCs w:val="22"/>
          <w:lang w:val="en-GB"/>
        </w:rPr>
        <w:t xml:space="preserve">flows </w:t>
      </w:r>
      <w:r>
        <w:rPr>
          <w:rFonts w:ascii="Arial" w:hAnsi="Arial" w:cs="Arial"/>
          <w:color w:val="000000"/>
          <w:sz w:val="22"/>
          <w:szCs w:val="22"/>
          <w:lang w:val="en-GB"/>
        </w:rPr>
        <w:t>and differing views about the effectiveness of a multilateral system, versus the pursuit of bilateral trade agreements between jurisdictions, the</w:t>
      </w:r>
      <w:r w:rsidR="00B94381">
        <w:rPr>
          <w:rFonts w:ascii="Arial" w:hAnsi="Arial" w:cs="Arial"/>
          <w:color w:val="000000"/>
          <w:sz w:val="22"/>
          <w:szCs w:val="22"/>
          <w:lang w:val="en-GB"/>
        </w:rPr>
        <w:t>se</w:t>
      </w:r>
      <w:r>
        <w:rPr>
          <w:rFonts w:ascii="Arial" w:hAnsi="Arial" w:cs="Arial"/>
          <w:color w:val="000000"/>
          <w:sz w:val="22"/>
          <w:szCs w:val="22"/>
          <w:lang w:val="en-GB"/>
        </w:rPr>
        <w:t xml:space="preserve"> debates </w:t>
      </w:r>
      <w:r w:rsidR="00CB5BFB">
        <w:rPr>
          <w:rFonts w:ascii="Arial" w:hAnsi="Arial" w:cs="Arial"/>
          <w:color w:val="000000"/>
          <w:sz w:val="22"/>
          <w:szCs w:val="22"/>
          <w:lang w:val="en-GB"/>
        </w:rPr>
        <w:t xml:space="preserve">nevertheless </w:t>
      </w:r>
      <w:r>
        <w:rPr>
          <w:rFonts w:ascii="Arial" w:hAnsi="Arial" w:cs="Arial"/>
          <w:color w:val="000000"/>
          <w:sz w:val="22"/>
          <w:szCs w:val="22"/>
          <w:lang w:val="en-GB"/>
        </w:rPr>
        <w:t xml:space="preserve">are giving way to a </w:t>
      </w:r>
      <w:r w:rsidR="00236ED1">
        <w:rPr>
          <w:rFonts w:ascii="Arial" w:hAnsi="Arial" w:cs="Arial"/>
          <w:color w:val="000000"/>
          <w:sz w:val="22"/>
          <w:szCs w:val="22"/>
          <w:lang w:val="en-GB"/>
        </w:rPr>
        <w:t xml:space="preserve">wider </w:t>
      </w:r>
      <w:r>
        <w:rPr>
          <w:rFonts w:ascii="Arial" w:hAnsi="Arial" w:cs="Arial"/>
          <w:color w:val="000000"/>
          <w:sz w:val="22"/>
          <w:szCs w:val="22"/>
          <w:lang w:val="en-GB"/>
        </w:rPr>
        <w:t xml:space="preserve">realization that trade creates economic value and raises standards of living for economies across the spectrum of development. </w:t>
      </w:r>
      <w:r w:rsidR="004A1F5E">
        <w:rPr>
          <w:rFonts w:ascii="Arial" w:hAnsi="Arial" w:cs="Arial"/>
          <w:color w:val="000000"/>
          <w:sz w:val="22"/>
          <w:szCs w:val="22"/>
          <w:lang w:val="en-GB"/>
        </w:rPr>
        <w:t xml:space="preserve">Many </w:t>
      </w:r>
      <w:r>
        <w:rPr>
          <w:rFonts w:ascii="Arial" w:hAnsi="Arial" w:cs="Arial"/>
          <w:color w:val="000000"/>
          <w:sz w:val="22"/>
          <w:szCs w:val="22"/>
          <w:lang w:val="en-GB"/>
        </w:rPr>
        <w:t>jurisdictions</w:t>
      </w:r>
      <w:r w:rsidR="004A1F5E">
        <w:rPr>
          <w:rFonts w:ascii="Arial" w:hAnsi="Arial" w:cs="Arial"/>
          <w:color w:val="000000"/>
          <w:sz w:val="22"/>
          <w:szCs w:val="22"/>
          <w:lang w:val="en-GB"/>
        </w:rPr>
        <w:t xml:space="preserve">, including </w:t>
      </w:r>
      <w:r w:rsidR="00B937B0">
        <w:rPr>
          <w:rFonts w:ascii="Arial" w:hAnsi="Arial" w:cs="Arial"/>
          <w:color w:val="000000"/>
          <w:sz w:val="22"/>
          <w:szCs w:val="22"/>
          <w:lang w:val="en-GB"/>
        </w:rPr>
        <w:t>developing economies</w:t>
      </w:r>
      <w:r w:rsidR="004A1F5E">
        <w:rPr>
          <w:rFonts w:ascii="Arial" w:hAnsi="Arial" w:cs="Arial"/>
          <w:color w:val="000000"/>
          <w:sz w:val="22"/>
          <w:szCs w:val="22"/>
          <w:lang w:val="en-GB"/>
        </w:rPr>
        <w:t xml:space="preserve">, </w:t>
      </w:r>
      <w:r>
        <w:rPr>
          <w:rFonts w:ascii="Arial" w:hAnsi="Arial" w:cs="Arial"/>
          <w:color w:val="000000"/>
          <w:sz w:val="22"/>
          <w:szCs w:val="22"/>
          <w:lang w:val="en-GB"/>
        </w:rPr>
        <w:t xml:space="preserve">are placing trade at the centre of development strategies, and thus, at the centre of policy priorities – investing in the development of trade-related technical competencies and capacity (as reflected </w:t>
      </w:r>
      <w:r w:rsidR="004A1F5E">
        <w:rPr>
          <w:rFonts w:ascii="Arial" w:hAnsi="Arial" w:cs="Arial"/>
          <w:color w:val="000000"/>
          <w:sz w:val="22"/>
          <w:szCs w:val="22"/>
          <w:lang w:val="en-GB"/>
        </w:rPr>
        <w:t xml:space="preserve">for instance </w:t>
      </w:r>
      <w:r>
        <w:rPr>
          <w:rFonts w:ascii="Arial" w:hAnsi="Arial" w:cs="Arial"/>
          <w:color w:val="000000"/>
          <w:sz w:val="22"/>
          <w:szCs w:val="22"/>
          <w:lang w:val="en-GB"/>
        </w:rPr>
        <w:t>in the EU-funded Hub &amp; Spokes Program</w:t>
      </w:r>
      <w:r w:rsidR="004A1F5E">
        <w:rPr>
          <w:rStyle w:val="FootnoteReference"/>
          <w:rFonts w:ascii="Arial" w:hAnsi="Arial" w:cs="Arial"/>
          <w:color w:val="000000"/>
          <w:sz w:val="22"/>
          <w:szCs w:val="22"/>
          <w:lang w:val="en-GB"/>
        </w:rPr>
        <w:footnoteReference w:id="1"/>
      </w:r>
      <w:r>
        <w:rPr>
          <w:rFonts w:ascii="Arial" w:hAnsi="Arial" w:cs="Arial"/>
          <w:color w:val="000000"/>
          <w:sz w:val="22"/>
          <w:szCs w:val="22"/>
          <w:lang w:val="en-GB"/>
        </w:rPr>
        <w:t>), and contributing to advances in market access, through Single Window</w:t>
      </w:r>
      <w:r w:rsidR="004A1F5E">
        <w:rPr>
          <w:rStyle w:val="FootnoteReference"/>
          <w:rFonts w:ascii="Arial" w:hAnsi="Arial" w:cs="Arial"/>
          <w:color w:val="000000"/>
          <w:sz w:val="22"/>
          <w:szCs w:val="22"/>
          <w:lang w:val="en-GB"/>
        </w:rPr>
        <w:footnoteReference w:id="2"/>
      </w:r>
      <w:r>
        <w:rPr>
          <w:rFonts w:ascii="Arial" w:hAnsi="Arial" w:cs="Arial"/>
          <w:color w:val="000000"/>
          <w:sz w:val="22"/>
          <w:szCs w:val="22"/>
          <w:lang w:val="en-GB"/>
        </w:rPr>
        <w:t xml:space="preserve"> and other focused </w:t>
      </w:r>
      <w:r w:rsidR="00886184">
        <w:rPr>
          <w:rFonts w:ascii="Arial" w:hAnsi="Arial" w:cs="Arial"/>
          <w:color w:val="000000"/>
          <w:sz w:val="22"/>
          <w:szCs w:val="22"/>
          <w:lang w:val="en-GB"/>
        </w:rPr>
        <w:t>T</w:t>
      </w:r>
      <w:r>
        <w:rPr>
          <w:rFonts w:ascii="Arial" w:hAnsi="Arial" w:cs="Arial"/>
          <w:color w:val="000000"/>
          <w:sz w:val="22"/>
          <w:szCs w:val="22"/>
          <w:lang w:val="en-GB"/>
        </w:rPr>
        <w:t xml:space="preserve">rade </w:t>
      </w:r>
      <w:r w:rsidR="00886184">
        <w:rPr>
          <w:rFonts w:ascii="Arial" w:hAnsi="Arial" w:cs="Arial"/>
          <w:color w:val="000000"/>
          <w:sz w:val="22"/>
          <w:szCs w:val="22"/>
          <w:lang w:val="en-GB"/>
        </w:rPr>
        <w:t>F</w:t>
      </w:r>
      <w:r>
        <w:rPr>
          <w:rFonts w:ascii="Arial" w:hAnsi="Arial" w:cs="Arial"/>
          <w:color w:val="000000"/>
          <w:sz w:val="22"/>
          <w:szCs w:val="22"/>
          <w:lang w:val="en-GB"/>
        </w:rPr>
        <w:t>acilitation initiatives.</w:t>
      </w:r>
    </w:p>
    <w:p w14:paraId="3187EA67" w14:textId="77777777" w:rsidR="009F2116" w:rsidRDefault="004A1F5E" w:rsidP="000632B0">
      <w:p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However, o</w:t>
      </w:r>
      <w:r w:rsidR="009F2116">
        <w:rPr>
          <w:rFonts w:ascii="Arial" w:hAnsi="Arial" w:cs="Arial"/>
          <w:color w:val="000000"/>
          <w:sz w:val="22"/>
          <w:szCs w:val="22"/>
          <w:lang w:val="en-GB"/>
        </w:rPr>
        <w:t>ne element underpinning successful international trade, that has historically been underappreciated, is trade-related financing.</w:t>
      </w:r>
    </w:p>
    <w:p w14:paraId="46384FAD" w14:textId="77777777" w:rsidR="009F2116" w:rsidRDefault="009F2116" w:rsidP="000632B0">
      <w:p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 xml:space="preserve">Trade </w:t>
      </w:r>
      <w:r w:rsidR="004A1F5E">
        <w:rPr>
          <w:rFonts w:ascii="Arial" w:hAnsi="Arial" w:cs="Arial"/>
          <w:color w:val="000000"/>
          <w:sz w:val="22"/>
          <w:szCs w:val="22"/>
          <w:lang w:val="en-GB"/>
        </w:rPr>
        <w:t xml:space="preserve">finance </w:t>
      </w:r>
      <w:r>
        <w:rPr>
          <w:rFonts w:ascii="Arial" w:hAnsi="Arial" w:cs="Arial"/>
          <w:color w:val="000000"/>
          <w:sz w:val="22"/>
          <w:szCs w:val="22"/>
          <w:lang w:val="en-GB"/>
        </w:rPr>
        <w:t xml:space="preserve">and supply chain finance specialists have a history of </w:t>
      </w:r>
      <w:r w:rsidR="00B937B0">
        <w:rPr>
          <w:rFonts w:ascii="Arial" w:hAnsi="Arial" w:cs="Arial"/>
          <w:color w:val="000000"/>
          <w:sz w:val="22"/>
          <w:szCs w:val="22"/>
          <w:lang w:val="en-GB"/>
        </w:rPr>
        <w:t>pursuing their activities</w:t>
      </w:r>
      <w:r>
        <w:rPr>
          <w:rFonts w:ascii="Arial" w:hAnsi="Arial" w:cs="Arial"/>
          <w:color w:val="000000"/>
          <w:sz w:val="22"/>
          <w:szCs w:val="22"/>
          <w:lang w:val="en-GB"/>
        </w:rPr>
        <w:t xml:space="preserve"> in the background, with little fanfare and limited visibility: a collective choice that served well in helping maintain confidentiality, but one that contributes to the reality that </w:t>
      </w:r>
      <w:r w:rsidR="00DB507A">
        <w:rPr>
          <w:rFonts w:ascii="Arial" w:hAnsi="Arial" w:cs="Arial"/>
          <w:color w:val="000000"/>
          <w:sz w:val="22"/>
          <w:szCs w:val="22"/>
          <w:lang w:val="en-GB"/>
        </w:rPr>
        <w:t>Trade Finance</w:t>
      </w:r>
      <w:r>
        <w:rPr>
          <w:rFonts w:ascii="Arial" w:hAnsi="Arial" w:cs="Arial"/>
          <w:color w:val="000000"/>
          <w:sz w:val="22"/>
          <w:szCs w:val="22"/>
          <w:lang w:val="en-GB"/>
        </w:rPr>
        <w:t xml:space="preserve"> is a niche business, poorly understood even by senior bankers, finance and treasury executives, and even less appreciated by policymakers.</w:t>
      </w:r>
    </w:p>
    <w:p w14:paraId="79558D04" w14:textId="77777777" w:rsidR="009F2116" w:rsidRDefault="009F2116" w:rsidP="000632B0">
      <w:p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 xml:space="preserve">One outcome of the global financial and economic crisis, in the search for global solutions to a global problem, was significant focus on trade as an engine of recovery – and the resulting realization, that much of global trade is supported by some form of </w:t>
      </w:r>
      <w:r w:rsidR="00DB507A">
        <w:rPr>
          <w:rFonts w:ascii="Arial" w:hAnsi="Arial" w:cs="Arial"/>
          <w:color w:val="000000"/>
          <w:sz w:val="22"/>
          <w:szCs w:val="22"/>
          <w:lang w:val="en-GB"/>
        </w:rPr>
        <w:t>Trade Finance</w:t>
      </w:r>
      <w:r w:rsidR="004A1F5E">
        <w:rPr>
          <w:rFonts w:ascii="Arial" w:hAnsi="Arial" w:cs="Arial"/>
          <w:color w:val="000000"/>
          <w:sz w:val="22"/>
          <w:szCs w:val="22"/>
          <w:lang w:val="en-GB"/>
        </w:rPr>
        <w:t xml:space="preserve"> </w:t>
      </w:r>
      <w:r>
        <w:rPr>
          <w:rFonts w:ascii="Arial" w:hAnsi="Arial" w:cs="Arial"/>
          <w:color w:val="000000"/>
          <w:sz w:val="22"/>
          <w:szCs w:val="22"/>
          <w:lang w:val="en-GB"/>
        </w:rPr>
        <w:t xml:space="preserve">and </w:t>
      </w:r>
      <w:r w:rsidR="00236ED1">
        <w:rPr>
          <w:rFonts w:ascii="Arial" w:hAnsi="Arial" w:cs="Arial"/>
          <w:color w:val="000000"/>
          <w:sz w:val="22"/>
          <w:szCs w:val="22"/>
          <w:lang w:val="en-GB"/>
        </w:rPr>
        <w:t>S</w:t>
      </w:r>
      <w:r>
        <w:rPr>
          <w:rFonts w:ascii="Arial" w:hAnsi="Arial" w:cs="Arial"/>
          <w:color w:val="000000"/>
          <w:sz w:val="22"/>
          <w:szCs w:val="22"/>
          <w:lang w:val="en-GB"/>
        </w:rPr>
        <w:t xml:space="preserve">upply </w:t>
      </w:r>
      <w:r w:rsidR="00236ED1">
        <w:rPr>
          <w:rFonts w:ascii="Arial" w:hAnsi="Arial" w:cs="Arial"/>
          <w:color w:val="000000"/>
          <w:sz w:val="22"/>
          <w:szCs w:val="22"/>
          <w:lang w:val="en-GB"/>
        </w:rPr>
        <w:t>C</w:t>
      </w:r>
      <w:r>
        <w:rPr>
          <w:rFonts w:ascii="Arial" w:hAnsi="Arial" w:cs="Arial"/>
          <w:color w:val="000000"/>
          <w:sz w:val="22"/>
          <w:szCs w:val="22"/>
          <w:lang w:val="en-GB"/>
        </w:rPr>
        <w:t xml:space="preserve">hain </w:t>
      </w:r>
      <w:r w:rsidR="00236ED1">
        <w:rPr>
          <w:rFonts w:ascii="Arial" w:hAnsi="Arial" w:cs="Arial"/>
          <w:color w:val="000000"/>
          <w:sz w:val="22"/>
          <w:szCs w:val="22"/>
          <w:lang w:val="en-GB"/>
        </w:rPr>
        <w:t>F</w:t>
      </w:r>
      <w:r>
        <w:rPr>
          <w:rFonts w:ascii="Arial" w:hAnsi="Arial" w:cs="Arial"/>
          <w:color w:val="000000"/>
          <w:sz w:val="22"/>
          <w:szCs w:val="22"/>
          <w:lang w:val="en-GB"/>
        </w:rPr>
        <w:t xml:space="preserve">inance. Estimates suggest that over 80% of merchandise trade flows could not take place without some element of the </w:t>
      </w:r>
      <w:r w:rsidR="00DB507A">
        <w:rPr>
          <w:rFonts w:ascii="Arial" w:hAnsi="Arial" w:cs="Arial"/>
          <w:color w:val="000000"/>
          <w:sz w:val="22"/>
          <w:szCs w:val="22"/>
          <w:lang w:val="en-GB"/>
        </w:rPr>
        <w:t>Trade Finance</w:t>
      </w:r>
      <w:r>
        <w:rPr>
          <w:rFonts w:ascii="Arial" w:hAnsi="Arial" w:cs="Arial"/>
          <w:color w:val="000000"/>
          <w:sz w:val="22"/>
          <w:szCs w:val="22"/>
          <w:lang w:val="en-GB"/>
        </w:rPr>
        <w:t xml:space="preserve"> value proposition supporting and enabling those flows.</w:t>
      </w:r>
    </w:p>
    <w:p w14:paraId="620FC53E" w14:textId="77777777" w:rsidR="009F2116" w:rsidRDefault="00500EC9" w:rsidP="000632B0">
      <w:p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 xml:space="preserve">While industry metrics are not easily sourced, the recent focus on </w:t>
      </w:r>
      <w:r w:rsidR="00DB507A">
        <w:rPr>
          <w:rFonts w:ascii="Arial" w:hAnsi="Arial" w:cs="Arial"/>
          <w:color w:val="000000"/>
          <w:sz w:val="22"/>
          <w:szCs w:val="22"/>
          <w:lang w:val="en-GB"/>
        </w:rPr>
        <w:t>Trade Finance</w:t>
      </w:r>
      <w:r>
        <w:rPr>
          <w:rFonts w:ascii="Arial" w:hAnsi="Arial" w:cs="Arial"/>
          <w:color w:val="000000"/>
          <w:sz w:val="22"/>
          <w:szCs w:val="22"/>
          <w:lang w:val="en-GB"/>
        </w:rPr>
        <w:t xml:space="preserve"> arising directly from the crisis and its aftermath has resulted in some investment of intellectual and research energy into the domain, which facilitates a better understanding of the impact and value of financing in support of international commerce. This foundation can then lead to consideration of the potential in better linking </w:t>
      </w:r>
      <w:r w:rsidR="00DB507A">
        <w:rPr>
          <w:rFonts w:ascii="Arial" w:hAnsi="Arial" w:cs="Arial"/>
          <w:color w:val="000000"/>
          <w:sz w:val="22"/>
          <w:szCs w:val="22"/>
          <w:lang w:val="en-GB"/>
        </w:rPr>
        <w:t>Trade Finance</w:t>
      </w:r>
      <w:r w:rsidR="008C6299">
        <w:rPr>
          <w:rFonts w:ascii="Arial" w:hAnsi="Arial" w:cs="Arial"/>
          <w:color w:val="000000"/>
          <w:sz w:val="22"/>
          <w:szCs w:val="22"/>
          <w:lang w:val="en-GB"/>
        </w:rPr>
        <w:t xml:space="preserve"> </w:t>
      </w:r>
      <w:r>
        <w:rPr>
          <w:rFonts w:ascii="Arial" w:hAnsi="Arial" w:cs="Arial"/>
          <w:color w:val="000000"/>
          <w:sz w:val="22"/>
          <w:szCs w:val="22"/>
          <w:lang w:val="en-GB"/>
        </w:rPr>
        <w:t xml:space="preserve">and </w:t>
      </w:r>
      <w:r w:rsidR="00236ED1">
        <w:rPr>
          <w:rFonts w:ascii="Arial" w:hAnsi="Arial" w:cs="Arial"/>
          <w:color w:val="000000"/>
          <w:sz w:val="22"/>
          <w:szCs w:val="22"/>
          <w:lang w:val="en-GB"/>
        </w:rPr>
        <w:t>S</w:t>
      </w:r>
      <w:r>
        <w:rPr>
          <w:rFonts w:ascii="Arial" w:hAnsi="Arial" w:cs="Arial"/>
          <w:color w:val="000000"/>
          <w:sz w:val="22"/>
          <w:szCs w:val="22"/>
          <w:lang w:val="en-GB"/>
        </w:rPr>
        <w:t xml:space="preserve">upply </w:t>
      </w:r>
      <w:r w:rsidR="00236ED1">
        <w:rPr>
          <w:rFonts w:ascii="Arial" w:hAnsi="Arial" w:cs="Arial"/>
          <w:color w:val="000000"/>
          <w:sz w:val="22"/>
          <w:szCs w:val="22"/>
          <w:lang w:val="en-GB"/>
        </w:rPr>
        <w:t>C</w:t>
      </w:r>
      <w:r>
        <w:rPr>
          <w:rFonts w:ascii="Arial" w:hAnsi="Arial" w:cs="Arial"/>
          <w:color w:val="000000"/>
          <w:sz w:val="22"/>
          <w:szCs w:val="22"/>
          <w:lang w:val="en-GB"/>
        </w:rPr>
        <w:t xml:space="preserve">hain </w:t>
      </w:r>
      <w:r w:rsidR="00236ED1">
        <w:rPr>
          <w:rFonts w:ascii="Arial" w:hAnsi="Arial" w:cs="Arial"/>
          <w:color w:val="000000"/>
          <w:sz w:val="22"/>
          <w:szCs w:val="22"/>
          <w:lang w:val="en-GB"/>
        </w:rPr>
        <w:t>Finance</w:t>
      </w:r>
      <w:r>
        <w:rPr>
          <w:rFonts w:ascii="Arial" w:hAnsi="Arial" w:cs="Arial"/>
          <w:color w:val="000000"/>
          <w:sz w:val="22"/>
          <w:szCs w:val="22"/>
          <w:lang w:val="en-GB"/>
        </w:rPr>
        <w:t xml:space="preserve">, to </w:t>
      </w:r>
      <w:r w:rsidR="00236ED1">
        <w:rPr>
          <w:rFonts w:ascii="Arial" w:hAnsi="Arial" w:cs="Arial"/>
          <w:color w:val="000000"/>
          <w:sz w:val="22"/>
          <w:szCs w:val="22"/>
          <w:lang w:val="en-GB"/>
        </w:rPr>
        <w:t>Trade Facilitation</w:t>
      </w:r>
      <w:r>
        <w:rPr>
          <w:rFonts w:ascii="Arial" w:hAnsi="Arial" w:cs="Arial"/>
          <w:color w:val="000000"/>
          <w:sz w:val="22"/>
          <w:szCs w:val="22"/>
          <w:lang w:val="en-GB"/>
        </w:rPr>
        <w:t xml:space="preserve"> practices, including Single Window market access initiatives.</w:t>
      </w:r>
    </w:p>
    <w:p w14:paraId="120EBFDB" w14:textId="77777777" w:rsidR="00500EC9" w:rsidRDefault="00500EC9" w:rsidP="000632B0">
      <w:p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lastRenderedPageBreak/>
        <w:t xml:space="preserve">Prior to delving into the core of the discussion, however, it is worth setting the stage with a high-level overview of the nature of </w:t>
      </w:r>
      <w:r w:rsidR="00DB507A">
        <w:rPr>
          <w:rFonts w:ascii="Arial" w:hAnsi="Arial" w:cs="Arial"/>
          <w:color w:val="000000"/>
          <w:sz w:val="22"/>
          <w:szCs w:val="22"/>
          <w:lang w:val="en-GB"/>
        </w:rPr>
        <w:t>Trade Finance</w:t>
      </w:r>
      <w:r w:rsidR="008C6299">
        <w:rPr>
          <w:rFonts w:ascii="Arial" w:hAnsi="Arial" w:cs="Arial"/>
          <w:color w:val="000000"/>
          <w:sz w:val="22"/>
          <w:szCs w:val="22"/>
          <w:lang w:val="en-GB"/>
        </w:rPr>
        <w:t xml:space="preserve"> </w:t>
      </w:r>
      <w:r>
        <w:rPr>
          <w:rFonts w:ascii="Arial" w:hAnsi="Arial" w:cs="Arial"/>
          <w:color w:val="000000"/>
          <w:sz w:val="22"/>
          <w:szCs w:val="22"/>
          <w:lang w:val="en-GB"/>
        </w:rPr>
        <w:t xml:space="preserve">and </w:t>
      </w:r>
      <w:r w:rsidR="00236ED1">
        <w:rPr>
          <w:rFonts w:ascii="Arial" w:hAnsi="Arial" w:cs="Arial"/>
          <w:color w:val="000000"/>
          <w:sz w:val="22"/>
          <w:szCs w:val="22"/>
          <w:lang w:val="en-GB"/>
        </w:rPr>
        <w:t>S</w:t>
      </w:r>
      <w:r>
        <w:rPr>
          <w:rFonts w:ascii="Arial" w:hAnsi="Arial" w:cs="Arial"/>
          <w:color w:val="000000"/>
          <w:sz w:val="22"/>
          <w:szCs w:val="22"/>
          <w:lang w:val="en-GB"/>
        </w:rPr>
        <w:t xml:space="preserve">upply </w:t>
      </w:r>
      <w:r w:rsidR="00236ED1">
        <w:rPr>
          <w:rFonts w:ascii="Arial" w:hAnsi="Arial" w:cs="Arial"/>
          <w:color w:val="000000"/>
          <w:sz w:val="22"/>
          <w:szCs w:val="22"/>
          <w:lang w:val="en-GB"/>
        </w:rPr>
        <w:t>C</w:t>
      </w:r>
      <w:r>
        <w:rPr>
          <w:rFonts w:ascii="Arial" w:hAnsi="Arial" w:cs="Arial"/>
          <w:color w:val="000000"/>
          <w:sz w:val="22"/>
          <w:szCs w:val="22"/>
          <w:lang w:val="en-GB"/>
        </w:rPr>
        <w:t xml:space="preserve">hain </w:t>
      </w:r>
      <w:r w:rsidR="00236ED1">
        <w:rPr>
          <w:rFonts w:ascii="Arial" w:hAnsi="Arial" w:cs="Arial"/>
          <w:color w:val="000000"/>
          <w:sz w:val="22"/>
          <w:szCs w:val="22"/>
          <w:lang w:val="en-GB"/>
        </w:rPr>
        <w:t>F</w:t>
      </w:r>
      <w:r>
        <w:rPr>
          <w:rFonts w:ascii="Arial" w:hAnsi="Arial" w:cs="Arial"/>
          <w:color w:val="000000"/>
          <w:sz w:val="22"/>
          <w:szCs w:val="22"/>
          <w:lang w:val="en-GB"/>
        </w:rPr>
        <w:t>inance.</w:t>
      </w:r>
    </w:p>
    <w:p w14:paraId="5AE2F05A" w14:textId="77777777" w:rsidR="008B04C8" w:rsidRDefault="008B04C8" w:rsidP="000632B0">
      <w:p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The expression “</w:t>
      </w:r>
      <w:r w:rsidR="002A49A6">
        <w:rPr>
          <w:rFonts w:ascii="Arial" w:hAnsi="Arial" w:cs="Arial"/>
          <w:color w:val="000000"/>
          <w:sz w:val="22"/>
          <w:szCs w:val="22"/>
          <w:lang w:val="en-GB"/>
        </w:rPr>
        <w:t>T</w:t>
      </w:r>
      <w:r>
        <w:rPr>
          <w:rFonts w:ascii="Arial" w:hAnsi="Arial" w:cs="Arial"/>
          <w:color w:val="000000"/>
          <w:sz w:val="22"/>
          <w:szCs w:val="22"/>
          <w:lang w:val="en-GB"/>
        </w:rPr>
        <w:t xml:space="preserve">rade </w:t>
      </w:r>
      <w:r w:rsidR="002A49A6">
        <w:rPr>
          <w:rFonts w:ascii="Arial" w:hAnsi="Arial" w:cs="Arial"/>
          <w:color w:val="000000"/>
          <w:sz w:val="22"/>
          <w:szCs w:val="22"/>
          <w:lang w:val="en-GB"/>
        </w:rPr>
        <w:t>F</w:t>
      </w:r>
      <w:r>
        <w:rPr>
          <w:rFonts w:ascii="Arial" w:hAnsi="Arial" w:cs="Arial"/>
          <w:color w:val="000000"/>
          <w:sz w:val="22"/>
          <w:szCs w:val="22"/>
          <w:lang w:val="en-GB"/>
        </w:rPr>
        <w:t xml:space="preserve">inance” has very specific connotations for practitioners: it typically refers to the financing of trade flows on a short-term basis, with some institutions limiting </w:t>
      </w:r>
      <w:r w:rsidR="00DB507A">
        <w:rPr>
          <w:rFonts w:ascii="Arial" w:hAnsi="Arial" w:cs="Arial"/>
          <w:color w:val="000000"/>
          <w:sz w:val="22"/>
          <w:szCs w:val="22"/>
          <w:lang w:val="en-GB"/>
        </w:rPr>
        <w:t>Trade Finance</w:t>
      </w:r>
      <w:r>
        <w:rPr>
          <w:rFonts w:ascii="Arial" w:hAnsi="Arial" w:cs="Arial"/>
          <w:color w:val="000000"/>
          <w:sz w:val="22"/>
          <w:szCs w:val="22"/>
          <w:lang w:val="en-GB"/>
        </w:rPr>
        <w:t xml:space="preserve"> to 360-day terms, and others extending up to 24 months. Transactions with longer tenors (longer periods of financing, or exposure, from the perspective of the lender) </w:t>
      </w:r>
      <w:r w:rsidR="002A49A6">
        <w:rPr>
          <w:rFonts w:ascii="Arial" w:hAnsi="Arial" w:cs="Arial"/>
          <w:color w:val="000000"/>
          <w:sz w:val="22"/>
          <w:szCs w:val="22"/>
          <w:lang w:val="en-GB"/>
        </w:rPr>
        <w:t xml:space="preserve">exist and </w:t>
      </w:r>
      <w:r>
        <w:rPr>
          <w:rFonts w:ascii="Arial" w:hAnsi="Arial" w:cs="Arial"/>
          <w:color w:val="000000"/>
          <w:sz w:val="22"/>
          <w:szCs w:val="22"/>
          <w:lang w:val="en-GB"/>
        </w:rPr>
        <w:t xml:space="preserve">are often referred to as “Medium </w:t>
      </w:r>
      <w:r w:rsidR="00E543BA">
        <w:rPr>
          <w:rFonts w:ascii="Arial" w:hAnsi="Arial" w:cs="Arial"/>
          <w:color w:val="000000"/>
          <w:sz w:val="22"/>
          <w:szCs w:val="22"/>
          <w:lang w:val="en-GB"/>
        </w:rPr>
        <w:t xml:space="preserve">or </w:t>
      </w:r>
      <w:r>
        <w:rPr>
          <w:rFonts w:ascii="Arial" w:hAnsi="Arial" w:cs="Arial"/>
          <w:color w:val="000000"/>
          <w:sz w:val="22"/>
          <w:szCs w:val="22"/>
          <w:lang w:val="en-GB"/>
        </w:rPr>
        <w:t xml:space="preserve">Long Term Trade Finance”, and might cover transactions extending </w:t>
      </w:r>
      <w:r w:rsidR="00236ED1">
        <w:rPr>
          <w:rFonts w:ascii="Arial" w:hAnsi="Arial" w:cs="Arial"/>
          <w:color w:val="000000"/>
          <w:sz w:val="22"/>
          <w:szCs w:val="22"/>
          <w:lang w:val="en-GB"/>
        </w:rPr>
        <w:t xml:space="preserve">up </w:t>
      </w:r>
      <w:r>
        <w:rPr>
          <w:rFonts w:ascii="Arial" w:hAnsi="Arial" w:cs="Arial"/>
          <w:color w:val="000000"/>
          <w:sz w:val="22"/>
          <w:szCs w:val="22"/>
          <w:lang w:val="en-GB"/>
        </w:rPr>
        <w:t xml:space="preserve">to fifteen years. The third category, referred to as </w:t>
      </w:r>
      <w:r w:rsidR="002A49A6">
        <w:rPr>
          <w:rFonts w:ascii="Arial" w:hAnsi="Arial" w:cs="Arial"/>
          <w:color w:val="000000"/>
          <w:sz w:val="22"/>
          <w:szCs w:val="22"/>
          <w:lang w:val="en-GB"/>
        </w:rPr>
        <w:t>“P</w:t>
      </w:r>
      <w:r>
        <w:rPr>
          <w:rFonts w:ascii="Arial" w:hAnsi="Arial" w:cs="Arial"/>
          <w:color w:val="000000"/>
          <w:sz w:val="22"/>
          <w:szCs w:val="22"/>
          <w:lang w:val="en-GB"/>
        </w:rPr>
        <w:t xml:space="preserve">roject </w:t>
      </w:r>
      <w:r w:rsidR="002A49A6">
        <w:rPr>
          <w:rFonts w:ascii="Arial" w:hAnsi="Arial" w:cs="Arial"/>
          <w:color w:val="000000"/>
          <w:sz w:val="22"/>
          <w:szCs w:val="22"/>
          <w:lang w:val="en-GB"/>
        </w:rPr>
        <w:t>F</w:t>
      </w:r>
      <w:r>
        <w:rPr>
          <w:rFonts w:ascii="Arial" w:hAnsi="Arial" w:cs="Arial"/>
          <w:color w:val="000000"/>
          <w:sz w:val="22"/>
          <w:szCs w:val="22"/>
          <w:lang w:val="en-GB"/>
        </w:rPr>
        <w:t>inance</w:t>
      </w:r>
      <w:r w:rsidR="002A49A6">
        <w:rPr>
          <w:rFonts w:ascii="Arial" w:hAnsi="Arial" w:cs="Arial"/>
          <w:color w:val="000000"/>
          <w:sz w:val="22"/>
          <w:szCs w:val="22"/>
          <w:lang w:val="en-GB"/>
        </w:rPr>
        <w:t>”</w:t>
      </w:r>
      <w:r>
        <w:rPr>
          <w:rFonts w:ascii="Arial" w:hAnsi="Arial" w:cs="Arial"/>
          <w:color w:val="000000"/>
          <w:sz w:val="22"/>
          <w:szCs w:val="22"/>
          <w:lang w:val="en-GB"/>
        </w:rPr>
        <w:t>, typically involves major capital projects, with timelines extending to twenty or</w:t>
      </w:r>
      <w:r w:rsidR="002A49A6">
        <w:rPr>
          <w:rFonts w:ascii="Arial" w:hAnsi="Arial" w:cs="Arial"/>
          <w:color w:val="000000"/>
          <w:sz w:val="22"/>
          <w:szCs w:val="22"/>
          <w:lang w:val="en-GB"/>
        </w:rPr>
        <w:t xml:space="preserve"> even</w:t>
      </w:r>
      <w:r>
        <w:rPr>
          <w:rFonts w:ascii="Arial" w:hAnsi="Arial" w:cs="Arial"/>
          <w:color w:val="000000"/>
          <w:sz w:val="22"/>
          <w:szCs w:val="22"/>
          <w:lang w:val="en-GB"/>
        </w:rPr>
        <w:t xml:space="preserve"> thirty years.</w:t>
      </w:r>
    </w:p>
    <w:p w14:paraId="4F2B8496" w14:textId="77777777" w:rsidR="00236ED1" w:rsidRDefault="005F0D2A" w:rsidP="000632B0">
      <w:p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 xml:space="preserve">Trade </w:t>
      </w:r>
      <w:r w:rsidR="00236ED1">
        <w:rPr>
          <w:rFonts w:ascii="Arial" w:hAnsi="Arial" w:cs="Arial"/>
          <w:color w:val="000000"/>
          <w:sz w:val="22"/>
          <w:szCs w:val="22"/>
          <w:lang w:val="en-GB"/>
        </w:rPr>
        <w:t>F</w:t>
      </w:r>
      <w:r>
        <w:rPr>
          <w:rFonts w:ascii="Arial" w:hAnsi="Arial" w:cs="Arial"/>
          <w:color w:val="000000"/>
          <w:sz w:val="22"/>
          <w:szCs w:val="22"/>
          <w:lang w:val="en-GB"/>
        </w:rPr>
        <w:t>inance, likewise, typically refer</w:t>
      </w:r>
      <w:r w:rsidR="00236ED1">
        <w:rPr>
          <w:rFonts w:ascii="Arial" w:hAnsi="Arial" w:cs="Arial"/>
          <w:color w:val="000000"/>
          <w:sz w:val="22"/>
          <w:szCs w:val="22"/>
          <w:lang w:val="en-GB"/>
        </w:rPr>
        <w:t>red</w:t>
      </w:r>
      <w:r>
        <w:rPr>
          <w:rFonts w:ascii="Arial" w:hAnsi="Arial" w:cs="Arial"/>
          <w:color w:val="000000"/>
          <w:sz w:val="22"/>
          <w:szCs w:val="22"/>
          <w:lang w:val="en-GB"/>
        </w:rPr>
        <w:t xml:space="preserve"> to traditional mechanisms and techniques for financing trade, such as documentary collections and documentary letters of credit in contrast to emerging propositions under the increasingly common term </w:t>
      </w:r>
      <w:r w:rsidR="002A49A6">
        <w:rPr>
          <w:rFonts w:ascii="Arial" w:hAnsi="Arial" w:cs="Arial"/>
          <w:color w:val="000000"/>
          <w:sz w:val="22"/>
          <w:szCs w:val="22"/>
          <w:lang w:val="en-GB"/>
        </w:rPr>
        <w:t>“S</w:t>
      </w:r>
      <w:r>
        <w:rPr>
          <w:rFonts w:ascii="Arial" w:hAnsi="Arial" w:cs="Arial"/>
          <w:color w:val="000000"/>
          <w:sz w:val="22"/>
          <w:szCs w:val="22"/>
          <w:lang w:val="en-GB"/>
        </w:rPr>
        <w:t xml:space="preserve">upply </w:t>
      </w:r>
      <w:r w:rsidR="002A49A6">
        <w:rPr>
          <w:rFonts w:ascii="Arial" w:hAnsi="Arial" w:cs="Arial"/>
          <w:color w:val="000000"/>
          <w:sz w:val="22"/>
          <w:szCs w:val="22"/>
          <w:lang w:val="en-GB"/>
        </w:rPr>
        <w:t>C</w:t>
      </w:r>
      <w:r>
        <w:rPr>
          <w:rFonts w:ascii="Arial" w:hAnsi="Arial" w:cs="Arial"/>
          <w:color w:val="000000"/>
          <w:sz w:val="22"/>
          <w:szCs w:val="22"/>
          <w:lang w:val="en-GB"/>
        </w:rPr>
        <w:t xml:space="preserve">hain </w:t>
      </w:r>
      <w:r w:rsidR="002A49A6">
        <w:rPr>
          <w:rFonts w:ascii="Arial" w:hAnsi="Arial" w:cs="Arial"/>
          <w:color w:val="000000"/>
          <w:sz w:val="22"/>
          <w:szCs w:val="22"/>
          <w:lang w:val="en-GB"/>
        </w:rPr>
        <w:t>F</w:t>
      </w:r>
      <w:r>
        <w:rPr>
          <w:rFonts w:ascii="Arial" w:hAnsi="Arial" w:cs="Arial"/>
          <w:color w:val="000000"/>
          <w:sz w:val="22"/>
          <w:szCs w:val="22"/>
          <w:lang w:val="en-GB"/>
        </w:rPr>
        <w:t>inance</w:t>
      </w:r>
      <w:r w:rsidR="002A49A6">
        <w:rPr>
          <w:rFonts w:ascii="Arial" w:hAnsi="Arial" w:cs="Arial"/>
          <w:color w:val="000000"/>
          <w:sz w:val="22"/>
          <w:szCs w:val="22"/>
          <w:lang w:val="en-GB"/>
        </w:rPr>
        <w:t>”</w:t>
      </w:r>
      <w:r>
        <w:rPr>
          <w:rFonts w:ascii="Arial" w:hAnsi="Arial" w:cs="Arial"/>
          <w:color w:val="000000"/>
          <w:sz w:val="22"/>
          <w:szCs w:val="22"/>
          <w:lang w:val="en-GB"/>
        </w:rPr>
        <w:t xml:space="preserve"> (SCF). The industry, including bankers, non-bank financiers and corporate clients, is still in the process of defining </w:t>
      </w:r>
      <w:r w:rsidR="00E543BA">
        <w:rPr>
          <w:rFonts w:ascii="Arial" w:hAnsi="Arial" w:cs="Arial"/>
          <w:color w:val="000000"/>
          <w:sz w:val="22"/>
          <w:szCs w:val="22"/>
          <w:lang w:val="en-GB"/>
        </w:rPr>
        <w:t>S</w:t>
      </w:r>
      <w:r>
        <w:rPr>
          <w:rFonts w:ascii="Arial" w:hAnsi="Arial" w:cs="Arial"/>
          <w:color w:val="000000"/>
          <w:sz w:val="22"/>
          <w:szCs w:val="22"/>
          <w:lang w:val="en-GB"/>
        </w:rPr>
        <w:t xml:space="preserve">upply </w:t>
      </w:r>
      <w:r w:rsidR="00E543BA">
        <w:rPr>
          <w:rFonts w:ascii="Arial" w:hAnsi="Arial" w:cs="Arial"/>
          <w:color w:val="000000"/>
          <w:sz w:val="22"/>
          <w:szCs w:val="22"/>
          <w:lang w:val="en-GB"/>
        </w:rPr>
        <w:t>C</w:t>
      </w:r>
      <w:r>
        <w:rPr>
          <w:rFonts w:ascii="Arial" w:hAnsi="Arial" w:cs="Arial"/>
          <w:color w:val="000000"/>
          <w:sz w:val="22"/>
          <w:szCs w:val="22"/>
          <w:lang w:val="en-GB"/>
        </w:rPr>
        <w:t xml:space="preserve">hain </w:t>
      </w:r>
      <w:r w:rsidR="00E543BA">
        <w:rPr>
          <w:rFonts w:ascii="Arial" w:hAnsi="Arial" w:cs="Arial"/>
          <w:color w:val="000000"/>
          <w:sz w:val="22"/>
          <w:szCs w:val="22"/>
          <w:lang w:val="en-GB"/>
        </w:rPr>
        <w:t>F</w:t>
      </w:r>
      <w:r>
        <w:rPr>
          <w:rFonts w:ascii="Arial" w:hAnsi="Arial" w:cs="Arial"/>
          <w:color w:val="000000"/>
          <w:sz w:val="22"/>
          <w:szCs w:val="22"/>
          <w:lang w:val="en-GB"/>
        </w:rPr>
        <w:t xml:space="preserve">inance, or at least achieving some level of consensus, alignment and consistency around the terminology, and around the relationship between traditional </w:t>
      </w:r>
      <w:r w:rsidR="00E543BA">
        <w:rPr>
          <w:rFonts w:ascii="Arial" w:hAnsi="Arial" w:cs="Arial"/>
          <w:color w:val="000000"/>
          <w:sz w:val="22"/>
          <w:szCs w:val="22"/>
          <w:lang w:val="en-GB"/>
        </w:rPr>
        <w:t>T</w:t>
      </w:r>
      <w:r>
        <w:rPr>
          <w:rFonts w:ascii="Arial" w:hAnsi="Arial" w:cs="Arial"/>
          <w:color w:val="000000"/>
          <w:sz w:val="22"/>
          <w:szCs w:val="22"/>
          <w:lang w:val="en-GB"/>
        </w:rPr>
        <w:t xml:space="preserve">rade </w:t>
      </w:r>
      <w:r w:rsidR="00E543BA">
        <w:rPr>
          <w:rFonts w:ascii="Arial" w:hAnsi="Arial" w:cs="Arial"/>
          <w:color w:val="000000"/>
          <w:sz w:val="22"/>
          <w:szCs w:val="22"/>
          <w:lang w:val="en-GB"/>
        </w:rPr>
        <w:t>F</w:t>
      </w:r>
      <w:r>
        <w:rPr>
          <w:rFonts w:ascii="Arial" w:hAnsi="Arial" w:cs="Arial"/>
          <w:color w:val="000000"/>
          <w:sz w:val="22"/>
          <w:szCs w:val="22"/>
          <w:lang w:val="en-GB"/>
        </w:rPr>
        <w:t xml:space="preserve">inance and </w:t>
      </w:r>
      <w:r w:rsidR="00E543BA">
        <w:rPr>
          <w:rFonts w:ascii="Arial" w:hAnsi="Arial" w:cs="Arial"/>
          <w:color w:val="000000"/>
          <w:sz w:val="22"/>
          <w:szCs w:val="22"/>
          <w:lang w:val="en-GB"/>
        </w:rPr>
        <w:t>S</w:t>
      </w:r>
      <w:r>
        <w:rPr>
          <w:rFonts w:ascii="Arial" w:hAnsi="Arial" w:cs="Arial"/>
          <w:color w:val="000000"/>
          <w:sz w:val="22"/>
          <w:szCs w:val="22"/>
          <w:lang w:val="en-GB"/>
        </w:rPr>
        <w:t xml:space="preserve">upply </w:t>
      </w:r>
      <w:r w:rsidR="00E543BA">
        <w:rPr>
          <w:rFonts w:ascii="Arial" w:hAnsi="Arial" w:cs="Arial"/>
          <w:color w:val="000000"/>
          <w:sz w:val="22"/>
          <w:szCs w:val="22"/>
          <w:lang w:val="en-GB"/>
        </w:rPr>
        <w:t>C</w:t>
      </w:r>
      <w:r>
        <w:rPr>
          <w:rFonts w:ascii="Arial" w:hAnsi="Arial" w:cs="Arial"/>
          <w:color w:val="000000"/>
          <w:sz w:val="22"/>
          <w:szCs w:val="22"/>
          <w:lang w:val="en-GB"/>
        </w:rPr>
        <w:t xml:space="preserve">hain </w:t>
      </w:r>
      <w:r w:rsidR="00E543BA">
        <w:rPr>
          <w:rFonts w:ascii="Arial" w:hAnsi="Arial" w:cs="Arial"/>
          <w:color w:val="000000"/>
          <w:sz w:val="22"/>
          <w:szCs w:val="22"/>
          <w:lang w:val="en-GB"/>
        </w:rPr>
        <w:t>F</w:t>
      </w:r>
      <w:r>
        <w:rPr>
          <w:rFonts w:ascii="Arial" w:hAnsi="Arial" w:cs="Arial"/>
          <w:color w:val="000000"/>
          <w:sz w:val="22"/>
          <w:szCs w:val="22"/>
          <w:lang w:val="en-GB"/>
        </w:rPr>
        <w:t xml:space="preserve">inance. </w:t>
      </w:r>
    </w:p>
    <w:p w14:paraId="538A4ACE" w14:textId="77777777" w:rsidR="005F0D2A" w:rsidRDefault="005F0D2A" w:rsidP="000632B0">
      <w:p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 xml:space="preserve">It appears that </w:t>
      </w:r>
      <w:r w:rsidR="00236ED1">
        <w:rPr>
          <w:rFonts w:ascii="Arial" w:hAnsi="Arial" w:cs="Arial"/>
          <w:color w:val="000000"/>
          <w:sz w:val="22"/>
          <w:szCs w:val="22"/>
          <w:lang w:val="en-GB"/>
        </w:rPr>
        <w:t>one</w:t>
      </w:r>
      <w:r>
        <w:rPr>
          <w:rFonts w:ascii="Arial" w:hAnsi="Arial" w:cs="Arial"/>
          <w:color w:val="000000"/>
          <w:sz w:val="22"/>
          <w:szCs w:val="22"/>
          <w:lang w:val="en-GB"/>
        </w:rPr>
        <w:t xml:space="preserve"> emerging </w:t>
      </w:r>
      <w:r w:rsidR="005C626D">
        <w:rPr>
          <w:rFonts w:ascii="Arial" w:hAnsi="Arial" w:cs="Arial"/>
          <w:color w:val="000000"/>
          <w:sz w:val="22"/>
          <w:szCs w:val="22"/>
          <w:lang w:val="en-GB"/>
        </w:rPr>
        <w:t>view</w:t>
      </w:r>
      <w:r>
        <w:rPr>
          <w:rFonts w:ascii="Arial" w:hAnsi="Arial" w:cs="Arial"/>
          <w:color w:val="000000"/>
          <w:sz w:val="22"/>
          <w:szCs w:val="22"/>
          <w:lang w:val="en-GB"/>
        </w:rPr>
        <w:t xml:space="preserve"> is that </w:t>
      </w:r>
      <w:r w:rsidR="00E543BA">
        <w:rPr>
          <w:rFonts w:ascii="Arial" w:hAnsi="Arial" w:cs="Arial"/>
          <w:color w:val="000000"/>
          <w:sz w:val="22"/>
          <w:szCs w:val="22"/>
          <w:lang w:val="en-GB"/>
        </w:rPr>
        <w:t>Trade F</w:t>
      </w:r>
      <w:r>
        <w:rPr>
          <w:rFonts w:ascii="Arial" w:hAnsi="Arial" w:cs="Arial"/>
          <w:color w:val="000000"/>
          <w:sz w:val="22"/>
          <w:szCs w:val="22"/>
          <w:lang w:val="en-GB"/>
        </w:rPr>
        <w:t xml:space="preserve">inance </w:t>
      </w:r>
      <w:r w:rsidR="00236ED1">
        <w:rPr>
          <w:rFonts w:ascii="Arial" w:hAnsi="Arial" w:cs="Arial"/>
          <w:color w:val="000000"/>
          <w:sz w:val="22"/>
          <w:szCs w:val="22"/>
          <w:lang w:val="en-GB"/>
        </w:rPr>
        <w:t>ought to be understood to be</w:t>
      </w:r>
      <w:r w:rsidR="00E543BA">
        <w:rPr>
          <w:rFonts w:ascii="Arial" w:hAnsi="Arial" w:cs="Arial"/>
          <w:color w:val="000000"/>
          <w:sz w:val="22"/>
          <w:szCs w:val="22"/>
          <w:lang w:val="en-GB"/>
        </w:rPr>
        <w:t xml:space="preserve"> </w:t>
      </w:r>
      <w:r>
        <w:rPr>
          <w:rFonts w:ascii="Arial" w:hAnsi="Arial" w:cs="Arial"/>
          <w:color w:val="000000"/>
          <w:sz w:val="22"/>
          <w:szCs w:val="22"/>
          <w:lang w:val="en-GB"/>
        </w:rPr>
        <w:t xml:space="preserve">a subset of </w:t>
      </w:r>
      <w:r w:rsidR="001A0489">
        <w:rPr>
          <w:rFonts w:ascii="Arial" w:hAnsi="Arial" w:cs="Arial"/>
          <w:color w:val="000000"/>
          <w:sz w:val="22"/>
          <w:szCs w:val="22"/>
          <w:lang w:val="en-GB"/>
        </w:rPr>
        <w:t>Supply Chain Finance</w:t>
      </w:r>
      <w:r>
        <w:rPr>
          <w:rFonts w:ascii="Arial" w:hAnsi="Arial" w:cs="Arial"/>
          <w:color w:val="000000"/>
          <w:sz w:val="22"/>
          <w:szCs w:val="22"/>
          <w:lang w:val="en-GB"/>
        </w:rPr>
        <w:t xml:space="preserve">. What is </w:t>
      </w:r>
      <w:r w:rsidR="004A4634">
        <w:rPr>
          <w:rFonts w:ascii="Arial" w:hAnsi="Arial" w:cs="Arial"/>
          <w:color w:val="000000"/>
          <w:sz w:val="22"/>
          <w:szCs w:val="22"/>
          <w:lang w:val="en-GB"/>
        </w:rPr>
        <w:t>clear</w:t>
      </w:r>
      <w:r>
        <w:rPr>
          <w:rFonts w:ascii="Arial" w:hAnsi="Arial" w:cs="Arial"/>
          <w:color w:val="000000"/>
          <w:sz w:val="22"/>
          <w:szCs w:val="22"/>
          <w:lang w:val="en-GB"/>
        </w:rPr>
        <w:t xml:space="preserve"> is that traditional mechanisms most commonly involve trade on a bilateral basis, between one buyer and one </w:t>
      </w:r>
      <w:r w:rsidR="00936C60">
        <w:rPr>
          <w:rFonts w:ascii="Arial" w:hAnsi="Arial" w:cs="Arial"/>
          <w:color w:val="000000"/>
          <w:sz w:val="22"/>
          <w:szCs w:val="22"/>
          <w:lang w:val="en-GB"/>
        </w:rPr>
        <w:t>supplier</w:t>
      </w:r>
      <w:r>
        <w:rPr>
          <w:rFonts w:ascii="Arial" w:hAnsi="Arial" w:cs="Arial"/>
          <w:color w:val="000000"/>
          <w:sz w:val="22"/>
          <w:szCs w:val="22"/>
          <w:lang w:val="en-GB"/>
        </w:rPr>
        <w:t xml:space="preserve">, and that </w:t>
      </w:r>
      <w:r w:rsidR="001A0489">
        <w:rPr>
          <w:rFonts w:ascii="Arial" w:hAnsi="Arial" w:cs="Arial"/>
          <w:color w:val="000000"/>
          <w:sz w:val="22"/>
          <w:szCs w:val="22"/>
          <w:lang w:val="en-GB"/>
        </w:rPr>
        <w:t>Supply Chain Finance</w:t>
      </w:r>
      <w:r>
        <w:rPr>
          <w:rFonts w:ascii="Arial" w:hAnsi="Arial" w:cs="Arial"/>
          <w:color w:val="000000"/>
          <w:sz w:val="22"/>
          <w:szCs w:val="22"/>
          <w:lang w:val="en-GB"/>
        </w:rPr>
        <w:t xml:space="preserve"> aims to look at trade more holistically, in terms of the ecosystem of commercial relationships that make up an international or global supply chain.</w:t>
      </w:r>
    </w:p>
    <w:p w14:paraId="7B649248" w14:textId="77777777" w:rsidR="005F0D2A" w:rsidRDefault="00F02EA3" w:rsidP="000632B0">
      <w:p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 xml:space="preserve">Whether discussing traditional </w:t>
      </w:r>
      <w:r w:rsidR="00C7092D">
        <w:rPr>
          <w:rFonts w:ascii="Arial" w:hAnsi="Arial" w:cs="Arial"/>
          <w:color w:val="000000"/>
          <w:sz w:val="22"/>
          <w:szCs w:val="22"/>
          <w:lang w:val="en-GB"/>
        </w:rPr>
        <w:t>Trade Finance</w:t>
      </w:r>
      <w:r>
        <w:rPr>
          <w:rFonts w:ascii="Arial" w:hAnsi="Arial" w:cs="Arial"/>
          <w:color w:val="000000"/>
          <w:sz w:val="22"/>
          <w:szCs w:val="22"/>
          <w:lang w:val="en-GB"/>
        </w:rPr>
        <w:t xml:space="preserve">, </w:t>
      </w:r>
      <w:r w:rsidR="00C7092D">
        <w:rPr>
          <w:rFonts w:ascii="Arial" w:hAnsi="Arial" w:cs="Arial"/>
          <w:color w:val="000000"/>
          <w:sz w:val="22"/>
          <w:szCs w:val="22"/>
          <w:lang w:val="en-GB"/>
        </w:rPr>
        <w:t xml:space="preserve">Supply Chain Finance </w:t>
      </w:r>
      <w:r>
        <w:rPr>
          <w:rFonts w:ascii="Arial" w:hAnsi="Arial" w:cs="Arial"/>
          <w:color w:val="000000"/>
          <w:sz w:val="22"/>
          <w:szCs w:val="22"/>
          <w:lang w:val="en-GB"/>
        </w:rPr>
        <w:t xml:space="preserve">or some combination thereof, on the short-term end of the spectrum, or at the longer tenor end of the business, </w:t>
      </w:r>
      <w:r w:rsidR="00C7092D">
        <w:rPr>
          <w:rFonts w:ascii="Arial" w:hAnsi="Arial" w:cs="Arial"/>
          <w:color w:val="000000"/>
          <w:sz w:val="22"/>
          <w:szCs w:val="22"/>
          <w:lang w:val="en-GB"/>
        </w:rPr>
        <w:t>Trade F</w:t>
      </w:r>
      <w:r w:rsidR="00B937B0">
        <w:rPr>
          <w:rFonts w:ascii="Arial" w:hAnsi="Arial" w:cs="Arial"/>
          <w:color w:val="000000"/>
          <w:sz w:val="22"/>
          <w:szCs w:val="22"/>
          <w:lang w:val="en-GB"/>
        </w:rPr>
        <w:t xml:space="preserve">inance </w:t>
      </w:r>
      <w:r>
        <w:rPr>
          <w:rFonts w:ascii="Arial" w:hAnsi="Arial" w:cs="Arial"/>
          <w:color w:val="000000"/>
          <w:sz w:val="22"/>
          <w:szCs w:val="22"/>
          <w:lang w:val="en-GB"/>
        </w:rPr>
        <w:t xml:space="preserve">and </w:t>
      </w:r>
      <w:r w:rsidR="00C7092D">
        <w:rPr>
          <w:rFonts w:ascii="Arial" w:hAnsi="Arial" w:cs="Arial"/>
          <w:color w:val="000000"/>
          <w:sz w:val="22"/>
          <w:szCs w:val="22"/>
          <w:lang w:val="en-GB"/>
        </w:rPr>
        <w:t>S</w:t>
      </w:r>
      <w:r>
        <w:rPr>
          <w:rFonts w:ascii="Arial" w:hAnsi="Arial" w:cs="Arial"/>
          <w:color w:val="000000"/>
          <w:sz w:val="22"/>
          <w:szCs w:val="22"/>
          <w:lang w:val="en-GB"/>
        </w:rPr>
        <w:t xml:space="preserve">upply </w:t>
      </w:r>
      <w:r w:rsidR="00C7092D">
        <w:rPr>
          <w:rFonts w:ascii="Arial" w:hAnsi="Arial" w:cs="Arial"/>
          <w:color w:val="000000"/>
          <w:sz w:val="22"/>
          <w:szCs w:val="22"/>
          <w:lang w:val="en-GB"/>
        </w:rPr>
        <w:t>C</w:t>
      </w:r>
      <w:r>
        <w:rPr>
          <w:rFonts w:ascii="Arial" w:hAnsi="Arial" w:cs="Arial"/>
          <w:color w:val="000000"/>
          <w:sz w:val="22"/>
          <w:szCs w:val="22"/>
          <w:lang w:val="en-GB"/>
        </w:rPr>
        <w:t xml:space="preserve">hain </w:t>
      </w:r>
      <w:r w:rsidR="00C7092D">
        <w:rPr>
          <w:rFonts w:ascii="Arial" w:hAnsi="Arial" w:cs="Arial"/>
          <w:color w:val="000000"/>
          <w:sz w:val="22"/>
          <w:szCs w:val="22"/>
          <w:lang w:val="en-GB"/>
        </w:rPr>
        <w:t>F</w:t>
      </w:r>
      <w:r>
        <w:rPr>
          <w:rFonts w:ascii="Arial" w:hAnsi="Arial" w:cs="Arial"/>
          <w:color w:val="000000"/>
          <w:sz w:val="22"/>
          <w:szCs w:val="22"/>
          <w:lang w:val="en-GB"/>
        </w:rPr>
        <w:t>inance are fundamentally about four things:</w:t>
      </w:r>
    </w:p>
    <w:p w14:paraId="5C4CBF01" w14:textId="77777777" w:rsidR="00F02EA3" w:rsidRDefault="00F02EA3" w:rsidP="000632B0">
      <w:pPr>
        <w:autoSpaceDE w:val="0"/>
        <w:autoSpaceDN w:val="0"/>
        <w:adjustRightInd w:val="0"/>
        <w:spacing w:after="100" w:line="181" w:lineRule="atLeast"/>
        <w:jc w:val="both"/>
        <w:rPr>
          <w:rFonts w:ascii="Arial" w:hAnsi="Arial" w:cs="Arial"/>
          <w:color w:val="000000"/>
          <w:sz w:val="22"/>
          <w:szCs w:val="22"/>
          <w:lang w:val="en-GB"/>
        </w:rPr>
      </w:pPr>
    </w:p>
    <w:p w14:paraId="0748641B" w14:textId="77777777" w:rsidR="00F02EA3" w:rsidRDefault="00F02EA3" w:rsidP="00BD14DF">
      <w:pPr>
        <w:pStyle w:val="ListParagraph"/>
        <w:numPr>
          <w:ilvl w:val="0"/>
          <w:numId w:val="3"/>
        </w:num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 xml:space="preserve">The facilitation of timely and secure payment </w:t>
      </w:r>
      <w:r w:rsidR="00C7092D">
        <w:rPr>
          <w:rFonts w:ascii="Arial" w:hAnsi="Arial" w:cs="Arial"/>
          <w:color w:val="000000"/>
          <w:sz w:val="22"/>
          <w:szCs w:val="22"/>
          <w:lang w:val="en-GB"/>
        </w:rPr>
        <w:t>(</w:t>
      </w:r>
      <w:r>
        <w:rPr>
          <w:rFonts w:ascii="Arial" w:hAnsi="Arial" w:cs="Arial"/>
          <w:color w:val="000000"/>
          <w:sz w:val="22"/>
          <w:szCs w:val="22"/>
          <w:lang w:val="en-GB"/>
        </w:rPr>
        <w:t>across borders</w:t>
      </w:r>
      <w:r w:rsidR="00C7092D">
        <w:rPr>
          <w:rFonts w:ascii="Arial" w:hAnsi="Arial" w:cs="Arial"/>
          <w:color w:val="000000"/>
          <w:sz w:val="22"/>
          <w:szCs w:val="22"/>
          <w:lang w:val="en-GB"/>
        </w:rPr>
        <w:t>);</w:t>
      </w:r>
    </w:p>
    <w:p w14:paraId="7F351202" w14:textId="77777777" w:rsidR="00F02EA3" w:rsidRDefault="00F02EA3" w:rsidP="00BD14DF">
      <w:pPr>
        <w:pStyle w:val="ListParagraph"/>
        <w:numPr>
          <w:ilvl w:val="0"/>
          <w:numId w:val="3"/>
        </w:num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The provision of financing options and solutions for one or more of the parties engaged in trade</w:t>
      </w:r>
      <w:r w:rsidR="00C7092D">
        <w:rPr>
          <w:rFonts w:ascii="Arial" w:hAnsi="Arial" w:cs="Arial"/>
          <w:color w:val="000000"/>
          <w:sz w:val="22"/>
          <w:szCs w:val="22"/>
          <w:lang w:val="en-GB"/>
        </w:rPr>
        <w:t>;</w:t>
      </w:r>
    </w:p>
    <w:p w14:paraId="3200CB64" w14:textId="77777777" w:rsidR="00F02EA3" w:rsidRDefault="00F02EA3" w:rsidP="00BD14DF">
      <w:pPr>
        <w:pStyle w:val="ListParagraph"/>
        <w:numPr>
          <w:ilvl w:val="0"/>
          <w:numId w:val="3"/>
        </w:num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The provision of appropriate risk mitigation strategies and solutions in support of international trade</w:t>
      </w:r>
      <w:r w:rsidR="00C7092D">
        <w:rPr>
          <w:rFonts w:ascii="Arial" w:hAnsi="Arial" w:cs="Arial"/>
          <w:color w:val="000000"/>
          <w:sz w:val="22"/>
          <w:szCs w:val="22"/>
          <w:lang w:val="en-GB"/>
        </w:rPr>
        <w:t>;</w:t>
      </w:r>
    </w:p>
    <w:p w14:paraId="63878E1F" w14:textId="77777777" w:rsidR="00F02EA3" w:rsidRDefault="00F02EA3" w:rsidP="00BD14DF">
      <w:pPr>
        <w:pStyle w:val="ListParagraph"/>
        <w:numPr>
          <w:ilvl w:val="0"/>
          <w:numId w:val="3"/>
        </w:num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 xml:space="preserve">The support of information flow about the state of a </w:t>
      </w:r>
      <w:r w:rsidR="00F15038">
        <w:rPr>
          <w:rFonts w:ascii="Arial" w:hAnsi="Arial" w:cs="Arial"/>
          <w:color w:val="000000"/>
          <w:sz w:val="22"/>
          <w:szCs w:val="22"/>
          <w:lang w:val="en-GB"/>
        </w:rPr>
        <w:t xml:space="preserve">trade </w:t>
      </w:r>
      <w:r>
        <w:rPr>
          <w:rFonts w:ascii="Arial" w:hAnsi="Arial" w:cs="Arial"/>
          <w:color w:val="000000"/>
          <w:sz w:val="22"/>
          <w:szCs w:val="22"/>
          <w:lang w:val="en-GB"/>
        </w:rPr>
        <w:t>transaction, from the status of the physical shipment, to the status of related financial flows</w:t>
      </w:r>
    </w:p>
    <w:p w14:paraId="62643073" w14:textId="77777777" w:rsidR="00E94584" w:rsidRDefault="00E94584" w:rsidP="00E94584">
      <w:pPr>
        <w:pStyle w:val="Caption"/>
      </w:pPr>
    </w:p>
    <w:p w14:paraId="38A388EA" w14:textId="77777777" w:rsidR="00EF2336" w:rsidRDefault="00EF2336">
      <w:pPr>
        <w:rPr>
          <w:i/>
          <w:iCs/>
          <w:color w:val="1F497D" w:themeColor="text2"/>
          <w:szCs w:val="18"/>
        </w:rPr>
      </w:pPr>
      <w:r>
        <w:br w:type="page"/>
      </w:r>
    </w:p>
    <w:p w14:paraId="74C84A61" w14:textId="77777777" w:rsidR="00F02EA3" w:rsidRPr="00E94584" w:rsidRDefault="00E94584" w:rsidP="00E94584">
      <w:pPr>
        <w:pStyle w:val="Caption"/>
        <w:rPr>
          <w:rFonts w:ascii="Arial" w:hAnsi="Arial" w:cs="Arial"/>
          <w:color w:val="000000"/>
          <w:sz w:val="24"/>
          <w:szCs w:val="22"/>
          <w:lang w:val="en-GB"/>
        </w:rPr>
      </w:pPr>
      <w:bookmarkStart w:id="6" w:name="_Toc436042265"/>
      <w:r w:rsidRPr="00E94584">
        <w:rPr>
          <w:sz w:val="20"/>
        </w:rPr>
        <w:lastRenderedPageBreak/>
        <w:t xml:space="preserve">Figure </w:t>
      </w:r>
      <w:r w:rsidRPr="00E94584">
        <w:rPr>
          <w:sz w:val="20"/>
        </w:rPr>
        <w:fldChar w:fldCharType="begin"/>
      </w:r>
      <w:r w:rsidRPr="00E94584">
        <w:rPr>
          <w:sz w:val="20"/>
        </w:rPr>
        <w:instrText xml:space="preserve"> SEQ Figure \* ARABIC </w:instrText>
      </w:r>
      <w:r w:rsidRPr="00E94584">
        <w:rPr>
          <w:sz w:val="20"/>
        </w:rPr>
        <w:fldChar w:fldCharType="separate"/>
      </w:r>
      <w:r w:rsidR="00A73BD5">
        <w:rPr>
          <w:noProof/>
          <w:sz w:val="20"/>
        </w:rPr>
        <w:t>1</w:t>
      </w:r>
      <w:r w:rsidRPr="00E94584">
        <w:rPr>
          <w:sz w:val="20"/>
        </w:rPr>
        <w:fldChar w:fldCharType="end"/>
      </w:r>
      <w:r w:rsidRPr="00E94584">
        <w:rPr>
          <w:sz w:val="20"/>
        </w:rPr>
        <w:t>: Four Elements of Trade Finance and Supply Chain Finance</w:t>
      </w:r>
      <w:bookmarkEnd w:id="6"/>
    </w:p>
    <w:p w14:paraId="42DA4F1E" w14:textId="77777777" w:rsidR="00F02EA3" w:rsidRDefault="00F02EA3" w:rsidP="00F02EA3">
      <w:pPr>
        <w:autoSpaceDE w:val="0"/>
        <w:autoSpaceDN w:val="0"/>
        <w:adjustRightInd w:val="0"/>
        <w:spacing w:after="100" w:line="181" w:lineRule="atLeast"/>
        <w:jc w:val="both"/>
        <w:rPr>
          <w:rFonts w:ascii="Arial" w:hAnsi="Arial" w:cs="Arial"/>
          <w:color w:val="000000"/>
          <w:sz w:val="22"/>
          <w:szCs w:val="22"/>
          <w:lang w:val="en-GB"/>
        </w:rPr>
      </w:pPr>
      <w:r>
        <w:rPr>
          <w:rFonts w:ascii="Arial" w:hAnsi="Arial" w:cs="Arial"/>
          <w:color w:val="000000"/>
          <w:sz w:val="22"/>
          <w:szCs w:val="22"/>
          <w:lang w:val="en-GB"/>
        </w:rPr>
        <w:t xml:space="preserve">In the context of traditional </w:t>
      </w:r>
      <w:r w:rsidR="00C7092D">
        <w:rPr>
          <w:rFonts w:ascii="Arial" w:hAnsi="Arial" w:cs="Arial"/>
          <w:color w:val="000000"/>
          <w:sz w:val="22"/>
          <w:szCs w:val="22"/>
          <w:lang w:val="en-GB"/>
        </w:rPr>
        <w:t>Trade F</w:t>
      </w:r>
      <w:r>
        <w:rPr>
          <w:rFonts w:ascii="Arial" w:hAnsi="Arial" w:cs="Arial"/>
          <w:color w:val="000000"/>
          <w:sz w:val="22"/>
          <w:szCs w:val="22"/>
          <w:lang w:val="en-GB"/>
        </w:rPr>
        <w:t>inance, these ‘four elements’ can be represented as follows:</w:t>
      </w:r>
    </w:p>
    <w:p w14:paraId="4C1A10AF" w14:textId="77777777" w:rsidR="00F02EA3" w:rsidRDefault="00F02EA3" w:rsidP="00F02EA3">
      <w:pPr>
        <w:autoSpaceDE w:val="0"/>
        <w:autoSpaceDN w:val="0"/>
        <w:adjustRightInd w:val="0"/>
        <w:spacing w:after="100" w:line="181" w:lineRule="atLeast"/>
        <w:jc w:val="both"/>
        <w:rPr>
          <w:rFonts w:ascii="Arial" w:hAnsi="Arial" w:cs="Arial"/>
          <w:color w:val="000000"/>
          <w:sz w:val="22"/>
          <w:szCs w:val="22"/>
          <w:lang w:val="en-GB"/>
        </w:rPr>
      </w:pPr>
      <w:r>
        <w:rPr>
          <w:noProof/>
          <w:sz w:val="22"/>
          <w:szCs w:val="22"/>
          <w:lang w:val="en-GB" w:eastAsia="en-GB"/>
        </w:rPr>
        <w:drawing>
          <wp:inline distT="0" distB="0" distL="0" distR="0" wp14:anchorId="6294A71B" wp14:editId="7BDB9969">
            <wp:extent cx="5486400" cy="1179053"/>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179053"/>
                    </a:xfrm>
                    <a:prstGeom prst="rect">
                      <a:avLst/>
                    </a:prstGeom>
                    <a:noFill/>
                    <a:ln w="12700" cmpd="sng">
                      <a:solidFill>
                        <a:srgbClr val="000080"/>
                      </a:solidFill>
                      <a:miter lim="800000"/>
                      <a:headEnd/>
                      <a:tailEnd/>
                    </a:ln>
                    <a:effectLst/>
                  </pic:spPr>
                </pic:pic>
              </a:graphicData>
            </a:graphic>
          </wp:inline>
        </w:drawing>
      </w:r>
    </w:p>
    <w:p w14:paraId="1EFEDACD" w14:textId="77777777" w:rsidR="005F0D2A" w:rsidRPr="00E94584" w:rsidRDefault="00F005DC" w:rsidP="00236ED1">
      <w:pPr>
        <w:autoSpaceDE w:val="0"/>
        <w:autoSpaceDN w:val="0"/>
        <w:adjustRightInd w:val="0"/>
        <w:jc w:val="both"/>
        <w:rPr>
          <w:rStyle w:val="Emphasis"/>
        </w:rPr>
      </w:pPr>
      <w:r w:rsidRPr="00E94584">
        <w:rPr>
          <w:rStyle w:val="Emphasis"/>
        </w:rPr>
        <w:t xml:space="preserve">Source: </w:t>
      </w:r>
      <w:r w:rsidR="00236ED1" w:rsidRPr="00E94584">
        <w:rPr>
          <w:rStyle w:val="Emphasis"/>
        </w:rPr>
        <w:t xml:space="preserve">Financing Trade and International Supply Chains, Gower, UK (2014), </w:t>
      </w:r>
      <w:proofErr w:type="spellStart"/>
      <w:r w:rsidR="00236ED1" w:rsidRPr="00E94584">
        <w:rPr>
          <w:rStyle w:val="Emphasis"/>
        </w:rPr>
        <w:t>Malaket</w:t>
      </w:r>
      <w:proofErr w:type="spellEnd"/>
    </w:p>
    <w:p w14:paraId="321C9A0E" w14:textId="77777777" w:rsidR="002D5860" w:rsidRDefault="00F82F31" w:rsidP="00AF7EBD">
      <w:pPr>
        <w:pStyle w:val="Heading2"/>
        <w:numPr>
          <w:ilvl w:val="0"/>
          <w:numId w:val="7"/>
        </w:numPr>
        <w:rPr>
          <w:sz w:val="22"/>
          <w:szCs w:val="22"/>
        </w:rPr>
      </w:pPr>
      <w:bookmarkStart w:id="7" w:name="_Toc436042203"/>
      <w:bookmarkStart w:id="8" w:name="_Toc441728562"/>
      <w:r>
        <w:rPr>
          <w:sz w:val="22"/>
          <w:szCs w:val="22"/>
        </w:rPr>
        <w:t>Secure &amp; Timely Payment</w:t>
      </w:r>
      <w:bookmarkEnd w:id="7"/>
      <w:bookmarkEnd w:id="8"/>
    </w:p>
    <w:p w14:paraId="0E4ECBAD" w14:textId="77777777" w:rsidR="003757A8" w:rsidRDefault="00E263CB" w:rsidP="00F82F31">
      <w:pPr>
        <w:jc w:val="both"/>
        <w:rPr>
          <w:rFonts w:ascii="Arial" w:hAnsi="Arial" w:cs="Arial"/>
          <w:sz w:val="22"/>
          <w:szCs w:val="22"/>
          <w:lang w:val="en-CA"/>
        </w:rPr>
      </w:pPr>
      <w:r>
        <w:rPr>
          <w:rFonts w:ascii="Arial" w:hAnsi="Arial" w:cs="Arial"/>
          <w:sz w:val="22"/>
          <w:szCs w:val="22"/>
          <w:lang w:val="en-CA"/>
        </w:rPr>
        <w:t xml:space="preserve">One of the underappreciated </w:t>
      </w:r>
      <w:r w:rsidR="00236ED1">
        <w:rPr>
          <w:rFonts w:ascii="Arial" w:hAnsi="Arial" w:cs="Arial"/>
          <w:sz w:val="22"/>
          <w:szCs w:val="22"/>
          <w:lang w:val="en-CA"/>
        </w:rPr>
        <w:t>elements</w:t>
      </w:r>
      <w:r w:rsidR="00C7092D">
        <w:rPr>
          <w:rFonts w:ascii="Arial" w:hAnsi="Arial" w:cs="Arial"/>
          <w:sz w:val="22"/>
          <w:szCs w:val="22"/>
          <w:lang w:val="en-CA"/>
        </w:rPr>
        <w:t xml:space="preserve"> </w:t>
      </w:r>
      <w:r>
        <w:rPr>
          <w:rFonts w:ascii="Arial" w:hAnsi="Arial" w:cs="Arial"/>
          <w:sz w:val="22"/>
          <w:szCs w:val="22"/>
          <w:lang w:val="en-CA"/>
        </w:rPr>
        <w:t xml:space="preserve">of </w:t>
      </w:r>
      <w:r w:rsidR="00C7092D">
        <w:rPr>
          <w:rFonts w:ascii="Arial" w:hAnsi="Arial" w:cs="Arial"/>
          <w:sz w:val="22"/>
          <w:szCs w:val="22"/>
          <w:lang w:val="en-CA"/>
        </w:rPr>
        <w:t>T</w:t>
      </w:r>
      <w:r>
        <w:rPr>
          <w:rFonts w:ascii="Arial" w:hAnsi="Arial" w:cs="Arial"/>
          <w:sz w:val="22"/>
          <w:szCs w:val="22"/>
          <w:lang w:val="en-CA"/>
        </w:rPr>
        <w:t xml:space="preserve">rade </w:t>
      </w:r>
      <w:r w:rsidR="00C7092D">
        <w:rPr>
          <w:rFonts w:ascii="Arial" w:hAnsi="Arial" w:cs="Arial"/>
          <w:sz w:val="22"/>
          <w:szCs w:val="22"/>
          <w:lang w:val="en-CA"/>
        </w:rPr>
        <w:t>F</w:t>
      </w:r>
      <w:r w:rsidR="004A4634">
        <w:rPr>
          <w:rFonts w:ascii="Arial" w:hAnsi="Arial" w:cs="Arial"/>
          <w:sz w:val="22"/>
          <w:szCs w:val="22"/>
          <w:lang w:val="en-CA"/>
        </w:rPr>
        <w:t>inance</w:t>
      </w:r>
      <w:r>
        <w:rPr>
          <w:rFonts w:ascii="Arial" w:hAnsi="Arial" w:cs="Arial"/>
          <w:sz w:val="22"/>
          <w:szCs w:val="22"/>
          <w:lang w:val="en-CA"/>
        </w:rPr>
        <w:t xml:space="preserve"> is the enablement of secure and timely payment across borders, irrespective of whether </w:t>
      </w:r>
      <w:r w:rsidR="00313782">
        <w:rPr>
          <w:rFonts w:ascii="Arial" w:hAnsi="Arial" w:cs="Arial"/>
          <w:sz w:val="22"/>
          <w:szCs w:val="22"/>
          <w:lang w:val="en-CA"/>
        </w:rPr>
        <w:t>buyer</w:t>
      </w:r>
      <w:r>
        <w:rPr>
          <w:rFonts w:ascii="Arial" w:hAnsi="Arial" w:cs="Arial"/>
          <w:sz w:val="22"/>
          <w:szCs w:val="22"/>
          <w:lang w:val="en-CA"/>
        </w:rPr>
        <w:t xml:space="preserve">s and </w:t>
      </w:r>
      <w:r w:rsidR="00936C60">
        <w:rPr>
          <w:rFonts w:ascii="Arial" w:hAnsi="Arial" w:cs="Arial"/>
          <w:sz w:val="22"/>
          <w:szCs w:val="22"/>
          <w:lang w:val="en-CA"/>
        </w:rPr>
        <w:t>supplier</w:t>
      </w:r>
      <w:r>
        <w:rPr>
          <w:rFonts w:ascii="Arial" w:hAnsi="Arial" w:cs="Arial"/>
          <w:sz w:val="22"/>
          <w:szCs w:val="22"/>
          <w:lang w:val="en-CA"/>
        </w:rPr>
        <w:t>s opt to avail themselves of financing, or of significant risk mitigation options.</w:t>
      </w:r>
    </w:p>
    <w:p w14:paraId="7FE87559" w14:textId="77777777" w:rsidR="00E263CB" w:rsidRDefault="00E263CB" w:rsidP="00F82F31">
      <w:pPr>
        <w:jc w:val="both"/>
        <w:rPr>
          <w:rFonts w:ascii="Arial" w:hAnsi="Arial" w:cs="Arial"/>
          <w:sz w:val="22"/>
          <w:szCs w:val="22"/>
          <w:lang w:val="en-CA"/>
        </w:rPr>
      </w:pPr>
    </w:p>
    <w:p w14:paraId="13EADECE" w14:textId="77777777" w:rsidR="009C3D09" w:rsidRDefault="00E94584" w:rsidP="00EF2336">
      <w:pPr>
        <w:pStyle w:val="Caption"/>
        <w:rPr>
          <w:rFonts w:ascii="Arial" w:hAnsi="Arial" w:cs="Arial"/>
          <w:sz w:val="22"/>
          <w:szCs w:val="22"/>
          <w:lang w:val="en-CA"/>
        </w:rPr>
      </w:pPr>
      <w:bookmarkStart w:id="9" w:name="_Toc436042266"/>
      <w:r w:rsidRPr="00E94584">
        <w:rPr>
          <w:sz w:val="20"/>
        </w:rPr>
        <w:lastRenderedPageBreak/>
        <w:t xml:space="preserve">Figure </w:t>
      </w:r>
      <w:r w:rsidRPr="00E94584">
        <w:rPr>
          <w:sz w:val="20"/>
        </w:rPr>
        <w:fldChar w:fldCharType="begin"/>
      </w:r>
      <w:r w:rsidRPr="00E94584">
        <w:rPr>
          <w:sz w:val="20"/>
        </w:rPr>
        <w:instrText xml:space="preserve"> SEQ Figure \* ARABIC </w:instrText>
      </w:r>
      <w:r w:rsidRPr="00E94584">
        <w:rPr>
          <w:sz w:val="20"/>
        </w:rPr>
        <w:fldChar w:fldCharType="separate"/>
      </w:r>
      <w:r w:rsidR="00A73BD5">
        <w:rPr>
          <w:noProof/>
          <w:sz w:val="20"/>
        </w:rPr>
        <w:t>2</w:t>
      </w:r>
      <w:r w:rsidRPr="00E94584">
        <w:rPr>
          <w:sz w:val="20"/>
        </w:rPr>
        <w:fldChar w:fldCharType="end"/>
      </w:r>
      <w:r w:rsidRPr="00E94584">
        <w:rPr>
          <w:sz w:val="20"/>
        </w:rPr>
        <w:t>: SWIFT Message Structure</w:t>
      </w:r>
      <w:r w:rsidR="009C3D09" w:rsidRPr="009C3D09">
        <w:rPr>
          <w:noProof/>
          <w:lang w:val="en-GB" w:eastAsia="en-GB"/>
        </w:rPr>
        <w:drawing>
          <wp:inline distT="0" distB="0" distL="0" distR="0" wp14:anchorId="329952D9" wp14:editId="3F0C127E">
            <wp:extent cx="4279950" cy="6088380"/>
            <wp:effectExtent l="0" t="0" r="635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9950" cy="6088380"/>
                    </a:xfrm>
                    <a:prstGeom prst="rect">
                      <a:avLst/>
                    </a:prstGeom>
                    <a:noFill/>
                    <a:ln>
                      <a:noFill/>
                    </a:ln>
                  </pic:spPr>
                </pic:pic>
              </a:graphicData>
            </a:graphic>
          </wp:inline>
        </w:drawing>
      </w:r>
      <w:bookmarkEnd w:id="9"/>
    </w:p>
    <w:p w14:paraId="347247E6" w14:textId="77777777" w:rsidR="009C3D09" w:rsidRPr="00BB218E" w:rsidRDefault="00F005DC" w:rsidP="00BB218E">
      <w:pPr>
        <w:autoSpaceDE w:val="0"/>
        <w:autoSpaceDN w:val="0"/>
        <w:adjustRightInd w:val="0"/>
        <w:jc w:val="both"/>
        <w:rPr>
          <w:rStyle w:val="Emphasis"/>
        </w:rPr>
      </w:pPr>
      <w:r w:rsidRPr="00BB218E">
        <w:rPr>
          <w:rStyle w:val="Emphasis"/>
        </w:rPr>
        <w:t>Source: SWIFT</w:t>
      </w:r>
    </w:p>
    <w:p w14:paraId="1F3D0BD6" w14:textId="77777777" w:rsidR="00C7092D" w:rsidRDefault="00C7092D" w:rsidP="00F82F31">
      <w:pPr>
        <w:jc w:val="both"/>
        <w:rPr>
          <w:rFonts w:ascii="Arial" w:hAnsi="Arial" w:cs="Arial"/>
          <w:sz w:val="22"/>
          <w:szCs w:val="22"/>
          <w:lang w:val="en-CA"/>
        </w:rPr>
      </w:pPr>
    </w:p>
    <w:p w14:paraId="03FBDCF3" w14:textId="77777777" w:rsidR="00E263CB" w:rsidRDefault="00C7092D" w:rsidP="00F82F31">
      <w:pPr>
        <w:jc w:val="both"/>
        <w:rPr>
          <w:rFonts w:ascii="Arial" w:hAnsi="Arial" w:cs="Arial"/>
          <w:sz w:val="22"/>
          <w:szCs w:val="22"/>
          <w:lang w:val="en-CA"/>
        </w:rPr>
      </w:pPr>
      <w:r>
        <w:rPr>
          <w:rFonts w:ascii="Arial" w:hAnsi="Arial" w:cs="Arial"/>
          <w:sz w:val="22"/>
          <w:szCs w:val="22"/>
          <w:lang w:val="en-CA"/>
        </w:rPr>
        <w:t>Interbank processing of p</w:t>
      </w:r>
      <w:r w:rsidR="00E263CB">
        <w:rPr>
          <w:rFonts w:ascii="Arial" w:hAnsi="Arial" w:cs="Arial"/>
          <w:sz w:val="22"/>
          <w:szCs w:val="22"/>
          <w:lang w:val="en-CA"/>
        </w:rPr>
        <w:t>ayment</w:t>
      </w:r>
      <w:r>
        <w:rPr>
          <w:rFonts w:ascii="Arial" w:hAnsi="Arial" w:cs="Arial"/>
          <w:sz w:val="22"/>
          <w:szCs w:val="22"/>
          <w:lang w:val="en-CA"/>
        </w:rPr>
        <w:t>s</w:t>
      </w:r>
      <w:r w:rsidR="00E263CB">
        <w:rPr>
          <w:rFonts w:ascii="Arial" w:hAnsi="Arial" w:cs="Arial"/>
          <w:sz w:val="22"/>
          <w:szCs w:val="22"/>
          <w:lang w:val="en-CA"/>
        </w:rPr>
        <w:t xml:space="preserve"> across borders is most commonly effected through </w:t>
      </w:r>
      <w:r w:rsidR="003A1583">
        <w:rPr>
          <w:rFonts w:ascii="Arial" w:hAnsi="Arial" w:cs="Arial"/>
          <w:sz w:val="22"/>
          <w:szCs w:val="22"/>
          <w:lang w:val="en-CA"/>
        </w:rPr>
        <w:t xml:space="preserve">the use of </w:t>
      </w:r>
      <w:r w:rsidR="00E263CB">
        <w:rPr>
          <w:rFonts w:ascii="Arial" w:hAnsi="Arial" w:cs="Arial"/>
          <w:sz w:val="22"/>
          <w:szCs w:val="22"/>
          <w:lang w:val="en-CA"/>
        </w:rPr>
        <w:t>a global, highly secure and trusted network run by SWIFT, the Belgium-based, bank member-owned cooperative. SWIFT</w:t>
      </w:r>
      <w:r w:rsidR="003A1583">
        <w:rPr>
          <w:rStyle w:val="FootnoteReference"/>
          <w:rFonts w:ascii="Arial" w:hAnsi="Arial" w:cs="Arial"/>
          <w:sz w:val="22"/>
          <w:szCs w:val="22"/>
          <w:lang w:val="en-CA"/>
        </w:rPr>
        <w:footnoteReference w:id="3"/>
      </w:r>
      <w:r w:rsidR="00E263CB">
        <w:rPr>
          <w:rFonts w:ascii="Arial" w:hAnsi="Arial" w:cs="Arial"/>
          <w:sz w:val="22"/>
          <w:szCs w:val="22"/>
          <w:lang w:val="en-CA"/>
        </w:rPr>
        <w:t xml:space="preserve">, or the </w:t>
      </w:r>
      <w:r w:rsidR="00F15038">
        <w:rPr>
          <w:rFonts w:ascii="Arial" w:hAnsi="Arial" w:cs="Arial"/>
          <w:sz w:val="22"/>
          <w:szCs w:val="22"/>
          <w:lang w:val="en-CA"/>
        </w:rPr>
        <w:t>‘</w:t>
      </w:r>
      <w:r w:rsidR="00E263CB">
        <w:rPr>
          <w:rFonts w:ascii="Arial" w:hAnsi="Arial" w:cs="Arial"/>
          <w:sz w:val="22"/>
          <w:szCs w:val="22"/>
          <w:lang w:val="en-CA"/>
        </w:rPr>
        <w:t>Society for World Interbank Financial Telecommunications</w:t>
      </w:r>
      <w:r w:rsidR="00F15038">
        <w:rPr>
          <w:rFonts w:ascii="Arial" w:hAnsi="Arial" w:cs="Arial"/>
          <w:sz w:val="22"/>
          <w:szCs w:val="22"/>
          <w:lang w:val="en-CA"/>
        </w:rPr>
        <w:t>’</w:t>
      </w:r>
      <w:r w:rsidR="00E263CB">
        <w:rPr>
          <w:rFonts w:ascii="Arial" w:hAnsi="Arial" w:cs="Arial"/>
          <w:sz w:val="22"/>
          <w:szCs w:val="22"/>
          <w:lang w:val="en-CA"/>
        </w:rPr>
        <w:t>, is a standards and messaging organization among its other areas of focus</w:t>
      </w:r>
      <w:r w:rsidR="003A1583">
        <w:rPr>
          <w:rFonts w:ascii="Arial" w:hAnsi="Arial" w:cs="Arial"/>
          <w:sz w:val="22"/>
          <w:szCs w:val="22"/>
          <w:lang w:val="en-CA"/>
        </w:rPr>
        <w:t xml:space="preserve">. It </w:t>
      </w:r>
      <w:r w:rsidR="00E263CB">
        <w:rPr>
          <w:rFonts w:ascii="Arial" w:hAnsi="Arial" w:cs="Arial"/>
          <w:sz w:val="22"/>
          <w:szCs w:val="22"/>
          <w:lang w:val="en-CA"/>
        </w:rPr>
        <w:t xml:space="preserve">provides a wide range of structured messages that are used to transmit </w:t>
      </w:r>
      <w:r w:rsidR="00DB507A">
        <w:rPr>
          <w:rFonts w:ascii="Arial" w:hAnsi="Arial" w:cs="Arial"/>
          <w:sz w:val="22"/>
          <w:szCs w:val="22"/>
          <w:lang w:val="en-CA"/>
        </w:rPr>
        <w:t>Trade Finance</w:t>
      </w:r>
      <w:r w:rsidR="00E263CB">
        <w:rPr>
          <w:rFonts w:ascii="Arial" w:hAnsi="Arial" w:cs="Arial"/>
          <w:sz w:val="22"/>
          <w:szCs w:val="22"/>
          <w:lang w:val="en-CA"/>
        </w:rPr>
        <w:t xml:space="preserve"> instruments like </w:t>
      </w:r>
      <w:r w:rsidR="003A1583">
        <w:rPr>
          <w:rFonts w:ascii="Arial" w:hAnsi="Arial" w:cs="Arial"/>
          <w:sz w:val="22"/>
          <w:szCs w:val="22"/>
          <w:lang w:val="en-CA"/>
        </w:rPr>
        <w:t xml:space="preserve">(electronic) </w:t>
      </w:r>
      <w:r w:rsidR="00E263CB">
        <w:rPr>
          <w:rFonts w:ascii="Arial" w:hAnsi="Arial" w:cs="Arial"/>
          <w:sz w:val="22"/>
          <w:szCs w:val="22"/>
          <w:lang w:val="en-CA"/>
        </w:rPr>
        <w:t xml:space="preserve">letters of credit, as well as a variety </w:t>
      </w:r>
      <w:r w:rsidR="00E263CB">
        <w:rPr>
          <w:rFonts w:ascii="Arial" w:hAnsi="Arial" w:cs="Arial"/>
          <w:sz w:val="22"/>
          <w:szCs w:val="22"/>
          <w:lang w:val="en-CA"/>
        </w:rPr>
        <w:lastRenderedPageBreak/>
        <w:t xml:space="preserve">of </w:t>
      </w:r>
      <w:r w:rsidR="00B937B0">
        <w:rPr>
          <w:rFonts w:ascii="Arial" w:hAnsi="Arial" w:cs="Arial"/>
          <w:sz w:val="22"/>
          <w:szCs w:val="22"/>
          <w:lang w:val="en-CA"/>
        </w:rPr>
        <w:t xml:space="preserve">data enabling the execution of </w:t>
      </w:r>
      <w:r w:rsidR="00E263CB">
        <w:rPr>
          <w:rFonts w:ascii="Arial" w:hAnsi="Arial" w:cs="Arial"/>
          <w:sz w:val="22"/>
          <w:szCs w:val="22"/>
          <w:lang w:val="en-CA"/>
        </w:rPr>
        <w:t xml:space="preserve">payments and financial settlements, in formats that are </w:t>
      </w:r>
      <w:r w:rsidR="003A1583">
        <w:rPr>
          <w:rFonts w:ascii="Arial" w:hAnsi="Arial" w:cs="Arial"/>
          <w:sz w:val="22"/>
          <w:szCs w:val="22"/>
          <w:lang w:val="en-CA"/>
        </w:rPr>
        <w:t>standardised</w:t>
      </w:r>
      <w:r w:rsidR="00E263CB">
        <w:rPr>
          <w:rFonts w:ascii="Arial" w:hAnsi="Arial" w:cs="Arial"/>
          <w:sz w:val="22"/>
          <w:szCs w:val="22"/>
          <w:lang w:val="en-CA"/>
        </w:rPr>
        <w:t xml:space="preserve"> and thus easily interpreted (when used correctly) across all markets in the world. </w:t>
      </w:r>
    </w:p>
    <w:p w14:paraId="7057FF56" w14:textId="77777777" w:rsidR="00E263CB" w:rsidRDefault="00E263CB" w:rsidP="00F82F31">
      <w:pPr>
        <w:jc w:val="both"/>
        <w:rPr>
          <w:rFonts w:ascii="Arial" w:hAnsi="Arial" w:cs="Arial"/>
          <w:sz w:val="22"/>
          <w:szCs w:val="22"/>
          <w:lang w:val="en-CA"/>
        </w:rPr>
      </w:pPr>
    </w:p>
    <w:p w14:paraId="7AEB74C2" w14:textId="77777777" w:rsidR="003A1583" w:rsidRDefault="00E263CB" w:rsidP="00F82F31">
      <w:pPr>
        <w:jc w:val="both"/>
        <w:rPr>
          <w:rFonts w:ascii="Arial" w:hAnsi="Arial" w:cs="Arial"/>
          <w:sz w:val="22"/>
          <w:szCs w:val="22"/>
          <w:lang w:val="en-CA"/>
        </w:rPr>
      </w:pPr>
      <w:r>
        <w:rPr>
          <w:rFonts w:ascii="Arial" w:hAnsi="Arial" w:cs="Arial"/>
          <w:sz w:val="22"/>
          <w:szCs w:val="22"/>
          <w:lang w:val="en-CA"/>
        </w:rPr>
        <w:t xml:space="preserve">The issue of secure settlement is fundamental to the conduct of international commerce, and a textbook interpretation would suggest that new trading relationships, or relationships involving trade with one or more relatively risky markets, should be conducted through secure mechanisms, the most secure (for both parties concurrently) </w:t>
      </w:r>
      <w:r w:rsidR="00236ED1">
        <w:rPr>
          <w:rFonts w:ascii="Arial" w:hAnsi="Arial" w:cs="Arial"/>
          <w:sz w:val="22"/>
          <w:szCs w:val="22"/>
          <w:lang w:val="en-CA"/>
        </w:rPr>
        <w:t>being</w:t>
      </w:r>
      <w:r w:rsidR="003A1583">
        <w:rPr>
          <w:rFonts w:ascii="Arial" w:hAnsi="Arial" w:cs="Arial"/>
          <w:sz w:val="22"/>
          <w:szCs w:val="22"/>
          <w:lang w:val="en-CA"/>
        </w:rPr>
        <w:t xml:space="preserve"> </w:t>
      </w:r>
      <w:r>
        <w:rPr>
          <w:rFonts w:ascii="Arial" w:hAnsi="Arial" w:cs="Arial"/>
          <w:sz w:val="22"/>
          <w:szCs w:val="22"/>
          <w:lang w:val="en-CA"/>
        </w:rPr>
        <w:t xml:space="preserve">the documentary letter of credit. </w:t>
      </w:r>
    </w:p>
    <w:p w14:paraId="35EB33AF" w14:textId="77777777" w:rsidR="00236ED1" w:rsidRDefault="00236ED1" w:rsidP="00F82F31">
      <w:pPr>
        <w:jc w:val="both"/>
        <w:rPr>
          <w:rFonts w:ascii="Arial" w:hAnsi="Arial" w:cs="Arial"/>
          <w:sz w:val="22"/>
          <w:szCs w:val="22"/>
          <w:lang w:val="en-CA"/>
        </w:rPr>
      </w:pPr>
    </w:p>
    <w:p w14:paraId="1B2A8822" w14:textId="77777777" w:rsidR="00E263CB" w:rsidRDefault="00E263CB" w:rsidP="00F82F31">
      <w:pPr>
        <w:jc w:val="both"/>
        <w:rPr>
          <w:rFonts w:ascii="Arial" w:hAnsi="Arial" w:cs="Arial"/>
          <w:sz w:val="22"/>
          <w:szCs w:val="22"/>
          <w:lang w:val="en-CA"/>
        </w:rPr>
      </w:pPr>
      <w:r>
        <w:rPr>
          <w:rFonts w:ascii="Arial" w:hAnsi="Arial" w:cs="Arial"/>
          <w:sz w:val="22"/>
          <w:szCs w:val="22"/>
          <w:lang w:val="en-CA"/>
        </w:rPr>
        <w:t xml:space="preserve">Similarly, well-established and trusted trading relationships, perhaps particularly those involving secure markets, should be conducted on the basis of less risk-mitigated (and thus less complex and </w:t>
      </w:r>
      <w:r w:rsidR="00236ED1">
        <w:rPr>
          <w:rFonts w:ascii="Arial" w:hAnsi="Arial" w:cs="Arial"/>
          <w:sz w:val="22"/>
          <w:szCs w:val="22"/>
          <w:lang w:val="en-CA"/>
        </w:rPr>
        <w:t xml:space="preserve">less </w:t>
      </w:r>
      <w:r>
        <w:rPr>
          <w:rFonts w:ascii="Arial" w:hAnsi="Arial" w:cs="Arial"/>
          <w:sz w:val="22"/>
          <w:szCs w:val="22"/>
          <w:lang w:val="en-CA"/>
        </w:rPr>
        <w:t xml:space="preserve">costly) mechanisms such as open account terms, where buyer and </w:t>
      </w:r>
      <w:r w:rsidR="00936C60">
        <w:rPr>
          <w:rFonts w:ascii="Arial" w:hAnsi="Arial" w:cs="Arial"/>
          <w:sz w:val="22"/>
          <w:szCs w:val="22"/>
          <w:lang w:val="en-CA"/>
        </w:rPr>
        <w:t>supplier</w:t>
      </w:r>
      <w:r>
        <w:rPr>
          <w:rFonts w:ascii="Arial" w:hAnsi="Arial" w:cs="Arial"/>
          <w:sz w:val="22"/>
          <w:szCs w:val="22"/>
          <w:lang w:val="en-CA"/>
        </w:rPr>
        <w:t xml:space="preserve"> simply agree to the transmission of a payment at a point in the transaction.</w:t>
      </w:r>
    </w:p>
    <w:p w14:paraId="49B545BC" w14:textId="77777777" w:rsidR="00BB218E" w:rsidRDefault="00BB218E" w:rsidP="00F82F31">
      <w:pPr>
        <w:jc w:val="both"/>
        <w:rPr>
          <w:rFonts w:ascii="Arial" w:hAnsi="Arial" w:cs="Arial"/>
          <w:sz w:val="22"/>
          <w:szCs w:val="22"/>
          <w:lang w:val="en-CA"/>
        </w:rPr>
      </w:pPr>
    </w:p>
    <w:p w14:paraId="4A411EC7" w14:textId="77777777" w:rsidR="00BB218E" w:rsidRDefault="00BB218E" w:rsidP="00BB218E">
      <w:pPr>
        <w:pStyle w:val="Caption"/>
        <w:rPr>
          <w:rFonts w:ascii="Arial" w:hAnsi="Arial" w:cs="Arial"/>
          <w:sz w:val="22"/>
          <w:szCs w:val="22"/>
          <w:lang w:val="en-CA"/>
        </w:rPr>
      </w:pPr>
      <w:bookmarkStart w:id="10" w:name="_Toc436042267"/>
      <w:r>
        <w:t xml:space="preserve">Figure </w:t>
      </w:r>
      <w:r>
        <w:fldChar w:fldCharType="begin"/>
      </w:r>
      <w:r>
        <w:instrText xml:space="preserve"> SEQ Figure \* ARABIC </w:instrText>
      </w:r>
      <w:r>
        <w:fldChar w:fldCharType="separate"/>
      </w:r>
      <w:r w:rsidR="00A73BD5">
        <w:rPr>
          <w:noProof/>
        </w:rPr>
        <w:t>3</w:t>
      </w:r>
      <w:r>
        <w:fldChar w:fldCharType="end"/>
      </w:r>
      <w:r>
        <w:t xml:space="preserve">: </w:t>
      </w:r>
      <w:r w:rsidRPr="00BB218E">
        <w:t>Settlement Options in International Trade</w:t>
      </w:r>
      <w:bookmarkEnd w:id="10"/>
    </w:p>
    <w:p w14:paraId="3F469E32" w14:textId="77777777" w:rsidR="00E263CB" w:rsidRDefault="0039224D" w:rsidP="00E263CB">
      <w:pPr>
        <w:jc w:val="center"/>
        <w:rPr>
          <w:rFonts w:ascii="Arial" w:hAnsi="Arial" w:cs="Arial"/>
          <w:sz w:val="22"/>
          <w:szCs w:val="22"/>
          <w:lang w:val="en-CA"/>
        </w:rPr>
      </w:pPr>
      <w:r w:rsidRPr="0039224D">
        <w:rPr>
          <w:noProof/>
          <w:lang w:val="en-GB" w:eastAsia="en-GB"/>
        </w:rPr>
        <w:drawing>
          <wp:inline distT="0" distB="0" distL="0" distR="0" wp14:anchorId="4D2E4670" wp14:editId="0351084A">
            <wp:extent cx="5486400" cy="29031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903181"/>
                    </a:xfrm>
                    <a:prstGeom prst="rect">
                      <a:avLst/>
                    </a:prstGeom>
                    <a:noFill/>
                    <a:ln>
                      <a:noFill/>
                    </a:ln>
                  </pic:spPr>
                </pic:pic>
              </a:graphicData>
            </a:graphic>
          </wp:inline>
        </w:drawing>
      </w:r>
    </w:p>
    <w:p w14:paraId="132FBF34" w14:textId="77777777" w:rsidR="00CE6286" w:rsidRPr="00BB218E" w:rsidRDefault="00F005DC" w:rsidP="00BB218E">
      <w:pPr>
        <w:autoSpaceDE w:val="0"/>
        <w:autoSpaceDN w:val="0"/>
        <w:adjustRightInd w:val="0"/>
        <w:jc w:val="both"/>
        <w:rPr>
          <w:rStyle w:val="Emphasis"/>
        </w:rPr>
      </w:pPr>
      <w:bookmarkStart w:id="11" w:name="_Toc406492206"/>
      <w:r w:rsidRPr="00BB218E">
        <w:rPr>
          <w:rStyle w:val="Emphasis"/>
        </w:rPr>
        <w:t xml:space="preserve">Source: </w:t>
      </w:r>
      <w:r w:rsidR="0039224D" w:rsidRPr="00BB218E">
        <w:rPr>
          <w:rStyle w:val="Emphasis"/>
        </w:rPr>
        <w:t xml:space="preserve">Financing Trade and International Supply Chains, Gower (2014), </w:t>
      </w:r>
      <w:proofErr w:type="spellStart"/>
      <w:r w:rsidR="0039224D" w:rsidRPr="00BB218E">
        <w:rPr>
          <w:rStyle w:val="Emphasis"/>
        </w:rPr>
        <w:t>Malaket</w:t>
      </w:r>
      <w:proofErr w:type="spellEnd"/>
    </w:p>
    <w:p w14:paraId="29C6FBF8" w14:textId="77777777" w:rsidR="00CE6286" w:rsidRDefault="00CE6286" w:rsidP="008E2F5C">
      <w:pPr>
        <w:jc w:val="center"/>
        <w:rPr>
          <w:sz w:val="22"/>
          <w:szCs w:val="22"/>
        </w:rPr>
      </w:pPr>
    </w:p>
    <w:p w14:paraId="51BD16E9" w14:textId="77777777" w:rsidR="00B937B0" w:rsidRDefault="00B937B0" w:rsidP="008E2F5C">
      <w:pPr>
        <w:jc w:val="center"/>
        <w:rPr>
          <w:sz w:val="22"/>
          <w:szCs w:val="22"/>
        </w:rPr>
      </w:pPr>
    </w:p>
    <w:p w14:paraId="5E24BCDD" w14:textId="77777777" w:rsidR="00B937B0" w:rsidRDefault="00B937B0" w:rsidP="008E2F5C">
      <w:pPr>
        <w:jc w:val="center"/>
        <w:rPr>
          <w:sz w:val="22"/>
          <w:szCs w:val="22"/>
        </w:rPr>
      </w:pPr>
    </w:p>
    <w:p w14:paraId="426E4A6B" w14:textId="77777777" w:rsidR="00236ED1" w:rsidRDefault="00236ED1">
      <w:pPr>
        <w:rPr>
          <w:sz w:val="22"/>
          <w:szCs w:val="22"/>
        </w:rPr>
      </w:pPr>
      <w:r>
        <w:rPr>
          <w:sz w:val="22"/>
          <w:szCs w:val="22"/>
        </w:rPr>
        <w:br w:type="page"/>
      </w:r>
    </w:p>
    <w:p w14:paraId="1C29C670" w14:textId="77777777" w:rsidR="00B937B0" w:rsidRDefault="00B937B0" w:rsidP="008E2F5C">
      <w:pPr>
        <w:jc w:val="center"/>
        <w:rPr>
          <w:sz w:val="22"/>
          <w:szCs w:val="22"/>
        </w:rPr>
      </w:pPr>
    </w:p>
    <w:p w14:paraId="09AE68D1" w14:textId="77777777" w:rsidR="00BB218E" w:rsidRDefault="00BB218E" w:rsidP="00BB218E">
      <w:pPr>
        <w:pStyle w:val="Caption"/>
        <w:rPr>
          <w:sz w:val="22"/>
          <w:szCs w:val="22"/>
        </w:rPr>
      </w:pPr>
      <w:bookmarkStart w:id="12" w:name="_Toc436042268"/>
      <w:r>
        <w:t xml:space="preserve">Figure </w:t>
      </w:r>
      <w:r>
        <w:fldChar w:fldCharType="begin"/>
      </w:r>
      <w:r>
        <w:instrText xml:space="preserve"> SEQ Figure \* ARABIC </w:instrText>
      </w:r>
      <w:r>
        <w:fldChar w:fldCharType="separate"/>
      </w:r>
      <w:r w:rsidR="00A73BD5">
        <w:rPr>
          <w:noProof/>
        </w:rPr>
        <w:t>4</w:t>
      </w:r>
      <w:r>
        <w:fldChar w:fldCharType="end"/>
      </w:r>
      <w:r>
        <w:t xml:space="preserve">: </w:t>
      </w:r>
      <w:r w:rsidRPr="00BB218E">
        <w:t>Characteristics of Settlement Options</w:t>
      </w:r>
      <w:bookmarkEnd w:id="12"/>
    </w:p>
    <w:tbl>
      <w:tblPr>
        <w:tblStyle w:val="TableGrid"/>
        <w:tblW w:w="0" w:type="auto"/>
        <w:tblInd w:w="534" w:type="dxa"/>
        <w:tblLayout w:type="fixed"/>
        <w:tblLook w:val="04A0" w:firstRow="1" w:lastRow="0" w:firstColumn="1" w:lastColumn="0" w:noHBand="0" w:noVBand="1"/>
      </w:tblPr>
      <w:tblGrid>
        <w:gridCol w:w="1621"/>
        <w:gridCol w:w="2063"/>
        <w:gridCol w:w="2064"/>
        <w:gridCol w:w="2064"/>
      </w:tblGrid>
      <w:tr w:rsidR="00B937B0" w:rsidRPr="00B937B0" w14:paraId="793169E3" w14:textId="77777777" w:rsidTr="00236ED1">
        <w:trPr>
          <w:trHeight w:val="515"/>
        </w:trPr>
        <w:tc>
          <w:tcPr>
            <w:tcW w:w="1621" w:type="dxa"/>
            <w:shd w:val="clear" w:color="auto" w:fill="002060"/>
          </w:tcPr>
          <w:p w14:paraId="02F7E143" w14:textId="77777777" w:rsidR="00B937B0" w:rsidRPr="00B937B0" w:rsidRDefault="00B937B0" w:rsidP="008E2F5C">
            <w:pPr>
              <w:jc w:val="center"/>
              <w:rPr>
                <w:color w:val="FFFFFF" w:themeColor="background1"/>
                <w:sz w:val="22"/>
                <w:szCs w:val="22"/>
              </w:rPr>
            </w:pPr>
            <w:r w:rsidRPr="00B937B0">
              <w:rPr>
                <w:color w:val="FFFFFF" w:themeColor="background1"/>
                <w:sz w:val="22"/>
                <w:szCs w:val="22"/>
              </w:rPr>
              <w:t>Settlement Option</w:t>
            </w:r>
          </w:p>
        </w:tc>
        <w:tc>
          <w:tcPr>
            <w:tcW w:w="2063" w:type="dxa"/>
            <w:shd w:val="clear" w:color="auto" w:fill="002060"/>
          </w:tcPr>
          <w:p w14:paraId="7A8977D1" w14:textId="77777777" w:rsidR="00B937B0" w:rsidRPr="00B937B0" w:rsidRDefault="00B937B0" w:rsidP="008E2F5C">
            <w:pPr>
              <w:jc w:val="center"/>
              <w:rPr>
                <w:color w:val="FFFFFF" w:themeColor="background1"/>
                <w:sz w:val="22"/>
                <w:szCs w:val="22"/>
              </w:rPr>
            </w:pPr>
            <w:r w:rsidRPr="00B937B0">
              <w:rPr>
                <w:color w:val="FFFFFF" w:themeColor="background1"/>
                <w:sz w:val="22"/>
                <w:szCs w:val="22"/>
              </w:rPr>
              <w:t>Description</w:t>
            </w:r>
          </w:p>
        </w:tc>
        <w:tc>
          <w:tcPr>
            <w:tcW w:w="2064" w:type="dxa"/>
            <w:shd w:val="clear" w:color="auto" w:fill="002060"/>
          </w:tcPr>
          <w:p w14:paraId="06C67AC7" w14:textId="77777777" w:rsidR="00B937B0" w:rsidRPr="00B937B0" w:rsidRDefault="00B937B0" w:rsidP="008E2F5C">
            <w:pPr>
              <w:jc w:val="center"/>
              <w:rPr>
                <w:color w:val="FFFFFF" w:themeColor="background1"/>
                <w:sz w:val="22"/>
                <w:szCs w:val="22"/>
              </w:rPr>
            </w:pPr>
            <w:r w:rsidRPr="00B937B0">
              <w:rPr>
                <w:color w:val="FFFFFF" w:themeColor="background1"/>
                <w:sz w:val="22"/>
                <w:szCs w:val="22"/>
              </w:rPr>
              <w:t xml:space="preserve">Risk/Security </w:t>
            </w:r>
          </w:p>
          <w:p w14:paraId="0760D36D" w14:textId="77777777" w:rsidR="00B937B0" w:rsidRPr="00B937B0" w:rsidRDefault="00B937B0" w:rsidP="008E2F5C">
            <w:pPr>
              <w:jc w:val="center"/>
              <w:rPr>
                <w:color w:val="FFFFFF" w:themeColor="background1"/>
                <w:sz w:val="22"/>
                <w:szCs w:val="22"/>
              </w:rPr>
            </w:pPr>
            <w:r w:rsidRPr="00B937B0">
              <w:rPr>
                <w:color w:val="FFFFFF" w:themeColor="background1"/>
                <w:sz w:val="22"/>
                <w:szCs w:val="22"/>
              </w:rPr>
              <w:t>Level</w:t>
            </w:r>
          </w:p>
        </w:tc>
        <w:tc>
          <w:tcPr>
            <w:tcW w:w="2063" w:type="dxa"/>
            <w:shd w:val="clear" w:color="auto" w:fill="002060"/>
          </w:tcPr>
          <w:p w14:paraId="289BB9BE" w14:textId="77777777" w:rsidR="00B937B0" w:rsidRPr="00B937B0" w:rsidRDefault="00B937B0" w:rsidP="008E2F5C">
            <w:pPr>
              <w:jc w:val="center"/>
              <w:rPr>
                <w:color w:val="FFFFFF" w:themeColor="background1"/>
                <w:sz w:val="22"/>
                <w:szCs w:val="22"/>
              </w:rPr>
            </w:pPr>
            <w:r w:rsidRPr="00B937B0">
              <w:rPr>
                <w:color w:val="FFFFFF" w:themeColor="background1"/>
                <w:sz w:val="22"/>
                <w:szCs w:val="22"/>
              </w:rPr>
              <w:t>Usage</w:t>
            </w:r>
          </w:p>
        </w:tc>
      </w:tr>
      <w:tr w:rsidR="00B937B0" w14:paraId="6FE3EE46" w14:textId="77777777" w:rsidTr="00236ED1">
        <w:trPr>
          <w:trHeight w:val="7145"/>
        </w:trPr>
        <w:tc>
          <w:tcPr>
            <w:tcW w:w="7812" w:type="dxa"/>
            <w:gridSpan w:val="4"/>
          </w:tcPr>
          <w:p w14:paraId="77B82EAF" w14:textId="77777777" w:rsidR="00B937B0" w:rsidRDefault="00236ED1" w:rsidP="008E2F5C">
            <w:pPr>
              <w:jc w:val="center"/>
              <w:rPr>
                <w:sz w:val="22"/>
                <w:szCs w:val="22"/>
              </w:rPr>
            </w:pPr>
            <w:r>
              <w:rPr>
                <w:noProof/>
                <w:sz w:val="22"/>
                <w:szCs w:val="22"/>
                <w:lang w:val="en-GB" w:eastAsia="en-GB"/>
              </w:rPr>
              <w:drawing>
                <wp:inline distT="0" distB="0" distL="0" distR="0" wp14:anchorId="56B7AAF1" wp14:editId="5F25B1E6">
                  <wp:extent cx="4823460" cy="4549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3460" cy="4549140"/>
                          </a:xfrm>
                          <a:prstGeom prst="rect">
                            <a:avLst/>
                          </a:prstGeom>
                          <a:noFill/>
                          <a:ln>
                            <a:noFill/>
                          </a:ln>
                        </pic:spPr>
                      </pic:pic>
                    </a:graphicData>
                  </a:graphic>
                </wp:inline>
              </w:drawing>
            </w:r>
          </w:p>
        </w:tc>
      </w:tr>
    </w:tbl>
    <w:p w14:paraId="1638F9A1" w14:textId="77777777" w:rsidR="00CE6286" w:rsidRPr="002242A3" w:rsidRDefault="00F005DC" w:rsidP="00BB218E">
      <w:pPr>
        <w:autoSpaceDE w:val="0"/>
        <w:autoSpaceDN w:val="0"/>
        <w:adjustRightInd w:val="0"/>
        <w:jc w:val="both"/>
        <w:rPr>
          <w:rStyle w:val="Emphasis"/>
        </w:rPr>
      </w:pPr>
      <w:r w:rsidRPr="002242A3">
        <w:rPr>
          <w:rStyle w:val="Emphasis"/>
        </w:rPr>
        <w:t>Source: Forum for International Trade Training, Introduction to Trade Finance, Fifth Edition</w:t>
      </w:r>
    </w:p>
    <w:p w14:paraId="22CD5541" w14:textId="77777777" w:rsidR="00CE6286" w:rsidRDefault="00CE6286" w:rsidP="00CE6286">
      <w:pPr>
        <w:jc w:val="center"/>
        <w:rPr>
          <w:sz w:val="22"/>
          <w:szCs w:val="22"/>
        </w:rPr>
      </w:pPr>
    </w:p>
    <w:p w14:paraId="3A4C6832" w14:textId="77777777" w:rsidR="00022DA3" w:rsidRDefault="00F82F31" w:rsidP="00AF7EBD">
      <w:pPr>
        <w:pStyle w:val="Heading2"/>
        <w:numPr>
          <w:ilvl w:val="0"/>
          <w:numId w:val="7"/>
        </w:numPr>
        <w:rPr>
          <w:sz w:val="22"/>
          <w:szCs w:val="22"/>
        </w:rPr>
      </w:pPr>
      <w:bookmarkStart w:id="13" w:name="_Toc436042204"/>
      <w:bookmarkStart w:id="14" w:name="_Toc441728563"/>
      <w:bookmarkEnd w:id="11"/>
      <w:r>
        <w:rPr>
          <w:sz w:val="22"/>
          <w:szCs w:val="22"/>
        </w:rPr>
        <w:t>Risk Mitigation</w:t>
      </w:r>
      <w:bookmarkEnd w:id="13"/>
      <w:bookmarkEnd w:id="14"/>
    </w:p>
    <w:p w14:paraId="204607E1" w14:textId="77777777" w:rsidR="00F82F31" w:rsidRDefault="00F82F31" w:rsidP="00022DA3">
      <w:pPr>
        <w:jc w:val="both"/>
        <w:rPr>
          <w:rFonts w:ascii="Arial" w:hAnsi="Arial" w:cs="Arial"/>
          <w:sz w:val="22"/>
          <w:szCs w:val="22"/>
          <w:lang w:val="en-CA"/>
        </w:rPr>
      </w:pPr>
      <w:r>
        <w:rPr>
          <w:rFonts w:ascii="Arial" w:hAnsi="Arial" w:cs="Arial"/>
          <w:sz w:val="22"/>
          <w:szCs w:val="22"/>
          <w:lang w:val="en-CA"/>
        </w:rPr>
        <w:t>Risk Mitigation</w:t>
      </w:r>
      <w:r w:rsidR="00CE6286">
        <w:rPr>
          <w:rFonts w:ascii="Arial" w:hAnsi="Arial" w:cs="Arial"/>
          <w:sz w:val="22"/>
          <w:szCs w:val="22"/>
          <w:lang w:val="en-CA"/>
        </w:rPr>
        <w:t xml:space="preserve"> is one of the fundamental propositions in </w:t>
      </w:r>
      <w:r w:rsidR="00702559">
        <w:rPr>
          <w:rFonts w:ascii="Arial" w:hAnsi="Arial" w:cs="Arial"/>
          <w:sz w:val="22"/>
          <w:szCs w:val="22"/>
          <w:lang w:val="en-CA"/>
        </w:rPr>
        <w:t>Trade F</w:t>
      </w:r>
      <w:r w:rsidR="00CE6286">
        <w:rPr>
          <w:rFonts w:ascii="Arial" w:hAnsi="Arial" w:cs="Arial"/>
          <w:sz w:val="22"/>
          <w:szCs w:val="22"/>
          <w:lang w:val="en-CA"/>
        </w:rPr>
        <w:t xml:space="preserve">inance, and an element that is increasingly being integrated into </w:t>
      </w:r>
      <w:r w:rsidR="00702559">
        <w:rPr>
          <w:rFonts w:ascii="Arial" w:hAnsi="Arial" w:cs="Arial"/>
          <w:sz w:val="22"/>
          <w:szCs w:val="22"/>
          <w:lang w:val="en-CA"/>
        </w:rPr>
        <w:t>S</w:t>
      </w:r>
      <w:r w:rsidR="00CE6286">
        <w:rPr>
          <w:rFonts w:ascii="Arial" w:hAnsi="Arial" w:cs="Arial"/>
          <w:sz w:val="22"/>
          <w:szCs w:val="22"/>
          <w:lang w:val="en-CA"/>
        </w:rPr>
        <w:t xml:space="preserve">upply </w:t>
      </w:r>
      <w:r w:rsidR="00702559">
        <w:rPr>
          <w:rFonts w:ascii="Arial" w:hAnsi="Arial" w:cs="Arial"/>
          <w:sz w:val="22"/>
          <w:szCs w:val="22"/>
          <w:lang w:val="en-CA"/>
        </w:rPr>
        <w:t>C</w:t>
      </w:r>
      <w:r w:rsidR="00CE6286">
        <w:rPr>
          <w:rFonts w:ascii="Arial" w:hAnsi="Arial" w:cs="Arial"/>
          <w:sz w:val="22"/>
          <w:szCs w:val="22"/>
          <w:lang w:val="en-CA"/>
        </w:rPr>
        <w:t xml:space="preserve">hain </w:t>
      </w:r>
      <w:r w:rsidR="00702559">
        <w:rPr>
          <w:rFonts w:ascii="Arial" w:hAnsi="Arial" w:cs="Arial"/>
          <w:sz w:val="22"/>
          <w:szCs w:val="22"/>
          <w:lang w:val="en-CA"/>
        </w:rPr>
        <w:t>F</w:t>
      </w:r>
      <w:r w:rsidR="00CE6286">
        <w:rPr>
          <w:rFonts w:ascii="Arial" w:hAnsi="Arial" w:cs="Arial"/>
          <w:sz w:val="22"/>
          <w:szCs w:val="22"/>
          <w:lang w:val="en-CA"/>
        </w:rPr>
        <w:t>inance structures.</w:t>
      </w:r>
    </w:p>
    <w:p w14:paraId="39A901AE" w14:textId="77777777" w:rsidR="00CE6286" w:rsidRDefault="00CE6286" w:rsidP="00022DA3">
      <w:pPr>
        <w:jc w:val="both"/>
        <w:rPr>
          <w:rFonts w:ascii="Arial" w:hAnsi="Arial" w:cs="Arial"/>
          <w:sz w:val="22"/>
          <w:szCs w:val="22"/>
          <w:lang w:val="en-CA"/>
        </w:rPr>
      </w:pPr>
    </w:p>
    <w:p w14:paraId="23B239DE" w14:textId="77777777" w:rsidR="00236ED1" w:rsidRDefault="00CE6286" w:rsidP="00022DA3">
      <w:pPr>
        <w:jc w:val="both"/>
        <w:rPr>
          <w:rFonts w:ascii="Arial" w:hAnsi="Arial" w:cs="Arial"/>
          <w:sz w:val="22"/>
          <w:szCs w:val="22"/>
          <w:lang w:val="en-CA"/>
        </w:rPr>
      </w:pPr>
      <w:r>
        <w:rPr>
          <w:rFonts w:ascii="Arial" w:hAnsi="Arial" w:cs="Arial"/>
          <w:sz w:val="22"/>
          <w:szCs w:val="22"/>
          <w:lang w:val="en-CA"/>
        </w:rPr>
        <w:t xml:space="preserve">Risk mitigation can be enabled through a particular instrument, such </w:t>
      </w:r>
      <w:r w:rsidR="00702559">
        <w:rPr>
          <w:rFonts w:ascii="Arial" w:hAnsi="Arial" w:cs="Arial"/>
          <w:sz w:val="22"/>
          <w:szCs w:val="22"/>
          <w:lang w:val="en-CA"/>
        </w:rPr>
        <w:t xml:space="preserve">as </w:t>
      </w:r>
      <w:r>
        <w:rPr>
          <w:rFonts w:ascii="Arial" w:hAnsi="Arial" w:cs="Arial"/>
          <w:sz w:val="22"/>
          <w:szCs w:val="22"/>
          <w:lang w:val="en-CA"/>
        </w:rPr>
        <w:t xml:space="preserve">a documentary letter of credit, which allows buyer and </w:t>
      </w:r>
      <w:r w:rsidR="00936C60">
        <w:rPr>
          <w:rFonts w:ascii="Arial" w:hAnsi="Arial" w:cs="Arial"/>
          <w:sz w:val="22"/>
          <w:szCs w:val="22"/>
          <w:lang w:val="en-CA"/>
        </w:rPr>
        <w:t>supplier</w:t>
      </w:r>
      <w:r>
        <w:rPr>
          <w:rFonts w:ascii="Arial" w:hAnsi="Arial" w:cs="Arial"/>
          <w:sz w:val="22"/>
          <w:szCs w:val="22"/>
          <w:lang w:val="en-CA"/>
        </w:rPr>
        <w:t xml:space="preserve"> to stipulate agreed terms and conditions of payment (sometimes very detailed and extensive), and where a trusted third party – </w:t>
      </w:r>
      <w:r w:rsidR="00702559">
        <w:rPr>
          <w:rFonts w:ascii="Arial" w:hAnsi="Arial" w:cs="Arial"/>
          <w:sz w:val="22"/>
          <w:szCs w:val="22"/>
          <w:lang w:val="en-CA"/>
        </w:rPr>
        <w:t xml:space="preserve">one (or more) </w:t>
      </w:r>
      <w:r>
        <w:rPr>
          <w:rFonts w:ascii="Arial" w:hAnsi="Arial" w:cs="Arial"/>
          <w:sz w:val="22"/>
          <w:szCs w:val="22"/>
          <w:lang w:val="en-CA"/>
        </w:rPr>
        <w:t xml:space="preserve">banks – act to facilitate a careful verification process </w:t>
      </w:r>
      <w:r w:rsidR="00702559">
        <w:rPr>
          <w:rFonts w:ascii="Arial" w:hAnsi="Arial" w:cs="Arial"/>
          <w:sz w:val="22"/>
          <w:szCs w:val="22"/>
          <w:lang w:val="en-CA"/>
        </w:rPr>
        <w:t xml:space="preserve">to see if the terms and conditions have been met </w:t>
      </w:r>
      <w:r>
        <w:rPr>
          <w:rFonts w:ascii="Arial" w:hAnsi="Arial" w:cs="Arial"/>
          <w:sz w:val="22"/>
          <w:szCs w:val="22"/>
          <w:lang w:val="en-CA"/>
        </w:rPr>
        <w:t xml:space="preserve">before payment is effected and the goods are released to </w:t>
      </w:r>
      <w:r w:rsidR="00702559">
        <w:rPr>
          <w:rFonts w:ascii="Arial" w:hAnsi="Arial" w:cs="Arial"/>
          <w:sz w:val="22"/>
          <w:szCs w:val="22"/>
          <w:lang w:val="en-CA"/>
        </w:rPr>
        <w:t xml:space="preserve">the </w:t>
      </w:r>
      <w:r>
        <w:rPr>
          <w:rFonts w:ascii="Arial" w:hAnsi="Arial" w:cs="Arial"/>
          <w:sz w:val="22"/>
          <w:szCs w:val="22"/>
          <w:lang w:val="en-CA"/>
        </w:rPr>
        <w:t xml:space="preserve">buyer. </w:t>
      </w:r>
    </w:p>
    <w:p w14:paraId="0762C255" w14:textId="77777777" w:rsidR="00236ED1" w:rsidRDefault="00236ED1" w:rsidP="00022DA3">
      <w:pPr>
        <w:jc w:val="both"/>
        <w:rPr>
          <w:rFonts w:ascii="Arial" w:hAnsi="Arial" w:cs="Arial"/>
          <w:sz w:val="22"/>
          <w:szCs w:val="22"/>
          <w:lang w:val="en-CA"/>
        </w:rPr>
      </w:pPr>
    </w:p>
    <w:p w14:paraId="72C5F1B2" w14:textId="77777777" w:rsidR="00CE6286" w:rsidRDefault="00CE6286" w:rsidP="00022DA3">
      <w:pPr>
        <w:jc w:val="both"/>
        <w:rPr>
          <w:rFonts w:ascii="Arial" w:hAnsi="Arial" w:cs="Arial"/>
          <w:sz w:val="22"/>
          <w:szCs w:val="22"/>
          <w:lang w:val="en-CA"/>
        </w:rPr>
      </w:pPr>
      <w:r>
        <w:rPr>
          <w:rFonts w:ascii="Arial" w:hAnsi="Arial" w:cs="Arial"/>
          <w:sz w:val="22"/>
          <w:szCs w:val="22"/>
          <w:lang w:val="en-CA"/>
        </w:rPr>
        <w:t xml:space="preserve">Additionally, mitigation of risk can take the form of various types of guarantees or insurance solutions, including political risk insurance, transport insurance, export credit </w:t>
      </w:r>
      <w:r>
        <w:rPr>
          <w:rFonts w:ascii="Arial" w:hAnsi="Arial" w:cs="Arial"/>
          <w:sz w:val="22"/>
          <w:szCs w:val="22"/>
          <w:lang w:val="en-CA"/>
        </w:rPr>
        <w:lastRenderedPageBreak/>
        <w:t>insurance and numerous other variations that enable the successful conduct of commerce in the most challenging markets on the globe.</w:t>
      </w:r>
    </w:p>
    <w:p w14:paraId="2ED62A0F" w14:textId="77777777" w:rsidR="00CE6286" w:rsidRDefault="00CE6286" w:rsidP="00022DA3">
      <w:pPr>
        <w:jc w:val="both"/>
        <w:rPr>
          <w:rFonts w:ascii="Arial" w:hAnsi="Arial" w:cs="Arial"/>
          <w:sz w:val="22"/>
          <w:szCs w:val="22"/>
          <w:lang w:val="en-CA"/>
        </w:rPr>
      </w:pPr>
    </w:p>
    <w:p w14:paraId="6918469B" w14:textId="77777777" w:rsidR="00CE6286" w:rsidRDefault="00CE6286" w:rsidP="00022DA3">
      <w:pPr>
        <w:jc w:val="both"/>
        <w:rPr>
          <w:rFonts w:ascii="Arial" w:hAnsi="Arial" w:cs="Arial"/>
          <w:sz w:val="22"/>
          <w:szCs w:val="22"/>
          <w:lang w:val="en-CA"/>
        </w:rPr>
      </w:pPr>
      <w:r>
        <w:rPr>
          <w:rFonts w:ascii="Arial" w:hAnsi="Arial" w:cs="Arial"/>
          <w:sz w:val="22"/>
          <w:szCs w:val="22"/>
          <w:lang w:val="en-CA"/>
        </w:rPr>
        <w:t>One of the challenges in pursuing commercial activity across borders</w:t>
      </w:r>
      <w:r w:rsidR="00702559">
        <w:rPr>
          <w:rFonts w:ascii="Arial" w:hAnsi="Arial" w:cs="Arial"/>
          <w:sz w:val="22"/>
          <w:szCs w:val="22"/>
          <w:lang w:val="en-CA"/>
        </w:rPr>
        <w:t xml:space="preserve"> between jurisdictions</w:t>
      </w:r>
      <w:r>
        <w:rPr>
          <w:rFonts w:ascii="Arial" w:hAnsi="Arial" w:cs="Arial"/>
          <w:sz w:val="22"/>
          <w:szCs w:val="22"/>
          <w:lang w:val="en-CA"/>
        </w:rPr>
        <w:t>, is the significant increase in complexity and risk likely to be encountered at every stage of a transaction, from the early stages</w:t>
      </w:r>
      <w:r w:rsidR="002B38E8">
        <w:rPr>
          <w:rFonts w:ascii="Arial" w:hAnsi="Arial" w:cs="Arial"/>
          <w:sz w:val="22"/>
          <w:szCs w:val="22"/>
          <w:lang w:val="en-CA"/>
        </w:rPr>
        <w:t xml:space="preserve"> (</w:t>
      </w:r>
      <w:r>
        <w:rPr>
          <w:rFonts w:ascii="Arial" w:hAnsi="Arial" w:cs="Arial"/>
          <w:sz w:val="22"/>
          <w:szCs w:val="22"/>
          <w:lang w:val="en-CA"/>
        </w:rPr>
        <w:t>where the conduct of basic due diligence on a potential partner</w:t>
      </w:r>
      <w:r w:rsidR="002B38E8">
        <w:rPr>
          <w:rFonts w:ascii="Arial" w:hAnsi="Arial" w:cs="Arial"/>
          <w:sz w:val="22"/>
          <w:szCs w:val="22"/>
          <w:lang w:val="en-CA"/>
        </w:rPr>
        <w:t xml:space="preserve"> takes place)</w:t>
      </w:r>
      <w:r>
        <w:rPr>
          <w:rFonts w:ascii="Arial" w:hAnsi="Arial" w:cs="Arial"/>
          <w:sz w:val="22"/>
          <w:szCs w:val="22"/>
          <w:lang w:val="en-CA"/>
        </w:rPr>
        <w:t xml:space="preserve"> to the final stages where a sudden imposition of exchange controls might prevent payment to a </w:t>
      </w:r>
      <w:r w:rsidR="00936C60">
        <w:rPr>
          <w:rFonts w:ascii="Arial" w:hAnsi="Arial" w:cs="Arial"/>
          <w:sz w:val="22"/>
          <w:szCs w:val="22"/>
          <w:lang w:val="en-CA"/>
        </w:rPr>
        <w:t>supplier</w:t>
      </w:r>
      <w:r>
        <w:rPr>
          <w:rFonts w:ascii="Arial" w:hAnsi="Arial" w:cs="Arial"/>
          <w:sz w:val="22"/>
          <w:szCs w:val="22"/>
          <w:lang w:val="en-CA"/>
        </w:rPr>
        <w:t>, despite the full agreement and best intentions of the importing trading partner. Risks related to foreign currency volatility can be significant, and the risk of fraud is a serious one that bears monitoring and requires careful consideration.</w:t>
      </w:r>
    </w:p>
    <w:p w14:paraId="63599B3F" w14:textId="77777777" w:rsidR="00CE6286" w:rsidRDefault="00CE6286" w:rsidP="00022DA3">
      <w:pPr>
        <w:jc w:val="both"/>
        <w:rPr>
          <w:rFonts w:ascii="Arial" w:hAnsi="Arial" w:cs="Arial"/>
          <w:sz w:val="22"/>
          <w:szCs w:val="22"/>
          <w:lang w:val="en-CA"/>
        </w:rPr>
      </w:pPr>
    </w:p>
    <w:p w14:paraId="7FA5B226" w14:textId="77777777" w:rsidR="00CE6286" w:rsidRDefault="00CE6286" w:rsidP="00022DA3">
      <w:pPr>
        <w:jc w:val="both"/>
        <w:rPr>
          <w:rFonts w:ascii="Arial" w:hAnsi="Arial" w:cs="Arial"/>
          <w:sz w:val="22"/>
          <w:szCs w:val="22"/>
          <w:lang w:val="en-CA"/>
        </w:rPr>
      </w:pPr>
      <w:r>
        <w:rPr>
          <w:rFonts w:ascii="Arial" w:hAnsi="Arial" w:cs="Arial"/>
          <w:sz w:val="22"/>
          <w:szCs w:val="22"/>
          <w:lang w:val="en-CA"/>
        </w:rPr>
        <w:t>In addition to well-developed and tested risk mitigation structures and solutions, mitigation is also available in the form of expert advice from specialist trade financiers who should know about both transactional solutions and regional and market dynamics likely to pose risk to either or both trading parties.</w:t>
      </w:r>
    </w:p>
    <w:p w14:paraId="12B05C16" w14:textId="77777777" w:rsidR="00CE6286" w:rsidRDefault="00CE6286" w:rsidP="00022DA3">
      <w:pPr>
        <w:jc w:val="both"/>
        <w:rPr>
          <w:rFonts w:ascii="Arial" w:hAnsi="Arial" w:cs="Arial"/>
          <w:sz w:val="22"/>
          <w:szCs w:val="22"/>
          <w:lang w:val="en-CA"/>
        </w:rPr>
      </w:pPr>
    </w:p>
    <w:p w14:paraId="12C96A46" w14:textId="77777777" w:rsidR="002242A3" w:rsidRDefault="002242A3" w:rsidP="002242A3">
      <w:pPr>
        <w:pStyle w:val="Caption"/>
        <w:rPr>
          <w:rFonts w:ascii="Arial" w:hAnsi="Arial" w:cs="Arial"/>
          <w:sz w:val="22"/>
          <w:szCs w:val="22"/>
          <w:lang w:val="en-CA"/>
        </w:rPr>
      </w:pPr>
      <w:bookmarkStart w:id="15" w:name="_Toc436042269"/>
      <w:r>
        <w:t xml:space="preserve">Figure </w:t>
      </w:r>
      <w:r>
        <w:fldChar w:fldCharType="begin"/>
      </w:r>
      <w:r>
        <w:instrText xml:space="preserve"> SEQ Figure \* ARABIC </w:instrText>
      </w:r>
      <w:r>
        <w:fldChar w:fldCharType="separate"/>
      </w:r>
      <w:r w:rsidR="00A73BD5">
        <w:rPr>
          <w:noProof/>
        </w:rPr>
        <w:t>5</w:t>
      </w:r>
      <w:r>
        <w:fldChar w:fldCharType="end"/>
      </w:r>
      <w:r>
        <w:t>:</w:t>
      </w:r>
      <w:r w:rsidRPr="002242A3">
        <w:t xml:space="preserve"> Risk in International Trade</w:t>
      </w:r>
      <w:bookmarkEnd w:id="15"/>
    </w:p>
    <w:p w14:paraId="53FEAE55" w14:textId="77777777" w:rsidR="00CE6286" w:rsidRDefault="00B073BE" w:rsidP="0072426B">
      <w:pPr>
        <w:ind w:hanging="851"/>
        <w:jc w:val="center"/>
        <w:rPr>
          <w:rFonts w:ascii="Arial" w:hAnsi="Arial" w:cs="Arial"/>
          <w:sz w:val="22"/>
          <w:szCs w:val="22"/>
          <w:lang w:val="en-CA"/>
        </w:rPr>
      </w:pPr>
      <w:r w:rsidRPr="00B073BE">
        <w:rPr>
          <w:noProof/>
          <w:lang w:val="en-GB" w:eastAsia="en-GB"/>
        </w:rPr>
        <w:drawing>
          <wp:inline distT="0" distB="0" distL="0" distR="0" wp14:anchorId="4426A6F0" wp14:editId="19DF0B9F">
            <wp:extent cx="6422281" cy="3962400"/>
            <wp:effectExtent l="19050" t="19050" r="1714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0111" cy="3967231"/>
                    </a:xfrm>
                    <a:prstGeom prst="rect">
                      <a:avLst/>
                    </a:prstGeom>
                    <a:noFill/>
                    <a:ln>
                      <a:solidFill>
                        <a:schemeClr val="accent1"/>
                      </a:solidFill>
                    </a:ln>
                  </pic:spPr>
                </pic:pic>
              </a:graphicData>
            </a:graphic>
          </wp:inline>
        </w:drawing>
      </w:r>
    </w:p>
    <w:p w14:paraId="6C72E7D7" w14:textId="77777777" w:rsidR="00CE6286" w:rsidRPr="002242A3" w:rsidRDefault="00F005DC" w:rsidP="002242A3">
      <w:pPr>
        <w:autoSpaceDE w:val="0"/>
        <w:autoSpaceDN w:val="0"/>
        <w:adjustRightInd w:val="0"/>
        <w:jc w:val="both"/>
        <w:rPr>
          <w:rStyle w:val="Emphasis"/>
        </w:rPr>
      </w:pPr>
      <w:r w:rsidRPr="002242A3">
        <w:rPr>
          <w:rStyle w:val="Emphasis"/>
        </w:rPr>
        <w:t>Source: ITC, Trade Finance Infrastructure Development Handbook</w:t>
      </w:r>
    </w:p>
    <w:p w14:paraId="0F3511B4" w14:textId="77777777" w:rsidR="00CE6286" w:rsidRDefault="00CE6286" w:rsidP="00022DA3">
      <w:pPr>
        <w:jc w:val="both"/>
        <w:rPr>
          <w:rFonts w:ascii="Arial" w:hAnsi="Arial" w:cs="Arial"/>
          <w:sz w:val="22"/>
          <w:szCs w:val="22"/>
          <w:lang w:val="en-CA"/>
        </w:rPr>
      </w:pPr>
    </w:p>
    <w:p w14:paraId="01F4DDC4" w14:textId="77777777" w:rsidR="00B073BE" w:rsidRDefault="00B073BE" w:rsidP="00022DA3">
      <w:pPr>
        <w:jc w:val="both"/>
        <w:rPr>
          <w:rFonts w:ascii="Arial" w:hAnsi="Arial" w:cs="Arial"/>
          <w:sz w:val="22"/>
          <w:szCs w:val="22"/>
          <w:lang w:val="en-CA"/>
        </w:rPr>
      </w:pPr>
      <w:r>
        <w:rPr>
          <w:rFonts w:ascii="Arial" w:hAnsi="Arial" w:cs="Arial"/>
          <w:sz w:val="22"/>
          <w:szCs w:val="22"/>
          <w:lang w:val="en-CA"/>
        </w:rPr>
        <w:t xml:space="preserve">In practical commercial terms, risk is a beneficial reality of international commerce, as it often reflects the likely reward or return that could arise from successful conduct of trade, and it tends to dissuade potential competitors from entering or engaging in </w:t>
      </w:r>
      <w:r>
        <w:rPr>
          <w:rFonts w:ascii="Arial" w:hAnsi="Arial" w:cs="Arial"/>
          <w:sz w:val="22"/>
          <w:szCs w:val="22"/>
          <w:lang w:val="en-CA"/>
        </w:rPr>
        <w:lastRenderedPageBreak/>
        <w:t>markets that are (or are perceived to be) too risky relative to the competitor’s risk appetite, or their ability to devise effective mitigation solutions.</w:t>
      </w:r>
    </w:p>
    <w:p w14:paraId="29EC6499" w14:textId="77777777" w:rsidR="00B073BE" w:rsidRDefault="00B073BE" w:rsidP="00022DA3">
      <w:pPr>
        <w:jc w:val="both"/>
        <w:rPr>
          <w:rFonts w:ascii="Arial" w:hAnsi="Arial" w:cs="Arial"/>
          <w:sz w:val="22"/>
          <w:szCs w:val="22"/>
          <w:lang w:val="en-CA"/>
        </w:rPr>
      </w:pPr>
    </w:p>
    <w:p w14:paraId="6CDC047E" w14:textId="77777777" w:rsidR="00B073BE" w:rsidRDefault="00B073BE" w:rsidP="00022DA3">
      <w:pPr>
        <w:jc w:val="both"/>
        <w:rPr>
          <w:rFonts w:ascii="Arial" w:hAnsi="Arial" w:cs="Arial"/>
          <w:sz w:val="22"/>
          <w:szCs w:val="22"/>
          <w:lang w:val="en-CA"/>
        </w:rPr>
      </w:pPr>
      <w:r>
        <w:rPr>
          <w:rFonts w:ascii="Arial" w:hAnsi="Arial" w:cs="Arial"/>
          <w:sz w:val="22"/>
          <w:szCs w:val="22"/>
          <w:lang w:val="en-CA"/>
        </w:rPr>
        <w:t>It is worth noting, too, that risk mitigation invariably implies a cost, usually in proportion to the level of risk being mitigated. Accordingly, it is more accurate to speak in terms of risk optimization – striking an appropriate balance between risk tolerance, cost of mitigation and an acceptable level of residual risk.</w:t>
      </w:r>
    </w:p>
    <w:p w14:paraId="4FA54E7B" w14:textId="77777777" w:rsidR="00B073BE" w:rsidRDefault="00B073BE" w:rsidP="00022DA3">
      <w:pPr>
        <w:jc w:val="both"/>
        <w:rPr>
          <w:rFonts w:ascii="Arial" w:hAnsi="Arial" w:cs="Arial"/>
          <w:sz w:val="22"/>
          <w:szCs w:val="22"/>
          <w:lang w:val="en-CA"/>
        </w:rPr>
      </w:pPr>
    </w:p>
    <w:p w14:paraId="13C0B681" w14:textId="77777777" w:rsidR="00B073BE" w:rsidRDefault="00B073BE" w:rsidP="00022DA3">
      <w:pPr>
        <w:jc w:val="both"/>
        <w:rPr>
          <w:rFonts w:ascii="Arial" w:hAnsi="Arial" w:cs="Arial"/>
          <w:sz w:val="22"/>
          <w:szCs w:val="22"/>
          <w:lang w:val="en-CA"/>
        </w:rPr>
      </w:pPr>
      <w:r>
        <w:rPr>
          <w:rFonts w:ascii="Arial" w:hAnsi="Arial" w:cs="Arial"/>
          <w:sz w:val="22"/>
          <w:szCs w:val="22"/>
          <w:lang w:val="en-CA"/>
        </w:rPr>
        <w:t xml:space="preserve">In any event, the identification and mitigation/optimization of risk </w:t>
      </w:r>
      <w:r w:rsidRPr="00B937B0">
        <w:rPr>
          <w:rFonts w:ascii="Arial" w:hAnsi="Arial" w:cs="Arial"/>
          <w:sz w:val="22"/>
          <w:szCs w:val="22"/>
          <w:lang w:val="en-CA"/>
        </w:rPr>
        <w:t xml:space="preserve">is a core element of the value proposition of </w:t>
      </w:r>
      <w:r w:rsidR="00702559">
        <w:rPr>
          <w:rFonts w:ascii="Arial" w:hAnsi="Arial" w:cs="Arial"/>
          <w:sz w:val="22"/>
          <w:szCs w:val="22"/>
          <w:lang w:val="en-CA"/>
        </w:rPr>
        <w:t>T</w:t>
      </w:r>
      <w:r w:rsidR="00702559" w:rsidRPr="00B937B0">
        <w:rPr>
          <w:rFonts w:ascii="Arial" w:hAnsi="Arial" w:cs="Arial"/>
          <w:sz w:val="22"/>
          <w:szCs w:val="22"/>
          <w:lang w:val="en-CA"/>
        </w:rPr>
        <w:t xml:space="preserve">rade </w:t>
      </w:r>
      <w:r w:rsidR="00702559">
        <w:rPr>
          <w:rFonts w:ascii="Arial" w:hAnsi="Arial" w:cs="Arial"/>
          <w:sz w:val="22"/>
          <w:szCs w:val="22"/>
          <w:lang w:val="en-CA"/>
        </w:rPr>
        <w:t xml:space="preserve">Finance </w:t>
      </w:r>
      <w:r w:rsidRPr="00B937B0">
        <w:rPr>
          <w:rFonts w:ascii="Arial" w:hAnsi="Arial" w:cs="Arial"/>
          <w:sz w:val="22"/>
          <w:szCs w:val="22"/>
          <w:lang w:val="en-CA"/>
        </w:rPr>
        <w:t xml:space="preserve">and </w:t>
      </w:r>
      <w:r w:rsidR="00702559">
        <w:rPr>
          <w:rFonts w:ascii="Arial" w:hAnsi="Arial" w:cs="Arial"/>
          <w:sz w:val="22"/>
          <w:szCs w:val="22"/>
          <w:lang w:val="en-CA"/>
        </w:rPr>
        <w:t>S</w:t>
      </w:r>
      <w:r w:rsidRPr="00B937B0">
        <w:rPr>
          <w:rFonts w:ascii="Arial" w:hAnsi="Arial" w:cs="Arial"/>
          <w:sz w:val="22"/>
          <w:szCs w:val="22"/>
          <w:lang w:val="en-CA"/>
        </w:rPr>
        <w:t xml:space="preserve">upply </w:t>
      </w:r>
      <w:r w:rsidR="00702559">
        <w:rPr>
          <w:rFonts w:ascii="Arial" w:hAnsi="Arial" w:cs="Arial"/>
          <w:sz w:val="22"/>
          <w:szCs w:val="22"/>
          <w:lang w:val="en-CA"/>
        </w:rPr>
        <w:t>C</w:t>
      </w:r>
      <w:r w:rsidRPr="00B937B0">
        <w:rPr>
          <w:rFonts w:ascii="Arial" w:hAnsi="Arial" w:cs="Arial"/>
          <w:sz w:val="22"/>
          <w:szCs w:val="22"/>
          <w:lang w:val="en-CA"/>
        </w:rPr>
        <w:t xml:space="preserve">hain </w:t>
      </w:r>
      <w:r w:rsidR="00702559">
        <w:rPr>
          <w:rFonts w:ascii="Arial" w:hAnsi="Arial" w:cs="Arial"/>
          <w:sz w:val="22"/>
          <w:szCs w:val="22"/>
          <w:lang w:val="en-CA"/>
        </w:rPr>
        <w:t>F</w:t>
      </w:r>
      <w:r w:rsidRPr="00B937B0">
        <w:rPr>
          <w:rFonts w:ascii="Arial" w:hAnsi="Arial" w:cs="Arial"/>
          <w:sz w:val="22"/>
          <w:szCs w:val="22"/>
          <w:lang w:val="en-CA"/>
        </w:rPr>
        <w:t>inanc</w:t>
      </w:r>
      <w:r>
        <w:rPr>
          <w:rFonts w:ascii="Arial" w:hAnsi="Arial" w:cs="Arial"/>
          <w:sz w:val="22"/>
          <w:szCs w:val="22"/>
          <w:lang w:val="en-CA"/>
        </w:rPr>
        <w:t xml:space="preserve">e, allowing the successful conduct of trade in and with developing economies, and </w:t>
      </w:r>
      <w:r w:rsidRPr="00B937B0">
        <w:rPr>
          <w:rFonts w:ascii="Arial" w:hAnsi="Arial" w:cs="Arial"/>
          <w:sz w:val="22"/>
          <w:szCs w:val="22"/>
          <w:lang w:val="en-CA"/>
        </w:rPr>
        <w:t xml:space="preserve">thus linking directly to </w:t>
      </w:r>
      <w:r w:rsidR="00702559">
        <w:rPr>
          <w:rFonts w:ascii="Arial" w:hAnsi="Arial" w:cs="Arial"/>
          <w:sz w:val="22"/>
          <w:szCs w:val="22"/>
          <w:lang w:val="en-CA"/>
        </w:rPr>
        <w:t>T</w:t>
      </w:r>
      <w:r w:rsidR="00702559" w:rsidRPr="00B937B0">
        <w:rPr>
          <w:rFonts w:ascii="Arial" w:hAnsi="Arial" w:cs="Arial"/>
          <w:sz w:val="22"/>
          <w:szCs w:val="22"/>
          <w:lang w:val="en-CA"/>
        </w:rPr>
        <w:t xml:space="preserve">rade </w:t>
      </w:r>
      <w:r w:rsidR="00702559">
        <w:rPr>
          <w:rFonts w:ascii="Arial" w:hAnsi="Arial" w:cs="Arial"/>
          <w:sz w:val="22"/>
          <w:szCs w:val="22"/>
          <w:lang w:val="en-CA"/>
        </w:rPr>
        <w:t>F</w:t>
      </w:r>
      <w:r w:rsidRPr="00B937B0">
        <w:rPr>
          <w:rFonts w:ascii="Arial" w:hAnsi="Arial" w:cs="Arial"/>
          <w:sz w:val="22"/>
          <w:szCs w:val="22"/>
          <w:lang w:val="en-CA"/>
        </w:rPr>
        <w:t>acilitation</w:t>
      </w:r>
      <w:r>
        <w:rPr>
          <w:rFonts w:ascii="Arial" w:hAnsi="Arial" w:cs="Arial"/>
          <w:sz w:val="22"/>
          <w:szCs w:val="22"/>
          <w:lang w:val="en-CA"/>
        </w:rPr>
        <w:t xml:space="preserve"> and promotion activities that can be cornerstones of national policy and trade-based development.</w:t>
      </w:r>
    </w:p>
    <w:p w14:paraId="632622F7" w14:textId="77777777" w:rsidR="00DC09B4" w:rsidRDefault="00DC09B4" w:rsidP="00022DA3">
      <w:pPr>
        <w:jc w:val="both"/>
        <w:rPr>
          <w:rFonts w:ascii="Arial" w:hAnsi="Arial" w:cs="Arial"/>
          <w:sz w:val="22"/>
          <w:szCs w:val="22"/>
          <w:lang w:val="en-CA"/>
        </w:rPr>
      </w:pPr>
    </w:p>
    <w:p w14:paraId="49184F19" w14:textId="77777777" w:rsidR="00DC09B4" w:rsidRDefault="00DC09B4" w:rsidP="00022DA3">
      <w:pPr>
        <w:jc w:val="both"/>
        <w:rPr>
          <w:rFonts w:ascii="Arial" w:hAnsi="Arial" w:cs="Arial"/>
          <w:sz w:val="22"/>
          <w:szCs w:val="22"/>
          <w:lang w:val="en-CA"/>
        </w:rPr>
      </w:pPr>
      <w:r>
        <w:rPr>
          <w:rFonts w:ascii="Arial" w:hAnsi="Arial" w:cs="Arial"/>
          <w:sz w:val="22"/>
          <w:szCs w:val="22"/>
          <w:lang w:val="en-CA"/>
        </w:rPr>
        <w:t xml:space="preserve">The matter of risk and the credibility of banks involved in international </w:t>
      </w:r>
      <w:r w:rsidR="00702559">
        <w:rPr>
          <w:rFonts w:ascii="Arial" w:hAnsi="Arial" w:cs="Arial"/>
          <w:sz w:val="22"/>
          <w:szCs w:val="22"/>
          <w:lang w:val="en-CA"/>
        </w:rPr>
        <w:t>Trade F</w:t>
      </w:r>
      <w:r>
        <w:rPr>
          <w:rFonts w:ascii="Arial" w:hAnsi="Arial" w:cs="Arial"/>
          <w:sz w:val="22"/>
          <w:szCs w:val="22"/>
          <w:lang w:val="en-CA"/>
        </w:rPr>
        <w:t>inance are central to the conduct of international commerce</w:t>
      </w:r>
      <w:r w:rsidR="00702559">
        <w:rPr>
          <w:rFonts w:ascii="Arial" w:hAnsi="Arial" w:cs="Arial"/>
          <w:sz w:val="22"/>
          <w:szCs w:val="22"/>
          <w:lang w:val="en-CA"/>
        </w:rPr>
        <w:t xml:space="preserve">. </w:t>
      </w:r>
      <w:r w:rsidR="00D517D3">
        <w:rPr>
          <w:rFonts w:ascii="Arial" w:hAnsi="Arial" w:cs="Arial"/>
          <w:sz w:val="22"/>
          <w:szCs w:val="22"/>
          <w:lang w:val="en-CA"/>
        </w:rPr>
        <w:t>In</w:t>
      </w:r>
      <w:r>
        <w:rPr>
          <w:rFonts w:ascii="Arial" w:hAnsi="Arial" w:cs="Arial"/>
          <w:sz w:val="22"/>
          <w:szCs w:val="22"/>
          <w:lang w:val="en-CA"/>
        </w:rPr>
        <w:t xml:space="preserve"> developing and emerging markets the role of export credit agencies</w:t>
      </w:r>
      <w:r w:rsidR="00D517D3">
        <w:rPr>
          <w:rFonts w:ascii="Arial" w:hAnsi="Arial" w:cs="Arial"/>
          <w:sz w:val="22"/>
          <w:szCs w:val="22"/>
          <w:lang w:val="en-CA"/>
        </w:rPr>
        <w:t xml:space="preserve"> (often but not always public sector institutions)</w:t>
      </w:r>
      <w:r>
        <w:rPr>
          <w:rFonts w:ascii="Arial" w:hAnsi="Arial" w:cs="Arial"/>
          <w:sz w:val="22"/>
          <w:szCs w:val="22"/>
          <w:lang w:val="en-CA"/>
        </w:rPr>
        <w:t xml:space="preserve"> is complemented by programs and activities undertaken by the various </w:t>
      </w:r>
      <w:r w:rsidRPr="00B937B0">
        <w:rPr>
          <w:rFonts w:ascii="Arial" w:hAnsi="Arial" w:cs="Arial"/>
          <w:sz w:val="22"/>
          <w:szCs w:val="22"/>
          <w:lang w:val="en-CA"/>
        </w:rPr>
        <w:t>multilateral development banks</w:t>
      </w:r>
      <w:r>
        <w:rPr>
          <w:rFonts w:ascii="Arial" w:hAnsi="Arial" w:cs="Arial"/>
          <w:sz w:val="22"/>
          <w:szCs w:val="22"/>
          <w:lang w:val="en-CA"/>
        </w:rPr>
        <w:t xml:space="preserve"> </w:t>
      </w:r>
      <w:r w:rsidR="00B937B0">
        <w:rPr>
          <w:rFonts w:ascii="Arial" w:hAnsi="Arial" w:cs="Arial"/>
          <w:sz w:val="22"/>
          <w:szCs w:val="22"/>
          <w:lang w:val="en-CA"/>
        </w:rPr>
        <w:t>(also commonly referred to as international financial institutions o</w:t>
      </w:r>
      <w:r w:rsidR="00D517D3">
        <w:rPr>
          <w:rFonts w:ascii="Arial" w:hAnsi="Arial" w:cs="Arial"/>
          <w:sz w:val="22"/>
          <w:szCs w:val="22"/>
          <w:lang w:val="en-CA"/>
        </w:rPr>
        <w:t>r</w:t>
      </w:r>
      <w:r w:rsidR="00B937B0">
        <w:rPr>
          <w:rFonts w:ascii="Arial" w:hAnsi="Arial" w:cs="Arial"/>
          <w:sz w:val="22"/>
          <w:szCs w:val="22"/>
          <w:lang w:val="en-CA"/>
        </w:rPr>
        <w:t xml:space="preserve"> IFIs)</w:t>
      </w:r>
      <w:r>
        <w:rPr>
          <w:rFonts w:ascii="Arial" w:hAnsi="Arial" w:cs="Arial"/>
          <w:sz w:val="22"/>
          <w:szCs w:val="22"/>
          <w:lang w:val="en-CA"/>
        </w:rPr>
        <w:t xml:space="preserve">. The </w:t>
      </w:r>
      <w:r w:rsidR="00702559">
        <w:rPr>
          <w:rFonts w:ascii="Arial" w:hAnsi="Arial" w:cs="Arial"/>
          <w:sz w:val="22"/>
          <w:szCs w:val="22"/>
          <w:lang w:val="en-CA"/>
        </w:rPr>
        <w:t>T</w:t>
      </w:r>
      <w:r>
        <w:rPr>
          <w:rFonts w:ascii="Arial" w:hAnsi="Arial" w:cs="Arial"/>
          <w:sz w:val="22"/>
          <w:szCs w:val="22"/>
          <w:lang w:val="en-CA"/>
        </w:rPr>
        <w:t xml:space="preserve">rade </w:t>
      </w:r>
      <w:r w:rsidR="00702559">
        <w:rPr>
          <w:rFonts w:ascii="Arial" w:hAnsi="Arial" w:cs="Arial"/>
          <w:sz w:val="22"/>
          <w:szCs w:val="22"/>
          <w:lang w:val="en-CA"/>
        </w:rPr>
        <w:t>F</w:t>
      </w:r>
      <w:r>
        <w:rPr>
          <w:rFonts w:ascii="Arial" w:hAnsi="Arial" w:cs="Arial"/>
          <w:sz w:val="22"/>
          <w:szCs w:val="22"/>
          <w:lang w:val="en-CA"/>
        </w:rPr>
        <w:t>inance programs of the</w:t>
      </w:r>
      <w:r w:rsidR="00B937B0">
        <w:rPr>
          <w:rFonts w:ascii="Arial" w:hAnsi="Arial" w:cs="Arial"/>
          <w:sz w:val="22"/>
          <w:szCs w:val="22"/>
          <w:lang w:val="en-CA"/>
        </w:rPr>
        <w:t>se</w:t>
      </w:r>
      <w:r>
        <w:rPr>
          <w:rFonts w:ascii="Arial" w:hAnsi="Arial" w:cs="Arial"/>
          <w:sz w:val="22"/>
          <w:szCs w:val="22"/>
          <w:lang w:val="en-CA"/>
        </w:rPr>
        <w:t xml:space="preserve"> various </w:t>
      </w:r>
      <w:r w:rsidR="00B937B0">
        <w:rPr>
          <w:rFonts w:ascii="Arial" w:hAnsi="Arial" w:cs="Arial"/>
          <w:sz w:val="22"/>
          <w:szCs w:val="22"/>
          <w:lang w:val="en-CA"/>
        </w:rPr>
        <w:t>IFIs</w:t>
      </w:r>
      <w:r>
        <w:rPr>
          <w:rFonts w:ascii="Arial" w:hAnsi="Arial" w:cs="Arial"/>
          <w:sz w:val="22"/>
          <w:szCs w:val="22"/>
          <w:lang w:val="en-CA"/>
        </w:rPr>
        <w:t xml:space="preserve"> have been critical in assisting developing market banks to engage effectively in the global </w:t>
      </w:r>
      <w:r w:rsidR="00702559">
        <w:rPr>
          <w:rFonts w:ascii="Arial" w:hAnsi="Arial" w:cs="Arial"/>
          <w:sz w:val="22"/>
          <w:szCs w:val="22"/>
          <w:lang w:val="en-CA"/>
        </w:rPr>
        <w:t>T</w:t>
      </w:r>
      <w:r>
        <w:rPr>
          <w:rFonts w:ascii="Arial" w:hAnsi="Arial" w:cs="Arial"/>
          <w:sz w:val="22"/>
          <w:szCs w:val="22"/>
          <w:lang w:val="en-CA"/>
        </w:rPr>
        <w:t xml:space="preserve">rade </w:t>
      </w:r>
      <w:r w:rsidR="00702559">
        <w:rPr>
          <w:rFonts w:ascii="Arial" w:hAnsi="Arial" w:cs="Arial"/>
          <w:sz w:val="22"/>
          <w:szCs w:val="22"/>
          <w:lang w:val="en-CA"/>
        </w:rPr>
        <w:t>F</w:t>
      </w:r>
      <w:r>
        <w:rPr>
          <w:rFonts w:ascii="Arial" w:hAnsi="Arial" w:cs="Arial"/>
          <w:sz w:val="22"/>
          <w:szCs w:val="22"/>
          <w:lang w:val="en-CA"/>
        </w:rPr>
        <w:t>inance business, and have notably provided various forms of support without incurring any losses.</w:t>
      </w:r>
    </w:p>
    <w:p w14:paraId="449F451A" w14:textId="77777777" w:rsidR="00DC09B4" w:rsidRDefault="00DC09B4" w:rsidP="00022DA3">
      <w:pPr>
        <w:jc w:val="both"/>
        <w:rPr>
          <w:rFonts w:ascii="Arial" w:hAnsi="Arial" w:cs="Arial"/>
          <w:sz w:val="22"/>
          <w:szCs w:val="22"/>
          <w:lang w:val="en-CA"/>
        </w:rPr>
      </w:pPr>
    </w:p>
    <w:p w14:paraId="2D2ADA2D" w14:textId="77777777" w:rsidR="00DC09B4" w:rsidRDefault="002242A3" w:rsidP="002242A3">
      <w:pPr>
        <w:pStyle w:val="Caption"/>
        <w:rPr>
          <w:rFonts w:ascii="Arial" w:hAnsi="Arial" w:cs="Arial"/>
          <w:sz w:val="22"/>
          <w:szCs w:val="22"/>
          <w:lang w:val="en-CA"/>
        </w:rPr>
      </w:pPr>
      <w:bookmarkStart w:id="16" w:name="_Toc436042270"/>
      <w:r>
        <w:t xml:space="preserve">Figure </w:t>
      </w:r>
      <w:r>
        <w:fldChar w:fldCharType="begin"/>
      </w:r>
      <w:r>
        <w:instrText xml:space="preserve"> SEQ Figure \* ARABIC </w:instrText>
      </w:r>
      <w:r>
        <w:fldChar w:fldCharType="separate"/>
      </w:r>
      <w:r w:rsidR="00A73BD5">
        <w:rPr>
          <w:noProof/>
        </w:rPr>
        <w:t>6</w:t>
      </w:r>
      <w:r>
        <w:fldChar w:fldCharType="end"/>
      </w:r>
      <w:r>
        <w:t xml:space="preserve">: </w:t>
      </w:r>
      <w:r w:rsidRPr="002242A3">
        <w:t>MDB Trade Finance Programs</w:t>
      </w:r>
      <w:bookmarkEnd w:id="16"/>
    </w:p>
    <w:p w14:paraId="6000C11E" w14:textId="77777777" w:rsidR="00DC09B4" w:rsidRDefault="00D517D3" w:rsidP="00022DA3">
      <w:pPr>
        <w:jc w:val="both"/>
        <w:rPr>
          <w:rFonts w:ascii="Arial" w:hAnsi="Arial" w:cs="Arial"/>
          <w:sz w:val="22"/>
          <w:szCs w:val="22"/>
          <w:lang w:val="en-CA"/>
        </w:rPr>
      </w:pPr>
      <w:r w:rsidRPr="00D517D3">
        <w:rPr>
          <w:noProof/>
          <w:lang w:val="en-GB" w:eastAsia="en-GB"/>
        </w:rPr>
        <w:drawing>
          <wp:inline distT="0" distB="0" distL="0" distR="0" wp14:anchorId="1CCDA2B6" wp14:editId="17E7F2B1">
            <wp:extent cx="5486400" cy="2467257"/>
            <wp:effectExtent l="19050" t="1905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467257"/>
                    </a:xfrm>
                    <a:prstGeom prst="rect">
                      <a:avLst/>
                    </a:prstGeom>
                    <a:noFill/>
                    <a:ln>
                      <a:solidFill>
                        <a:schemeClr val="accent1"/>
                      </a:solidFill>
                    </a:ln>
                  </pic:spPr>
                </pic:pic>
              </a:graphicData>
            </a:graphic>
          </wp:inline>
        </w:drawing>
      </w:r>
    </w:p>
    <w:p w14:paraId="17FD94C3" w14:textId="77777777" w:rsidR="00DC09B4" w:rsidRPr="002242A3" w:rsidRDefault="00F005DC" w:rsidP="002242A3">
      <w:pPr>
        <w:autoSpaceDE w:val="0"/>
        <w:autoSpaceDN w:val="0"/>
        <w:adjustRightInd w:val="0"/>
        <w:jc w:val="both"/>
        <w:rPr>
          <w:rStyle w:val="Emphasis"/>
        </w:rPr>
      </w:pPr>
      <w:r w:rsidRPr="002242A3">
        <w:rPr>
          <w:rStyle w:val="Emphasis"/>
        </w:rPr>
        <w:t>Source: ICC Rethinking Trade and Trade Finance</w:t>
      </w:r>
      <w:r w:rsidR="00D517D3" w:rsidRPr="002242A3">
        <w:rPr>
          <w:rStyle w:val="Emphasis"/>
        </w:rPr>
        <w:t>, 2015</w:t>
      </w:r>
    </w:p>
    <w:p w14:paraId="7640AFCA" w14:textId="77777777" w:rsidR="00B073BE" w:rsidRDefault="00B073BE" w:rsidP="00F82F31">
      <w:pPr>
        <w:pStyle w:val="Heading2"/>
        <w:rPr>
          <w:sz w:val="22"/>
          <w:szCs w:val="22"/>
        </w:rPr>
      </w:pPr>
    </w:p>
    <w:p w14:paraId="2AA4C601" w14:textId="77777777" w:rsidR="00F82F31" w:rsidRDefault="00F82F31" w:rsidP="00AF7EBD">
      <w:pPr>
        <w:pStyle w:val="Heading2"/>
        <w:numPr>
          <w:ilvl w:val="0"/>
          <w:numId w:val="7"/>
        </w:numPr>
        <w:rPr>
          <w:sz w:val="22"/>
          <w:szCs w:val="22"/>
        </w:rPr>
      </w:pPr>
      <w:bookmarkStart w:id="17" w:name="_Toc436042205"/>
      <w:bookmarkStart w:id="18" w:name="_Toc441728564"/>
      <w:r>
        <w:rPr>
          <w:sz w:val="22"/>
          <w:szCs w:val="22"/>
        </w:rPr>
        <w:t>Financing</w:t>
      </w:r>
      <w:bookmarkEnd w:id="17"/>
      <w:bookmarkEnd w:id="18"/>
    </w:p>
    <w:p w14:paraId="0E4CE451" w14:textId="77777777" w:rsidR="00F82F31" w:rsidRDefault="00B073BE" w:rsidP="00F82F31">
      <w:pPr>
        <w:jc w:val="both"/>
        <w:rPr>
          <w:rFonts w:ascii="Arial" w:hAnsi="Arial" w:cs="Arial"/>
          <w:sz w:val="22"/>
          <w:szCs w:val="22"/>
          <w:lang w:val="en-CA"/>
        </w:rPr>
      </w:pPr>
      <w:r>
        <w:rPr>
          <w:rFonts w:ascii="Arial" w:hAnsi="Arial" w:cs="Arial"/>
          <w:sz w:val="22"/>
          <w:szCs w:val="22"/>
          <w:lang w:val="en-CA"/>
        </w:rPr>
        <w:t xml:space="preserve">Financing, like risk mitigation, is central to the value proposition of </w:t>
      </w:r>
      <w:r w:rsidR="00702559">
        <w:rPr>
          <w:rFonts w:ascii="Arial" w:hAnsi="Arial" w:cs="Arial"/>
          <w:sz w:val="22"/>
          <w:szCs w:val="22"/>
          <w:lang w:val="en-CA"/>
        </w:rPr>
        <w:t xml:space="preserve">Trade Finance </w:t>
      </w:r>
      <w:r>
        <w:rPr>
          <w:rFonts w:ascii="Arial" w:hAnsi="Arial" w:cs="Arial"/>
          <w:sz w:val="22"/>
          <w:szCs w:val="22"/>
          <w:lang w:val="en-CA"/>
        </w:rPr>
        <w:t xml:space="preserve">and </w:t>
      </w:r>
      <w:r w:rsidR="00702559">
        <w:rPr>
          <w:rFonts w:ascii="Arial" w:hAnsi="Arial" w:cs="Arial"/>
          <w:sz w:val="22"/>
          <w:szCs w:val="22"/>
          <w:lang w:val="en-CA"/>
        </w:rPr>
        <w:t>S</w:t>
      </w:r>
      <w:r>
        <w:rPr>
          <w:rFonts w:ascii="Arial" w:hAnsi="Arial" w:cs="Arial"/>
          <w:sz w:val="22"/>
          <w:szCs w:val="22"/>
          <w:lang w:val="en-CA"/>
        </w:rPr>
        <w:t xml:space="preserve">upply </w:t>
      </w:r>
      <w:r w:rsidR="00702559">
        <w:rPr>
          <w:rFonts w:ascii="Arial" w:hAnsi="Arial" w:cs="Arial"/>
          <w:sz w:val="22"/>
          <w:szCs w:val="22"/>
          <w:lang w:val="en-CA"/>
        </w:rPr>
        <w:t>C</w:t>
      </w:r>
      <w:r>
        <w:rPr>
          <w:rFonts w:ascii="Arial" w:hAnsi="Arial" w:cs="Arial"/>
          <w:sz w:val="22"/>
          <w:szCs w:val="22"/>
          <w:lang w:val="en-CA"/>
        </w:rPr>
        <w:t xml:space="preserve">hain </w:t>
      </w:r>
      <w:r w:rsidR="00702559">
        <w:rPr>
          <w:rFonts w:ascii="Arial" w:hAnsi="Arial" w:cs="Arial"/>
          <w:sz w:val="22"/>
          <w:szCs w:val="22"/>
          <w:lang w:val="en-CA"/>
        </w:rPr>
        <w:t>F</w:t>
      </w:r>
      <w:r>
        <w:rPr>
          <w:rFonts w:ascii="Arial" w:hAnsi="Arial" w:cs="Arial"/>
          <w:sz w:val="22"/>
          <w:szCs w:val="22"/>
          <w:lang w:val="en-CA"/>
        </w:rPr>
        <w:t>inance, and can benefit both</w:t>
      </w:r>
      <w:r w:rsidR="00857C0D">
        <w:rPr>
          <w:rFonts w:ascii="Arial" w:hAnsi="Arial" w:cs="Arial"/>
          <w:sz w:val="22"/>
          <w:szCs w:val="22"/>
          <w:lang w:val="en-CA"/>
        </w:rPr>
        <w:t xml:space="preserve"> </w:t>
      </w:r>
      <w:r>
        <w:rPr>
          <w:rFonts w:ascii="Arial" w:hAnsi="Arial" w:cs="Arial"/>
          <w:sz w:val="22"/>
          <w:szCs w:val="22"/>
          <w:lang w:val="en-CA"/>
        </w:rPr>
        <w:t xml:space="preserve">trading parties, potentially one or more banks, and any number of </w:t>
      </w:r>
      <w:r w:rsidR="00702559">
        <w:rPr>
          <w:rFonts w:ascii="Arial" w:hAnsi="Arial" w:cs="Arial"/>
          <w:sz w:val="22"/>
          <w:szCs w:val="22"/>
          <w:lang w:val="en-CA"/>
        </w:rPr>
        <w:t>actors that participate in</w:t>
      </w:r>
      <w:r>
        <w:rPr>
          <w:rFonts w:ascii="Arial" w:hAnsi="Arial" w:cs="Arial"/>
          <w:sz w:val="22"/>
          <w:szCs w:val="22"/>
          <w:lang w:val="en-CA"/>
        </w:rPr>
        <w:t xml:space="preserve"> the supply chain that links a buyer and a supplier.</w:t>
      </w:r>
    </w:p>
    <w:p w14:paraId="36DFA3A2" w14:textId="77777777" w:rsidR="00B073BE" w:rsidRDefault="00B073BE" w:rsidP="00F82F31">
      <w:pPr>
        <w:jc w:val="both"/>
        <w:rPr>
          <w:rFonts w:ascii="Arial" w:hAnsi="Arial" w:cs="Arial"/>
          <w:sz w:val="22"/>
          <w:szCs w:val="22"/>
          <w:lang w:val="en-CA"/>
        </w:rPr>
      </w:pPr>
    </w:p>
    <w:p w14:paraId="3C955E23" w14:textId="77777777" w:rsidR="00B073BE" w:rsidRDefault="00B073BE" w:rsidP="00F82F31">
      <w:pPr>
        <w:jc w:val="both"/>
        <w:rPr>
          <w:rFonts w:ascii="Arial" w:hAnsi="Arial" w:cs="Arial"/>
          <w:sz w:val="22"/>
          <w:szCs w:val="22"/>
          <w:lang w:val="en-CA"/>
        </w:rPr>
      </w:pPr>
      <w:r>
        <w:rPr>
          <w:rFonts w:ascii="Arial" w:hAnsi="Arial" w:cs="Arial"/>
          <w:sz w:val="22"/>
          <w:szCs w:val="22"/>
          <w:lang w:val="en-CA"/>
        </w:rPr>
        <w:t xml:space="preserve">Financing, simply put, is the lending of funds for the purposes of enabling the conduct of </w:t>
      </w:r>
      <w:r w:rsidR="00857C0D">
        <w:rPr>
          <w:rFonts w:ascii="Arial" w:hAnsi="Arial" w:cs="Arial"/>
          <w:sz w:val="22"/>
          <w:szCs w:val="22"/>
          <w:lang w:val="en-CA"/>
        </w:rPr>
        <w:t xml:space="preserve">business, in this case, </w:t>
      </w:r>
      <w:r>
        <w:rPr>
          <w:rFonts w:ascii="Arial" w:hAnsi="Arial" w:cs="Arial"/>
          <w:sz w:val="22"/>
          <w:szCs w:val="22"/>
          <w:lang w:val="en-CA"/>
        </w:rPr>
        <w:t xml:space="preserve">international trade. A </w:t>
      </w:r>
      <w:r w:rsidR="00313782">
        <w:rPr>
          <w:rFonts w:ascii="Arial" w:hAnsi="Arial" w:cs="Arial"/>
          <w:sz w:val="22"/>
          <w:szCs w:val="22"/>
          <w:lang w:val="en-CA"/>
        </w:rPr>
        <w:t>s</w:t>
      </w:r>
      <w:r w:rsidR="00857C0D">
        <w:rPr>
          <w:rFonts w:ascii="Arial" w:hAnsi="Arial" w:cs="Arial"/>
          <w:sz w:val="22"/>
          <w:szCs w:val="22"/>
          <w:lang w:val="en-CA"/>
        </w:rPr>
        <w:t>upplier</w:t>
      </w:r>
      <w:r>
        <w:rPr>
          <w:rFonts w:ascii="Arial" w:hAnsi="Arial" w:cs="Arial"/>
          <w:sz w:val="22"/>
          <w:szCs w:val="22"/>
          <w:lang w:val="en-CA"/>
        </w:rPr>
        <w:t xml:space="preserve"> may be in need of pre-shipment financing in order to source components of production, or to fund the transport of the final product to its destination, whereas a </w:t>
      </w:r>
      <w:r w:rsidR="00313782">
        <w:rPr>
          <w:rFonts w:ascii="Arial" w:hAnsi="Arial" w:cs="Arial"/>
          <w:sz w:val="22"/>
          <w:szCs w:val="22"/>
          <w:lang w:val="en-CA"/>
        </w:rPr>
        <w:t>buyer</w:t>
      </w:r>
      <w:r>
        <w:rPr>
          <w:rFonts w:ascii="Arial" w:hAnsi="Arial" w:cs="Arial"/>
          <w:sz w:val="22"/>
          <w:szCs w:val="22"/>
          <w:lang w:val="en-CA"/>
        </w:rPr>
        <w:t xml:space="preserve"> may seek financing that enables the purchase of the goods, with such a loan repaid from the proceeds of sale of the goods after they have been received.</w:t>
      </w:r>
    </w:p>
    <w:p w14:paraId="494927DA" w14:textId="77777777" w:rsidR="00961AE5" w:rsidRDefault="00961AE5" w:rsidP="00F82F31">
      <w:pPr>
        <w:jc w:val="both"/>
        <w:rPr>
          <w:rFonts w:ascii="Arial" w:hAnsi="Arial" w:cs="Arial"/>
          <w:sz w:val="22"/>
          <w:szCs w:val="22"/>
          <w:lang w:val="en-CA"/>
        </w:rPr>
      </w:pPr>
    </w:p>
    <w:p w14:paraId="168AA672" w14:textId="77777777" w:rsidR="00961AE5" w:rsidRDefault="00961AE5" w:rsidP="00961AE5">
      <w:pPr>
        <w:pStyle w:val="Caption"/>
        <w:rPr>
          <w:rFonts w:ascii="Arial" w:hAnsi="Arial" w:cs="Arial"/>
          <w:sz w:val="22"/>
          <w:szCs w:val="22"/>
          <w:lang w:val="en-CA"/>
        </w:rPr>
      </w:pPr>
      <w:bookmarkStart w:id="19" w:name="_Toc436042271"/>
      <w:r>
        <w:t xml:space="preserve">Figure </w:t>
      </w:r>
      <w:r>
        <w:fldChar w:fldCharType="begin"/>
      </w:r>
      <w:r>
        <w:instrText xml:space="preserve"> SEQ Figure \* ARABIC </w:instrText>
      </w:r>
      <w:r>
        <w:fldChar w:fldCharType="separate"/>
      </w:r>
      <w:r w:rsidR="00A73BD5">
        <w:rPr>
          <w:noProof/>
        </w:rPr>
        <w:t>7</w:t>
      </w:r>
      <w:r>
        <w:fldChar w:fldCharType="end"/>
      </w:r>
      <w:r>
        <w:t>:</w:t>
      </w:r>
      <w:r w:rsidRPr="00961AE5">
        <w:t xml:space="preserve"> Pre-shipment Finance: Sample Structure</w:t>
      </w:r>
      <w:bookmarkEnd w:id="19"/>
    </w:p>
    <w:p w14:paraId="60202B7E" w14:textId="77777777" w:rsidR="00185C5D" w:rsidRDefault="00185C5D" w:rsidP="00E46D6D">
      <w:pPr>
        <w:jc w:val="center"/>
        <w:rPr>
          <w:rFonts w:ascii="Arial" w:hAnsi="Arial" w:cs="Arial"/>
          <w:sz w:val="22"/>
          <w:szCs w:val="22"/>
          <w:lang w:val="en-CA"/>
        </w:rPr>
      </w:pPr>
      <w:r w:rsidRPr="00185C5D">
        <w:rPr>
          <w:noProof/>
          <w:lang w:val="en-GB" w:eastAsia="en-GB"/>
        </w:rPr>
        <w:drawing>
          <wp:inline distT="0" distB="0" distL="0" distR="0" wp14:anchorId="38562A39" wp14:editId="5C9E8FD7">
            <wp:extent cx="4743450" cy="2852523"/>
            <wp:effectExtent l="19050" t="19050" r="1905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8709" cy="2855686"/>
                    </a:xfrm>
                    <a:prstGeom prst="rect">
                      <a:avLst/>
                    </a:prstGeom>
                    <a:noFill/>
                    <a:ln>
                      <a:solidFill>
                        <a:schemeClr val="accent1"/>
                      </a:solidFill>
                    </a:ln>
                  </pic:spPr>
                </pic:pic>
              </a:graphicData>
            </a:graphic>
          </wp:inline>
        </w:drawing>
      </w:r>
    </w:p>
    <w:p w14:paraId="4D3176EF" w14:textId="77777777" w:rsidR="00185C5D" w:rsidRPr="00961AE5" w:rsidRDefault="00F005DC" w:rsidP="00961AE5">
      <w:pPr>
        <w:autoSpaceDE w:val="0"/>
        <w:autoSpaceDN w:val="0"/>
        <w:adjustRightInd w:val="0"/>
        <w:jc w:val="both"/>
        <w:rPr>
          <w:rStyle w:val="Emphasis"/>
        </w:rPr>
      </w:pPr>
      <w:r w:rsidRPr="00961AE5">
        <w:rPr>
          <w:rStyle w:val="Emphasis"/>
        </w:rPr>
        <w:t>Source: ITC, How to Access Trade Finance: A Guide for Exporting SMEs, 2009</w:t>
      </w:r>
    </w:p>
    <w:p w14:paraId="7DAC99D2" w14:textId="77777777" w:rsidR="00B073BE" w:rsidRDefault="00B073BE" w:rsidP="00F82F31">
      <w:pPr>
        <w:jc w:val="both"/>
        <w:rPr>
          <w:rFonts w:ascii="Arial" w:hAnsi="Arial" w:cs="Arial"/>
          <w:sz w:val="22"/>
          <w:szCs w:val="22"/>
          <w:lang w:val="en-CA"/>
        </w:rPr>
      </w:pPr>
    </w:p>
    <w:p w14:paraId="6195F5D0" w14:textId="77777777" w:rsidR="00B073BE" w:rsidRDefault="00B073BE" w:rsidP="00F82F31">
      <w:pPr>
        <w:jc w:val="both"/>
        <w:rPr>
          <w:rFonts w:ascii="Arial" w:hAnsi="Arial" w:cs="Arial"/>
          <w:sz w:val="22"/>
          <w:szCs w:val="22"/>
          <w:lang w:val="en-CA"/>
        </w:rPr>
      </w:pPr>
      <w:r>
        <w:rPr>
          <w:rFonts w:ascii="Arial" w:hAnsi="Arial" w:cs="Arial"/>
          <w:sz w:val="22"/>
          <w:szCs w:val="22"/>
          <w:lang w:val="en-CA"/>
        </w:rPr>
        <w:t>There are many points in the lifecycle of a trade transaction, at which a financing option or solution can be offered to one or more parties; some options are linked to specific steps or phases of a trade transaction, such as the issuance of a commercial invoice, or the transfer of ownership between s</w:t>
      </w:r>
      <w:r w:rsidR="00857C0D">
        <w:rPr>
          <w:rFonts w:ascii="Arial" w:hAnsi="Arial" w:cs="Arial"/>
          <w:sz w:val="22"/>
          <w:szCs w:val="22"/>
          <w:lang w:val="en-CA"/>
        </w:rPr>
        <w:t>upplier</w:t>
      </w:r>
      <w:r>
        <w:rPr>
          <w:rFonts w:ascii="Arial" w:hAnsi="Arial" w:cs="Arial"/>
          <w:sz w:val="22"/>
          <w:szCs w:val="22"/>
          <w:lang w:val="en-CA"/>
        </w:rPr>
        <w:t xml:space="preserve"> and buyer. Such event-triggered or event-based financing might be offered, according to industry estimates, at 40 or more points in a typical trade transaction.</w:t>
      </w:r>
    </w:p>
    <w:p w14:paraId="51041563" w14:textId="77777777" w:rsidR="00857C0D" w:rsidRDefault="00857C0D" w:rsidP="00F82F31">
      <w:pPr>
        <w:jc w:val="both"/>
        <w:rPr>
          <w:rFonts w:ascii="Arial" w:hAnsi="Arial" w:cs="Arial"/>
          <w:sz w:val="22"/>
          <w:szCs w:val="22"/>
          <w:lang w:val="en-CA"/>
        </w:rPr>
      </w:pPr>
    </w:p>
    <w:p w14:paraId="24B5553A" w14:textId="77777777" w:rsidR="00857C0D" w:rsidRDefault="00857C0D" w:rsidP="00F82F31">
      <w:pPr>
        <w:jc w:val="both"/>
        <w:rPr>
          <w:rFonts w:ascii="Arial" w:hAnsi="Arial" w:cs="Arial"/>
          <w:sz w:val="22"/>
          <w:szCs w:val="22"/>
          <w:lang w:val="en-CA"/>
        </w:rPr>
      </w:pPr>
      <w:r>
        <w:rPr>
          <w:rFonts w:ascii="Arial" w:hAnsi="Arial" w:cs="Arial"/>
          <w:sz w:val="22"/>
          <w:szCs w:val="22"/>
          <w:lang w:val="en-CA"/>
        </w:rPr>
        <w:t>The same notion of linking financing options or solutions to specific events in the lifecycle of a transaction or relationship, applies in the context of cross-border or global supply chains.</w:t>
      </w:r>
    </w:p>
    <w:p w14:paraId="5B9358E0" w14:textId="77777777" w:rsidR="00E46D6D" w:rsidRDefault="00E46D6D" w:rsidP="00F82F31">
      <w:pPr>
        <w:jc w:val="both"/>
        <w:rPr>
          <w:rFonts w:ascii="Arial" w:hAnsi="Arial" w:cs="Arial"/>
          <w:sz w:val="22"/>
          <w:szCs w:val="22"/>
          <w:lang w:val="en-CA"/>
        </w:rPr>
      </w:pPr>
    </w:p>
    <w:p w14:paraId="3EC57C2A" w14:textId="77777777" w:rsidR="00E60429" w:rsidRDefault="00E60429">
      <w:pPr>
        <w:rPr>
          <w:i/>
          <w:iCs/>
          <w:color w:val="1F497D" w:themeColor="text2"/>
          <w:sz w:val="18"/>
          <w:szCs w:val="18"/>
        </w:rPr>
      </w:pPr>
      <w:r>
        <w:br w:type="page"/>
      </w:r>
    </w:p>
    <w:p w14:paraId="39393B96" w14:textId="77777777" w:rsidR="00961AE5" w:rsidRDefault="00961AE5" w:rsidP="00961AE5">
      <w:pPr>
        <w:pStyle w:val="Caption"/>
        <w:rPr>
          <w:rFonts w:ascii="Arial" w:hAnsi="Arial" w:cs="Arial"/>
          <w:sz w:val="22"/>
          <w:szCs w:val="22"/>
          <w:lang w:val="en-CA"/>
        </w:rPr>
      </w:pPr>
      <w:bookmarkStart w:id="20" w:name="_Toc436042272"/>
      <w:r>
        <w:lastRenderedPageBreak/>
        <w:t xml:space="preserve">Figure </w:t>
      </w:r>
      <w:r>
        <w:fldChar w:fldCharType="begin"/>
      </w:r>
      <w:r>
        <w:instrText xml:space="preserve"> SEQ Figure \* ARABIC </w:instrText>
      </w:r>
      <w:r>
        <w:fldChar w:fldCharType="separate"/>
      </w:r>
      <w:r w:rsidR="00A73BD5">
        <w:rPr>
          <w:noProof/>
        </w:rPr>
        <w:t>8</w:t>
      </w:r>
      <w:r>
        <w:fldChar w:fldCharType="end"/>
      </w:r>
      <w:r>
        <w:t>:</w:t>
      </w:r>
      <w:r w:rsidR="00F026E7">
        <w:t xml:space="preserve"> </w:t>
      </w:r>
      <w:r>
        <w:t xml:space="preserve">Linking the </w:t>
      </w:r>
      <w:r w:rsidR="00F026E7">
        <w:t>Physical and the F</w:t>
      </w:r>
      <w:r>
        <w:t>inancial Supply Chains</w:t>
      </w:r>
      <w:bookmarkEnd w:id="20"/>
    </w:p>
    <w:p w14:paraId="63AFCBA5" w14:textId="77777777" w:rsidR="00E46D6D" w:rsidRDefault="00E46D6D" w:rsidP="009B1B63">
      <w:pPr>
        <w:jc w:val="center"/>
        <w:rPr>
          <w:rFonts w:ascii="Arial" w:hAnsi="Arial" w:cs="Arial"/>
          <w:sz w:val="22"/>
          <w:szCs w:val="22"/>
          <w:lang w:val="en-CA"/>
        </w:rPr>
      </w:pPr>
      <w:r w:rsidRPr="00E46D6D">
        <w:rPr>
          <w:noProof/>
          <w:lang w:val="en-GB" w:eastAsia="en-GB"/>
        </w:rPr>
        <w:drawing>
          <wp:inline distT="0" distB="0" distL="0" distR="0" wp14:anchorId="4A0121B7" wp14:editId="287757ED">
            <wp:extent cx="5067300" cy="3968565"/>
            <wp:effectExtent l="19050" t="19050" r="1905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8500" cy="3969505"/>
                    </a:xfrm>
                    <a:prstGeom prst="rect">
                      <a:avLst/>
                    </a:prstGeom>
                    <a:noFill/>
                    <a:ln>
                      <a:solidFill>
                        <a:schemeClr val="accent1"/>
                      </a:solidFill>
                    </a:ln>
                  </pic:spPr>
                </pic:pic>
              </a:graphicData>
            </a:graphic>
          </wp:inline>
        </w:drawing>
      </w:r>
    </w:p>
    <w:p w14:paraId="6A247731" w14:textId="77777777" w:rsidR="00E46D6D" w:rsidRPr="00961AE5" w:rsidRDefault="00F005DC" w:rsidP="00961AE5">
      <w:pPr>
        <w:autoSpaceDE w:val="0"/>
        <w:autoSpaceDN w:val="0"/>
        <w:adjustRightInd w:val="0"/>
        <w:jc w:val="both"/>
        <w:rPr>
          <w:rStyle w:val="Emphasis"/>
        </w:rPr>
      </w:pPr>
      <w:r w:rsidRPr="00961AE5">
        <w:rPr>
          <w:rStyle w:val="Emphasis"/>
        </w:rPr>
        <w:t>Source: Supply Chain Finance, EBA European Market Guide, v.2</w:t>
      </w:r>
      <w:r w:rsidR="00857C0D" w:rsidRPr="00961AE5">
        <w:rPr>
          <w:rStyle w:val="Emphasis"/>
        </w:rPr>
        <w:t xml:space="preserve">, </w:t>
      </w:r>
      <w:proofErr w:type="spellStart"/>
      <w:r w:rsidR="00857C0D" w:rsidRPr="00961AE5">
        <w:rPr>
          <w:rStyle w:val="Emphasis"/>
        </w:rPr>
        <w:t>Camerinelli</w:t>
      </w:r>
      <w:proofErr w:type="spellEnd"/>
    </w:p>
    <w:p w14:paraId="13FD957B" w14:textId="77777777" w:rsidR="00CC0AD5" w:rsidRDefault="00CC0AD5" w:rsidP="00F82F31">
      <w:pPr>
        <w:jc w:val="both"/>
        <w:rPr>
          <w:rFonts w:ascii="Arial" w:hAnsi="Arial" w:cs="Arial"/>
          <w:sz w:val="22"/>
          <w:szCs w:val="22"/>
          <w:lang w:val="en-CA"/>
        </w:rPr>
      </w:pPr>
    </w:p>
    <w:p w14:paraId="025C3AC5" w14:textId="77777777" w:rsidR="00CC0AD5" w:rsidRDefault="00CC0AD5" w:rsidP="00F82F31">
      <w:pPr>
        <w:jc w:val="both"/>
        <w:rPr>
          <w:rFonts w:ascii="Arial" w:hAnsi="Arial" w:cs="Arial"/>
          <w:sz w:val="22"/>
          <w:szCs w:val="22"/>
          <w:lang w:val="en-CA"/>
        </w:rPr>
      </w:pPr>
      <w:r>
        <w:rPr>
          <w:rFonts w:ascii="Arial" w:hAnsi="Arial" w:cs="Arial"/>
          <w:sz w:val="22"/>
          <w:szCs w:val="22"/>
          <w:lang w:val="en-CA"/>
        </w:rPr>
        <w:t xml:space="preserve">Finance practitioners present solutions in numerous ways, including </w:t>
      </w:r>
      <w:r w:rsidR="00857C0D">
        <w:rPr>
          <w:rFonts w:ascii="Arial" w:hAnsi="Arial" w:cs="Arial"/>
          <w:sz w:val="22"/>
          <w:szCs w:val="22"/>
          <w:lang w:val="en-CA"/>
        </w:rPr>
        <w:t>in connection with</w:t>
      </w:r>
      <w:r>
        <w:rPr>
          <w:rFonts w:ascii="Arial" w:hAnsi="Arial" w:cs="Arial"/>
          <w:sz w:val="22"/>
          <w:szCs w:val="22"/>
          <w:lang w:val="en-CA"/>
        </w:rPr>
        <w:t xml:space="preserve"> transaction-related events that can serve as a basis for financing (for example, the creation of a purchase order, the issuance and acceptance of an invoice, the acceptance of a bill of exchange under a letter of credit). Practitioners also link </w:t>
      </w:r>
      <w:r w:rsidR="006C373B">
        <w:rPr>
          <w:rFonts w:ascii="Arial" w:hAnsi="Arial" w:cs="Arial"/>
          <w:sz w:val="22"/>
          <w:szCs w:val="22"/>
          <w:lang w:val="en-CA"/>
        </w:rPr>
        <w:t>Trade F</w:t>
      </w:r>
      <w:r>
        <w:rPr>
          <w:rFonts w:ascii="Arial" w:hAnsi="Arial" w:cs="Arial"/>
          <w:sz w:val="22"/>
          <w:szCs w:val="22"/>
          <w:lang w:val="en-CA"/>
        </w:rPr>
        <w:t xml:space="preserve">inance discussions to working capital management and optimization, and the management of </w:t>
      </w:r>
      <w:proofErr w:type="gramStart"/>
      <w:r>
        <w:rPr>
          <w:rFonts w:ascii="Arial" w:hAnsi="Arial" w:cs="Arial"/>
          <w:sz w:val="22"/>
          <w:szCs w:val="22"/>
          <w:lang w:val="en-CA"/>
        </w:rPr>
        <w:t>days</w:t>
      </w:r>
      <w:proofErr w:type="gramEnd"/>
      <w:r>
        <w:rPr>
          <w:rFonts w:ascii="Arial" w:hAnsi="Arial" w:cs="Arial"/>
          <w:sz w:val="22"/>
          <w:szCs w:val="22"/>
          <w:lang w:val="en-CA"/>
        </w:rPr>
        <w:t xml:space="preserve"> sales outstanding or days payables outstanding, as discussed below.</w:t>
      </w:r>
    </w:p>
    <w:p w14:paraId="27475C0D" w14:textId="77777777" w:rsidR="00EC23DE" w:rsidRDefault="00EC23DE" w:rsidP="00F82F31">
      <w:pPr>
        <w:jc w:val="both"/>
        <w:rPr>
          <w:rFonts w:ascii="Arial" w:hAnsi="Arial" w:cs="Arial"/>
          <w:sz w:val="22"/>
          <w:szCs w:val="22"/>
          <w:lang w:val="en-CA"/>
        </w:rPr>
      </w:pPr>
    </w:p>
    <w:p w14:paraId="77A3394F" w14:textId="77777777" w:rsidR="00CC0AD5" w:rsidRDefault="00CC0AD5" w:rsidP="00F82F31">
      <w:pPr>
        <w:jc w:val="both"/>
        <w:rPr>
          <w:rFonts w:ascii="Arial" w:hAnsi="Arial" w:cs="Arial"/>
          <w:sz w:val="22"/>
          <w:szCs w:val="22"/>
          <w:lang w:val="en-CA"/>
        </w:rPr>
      </w:pPr>
      <w:r>
        <w:rPr>
          <w:rFonts w:ascii="Arial" w:hAnsi="Arial" w:cs="Arial"/>
          <w:sz w:val="22"/>
          <w:szCs w:val="22"/>
          <w:lang w:val="en-CA"/>
        </w:rPr>
        <w:t xml:space="preserve">Trade </w:t>
      </w:r>
      <w:r w:rsidR="006C373B">
        <w:rPr>
          <w:rFonts w:ascii="Arial" w:hAnsi="Arial" w:cs="Arial"/>
          <w:sz w:val="22"/>
          <w:szCs w:val="22"/>
          <w:lang w:val="en-CA"/>
        </w:rPr>
        <w:t>F</w:t>
      </w:r>
      <w:r>
        <w:rPr>
          <w:rFonts w:ascii="Arial" w:hAnsi="Arial" w:cs="Arial"/>
          <w:sz w:val="22"/>
          <w:szCs w:val="22"/>
          <w:lang w:val="en-CA"/>
        </w:rPr>
        <w:t xml:space="preserve">acilitation experts </w:t>
      </w:r>
      <w:r w:rsidR="000E3A35">
        <w:rPr>
          <w:rFonts w:ascii="Arial" w:hAnsi="Arial" w:cs="Arial"/>
          <w:sz w:val="22"/>
          <w:szCs w:val="22"/>
          <w:lang w:val="en-CA"/>
        </w:rPr>
        <w:t xml:space="preserve">have generally </w:t>
      </w:r>
      <w:r>
        <w:rPr>
          <w:rFonts w:ascii="Arial" w:hAnsi="Arial" w:cs="Arial"/>
          <w:sz w:val="22"/>
          <w:szCs w:val="22"/>
          <w:lang w:val="en-CA"/>
        </w:rPr>
        <w:t>tend</w:t>
      </w:r>
      <w:r w:rsidR="000E3A35">
        <w:rPr>
          <w:rFonts w:ascii="Arial" w:hAnsi="Arial" w:cs="Arial"/>
          <w:sz w:val="22"/>
          <w:szCs w:val="22"/>
          <w:lang w:val="en-CA"/>
        </w:rPr>
        <w:t>ed</w:t>
      </w:r>
      <w:r>
        <w:rPr>
          <w:rFonts w:ascii="Arial" w:hAnsi="Arial" w:cs="Arial"/>
          <w:sz w:val="22"/>
          <w:szCs w:val="22"/>
          <w:lang w:val="en-CA"/>
        </w:rPr>
        <w:t xml:space="preserve"> to consider financing to be outside of the scope of their core activities, but frequently present the practice of facilitation </w:t>
      </w:r>
      <w:r w:rsidR="006C373B">
        <w:rPr>
          <w:rFonts w:ascii="Arial" w:hAnsi="Arial" w:cs="Arial"/>
          <w:sz w:val="22"/>
          <w:szCs w:val="22"/>
          <w:lang w:val="en-CA"/>
        </w:rPr>
        <w:t xml:space="preserve">in general </w:t>
      </w:r>
      <w:r>
        <w:rPr>
          <w:rFonts w:ascii="Arial" w:hAnsi="Arial" w:cs="Arial"/>
          <w:sz w:val="22"/>
          <w:szCs w:val="22"/>
          <w:lang w:val="en-CA"/>
        </w:rPr>
        <w:t>in terms of a model termed “Buy-Ship-Pay”</w:t>
      </w:r>
      <w:r w:rsidR="006C373B">
        <w:rPr>
          <w:rStyle w:val="FootnoteReference"/>
          <w:rFonts w:ascii="Arial" w:hAnsi="Arial" w:cs="Arial"/>
          <w:sz w:val="22"/>
          <w:szCs w:val="22"/>
          <w:lang w:val="en-CA"/>
        </w:rPr>
        <w:footnoteReference w:id="4"/>
      </w:r>
      <w:r>
        <w:rPr>
          <w:rFonts w:ascii="Arial" w:hAnsi="Arial" w:cs="Arial"/>
          <w:sz w:val="22"/>
          <w:szCs w:val="22"/>
          <w:lang w:val="en-CA"/>
        </w:rPr>
        <w:t>.</w:t>
      </w:r>
      <w:r w:rsidR="00072CA8">
        <w:rPr>
          <w:rFonts w:ascii="Arial" w:hAnsi="Arial" w:cs="Arial"/>
          <w:sz w:val="22"/>
          <w:szCs w:val="22"/>
          <w:lang w:val="en-CA"/>
        </w:rPr>
        <w:t xml:space="preserve"> One version of the “Buy-Ship-Pay” model is shown below, and it is in the detail</w:t>
      </w:r>
      <w:r w:rsidR="000E3A35">
        <w:rPr>
          <w:rFonts w:ascii="Arial" w:hAnsi="Arial" w:cs="Arial"/>
          <w:sz w:val="22"/>
          <w:szCs w:val="22"/>
          <w:lang w:val="en-CA"/>
        </w:rPr>
        <w:t>s</w:t>
      </w:r>
      <w:r w:rsidR="00072CA8">
        <w:rPr>
          <w:rFonts w:ascii="Arial" w:hAnsi="Arial" w:cs="Arial"/>
          <w:sz w:val="22"/>
          <w:szCs w:val="22"/>
          <w:lang w:val="en-CA"/>
        </w:rPr>
        <w:t xml:space="preserve"> of each of the three major elements, that one can find linkage to the events that can trigger a financing solution or proposal for a </w:t>
      </w:r>
      <w:r w:rsidR="00313782">
        <w:rPr>
          <w:rFonts w:ascii="Arial" w:hAnsi="Arial" w:cs="Arial"/>
          <w:sz w:val="22"/>
          <w:szCs w:val="22"/>
          <w:lang w:val="en-CA"/>
        </w:rPr>
        <w:t>buyer</w:t>
      </w:r>
      <w:r w:rsidR="00072CA8">
        <w:rPr>
          <w:rFonts w:ascii="Arial" w:hAnsi="Arial" w:cs="Arial"/>
          <w:sz w:val="22"/>
          <w:szCs w:val="22"/>
          <w:lang w:val="en-CA"/>
        </w:rPr>
        <w:t xml:space="preserve">, </w:t>
      </w:r>
      <w:r w:rsidR="00313782">
        <w:rPr>
          <w:rFonts w:ascii="Arial" w:hAnsi="Arial" w:cs="Arial"/>
          <w:sz w:val="22"/>
          <w:szCs w:val="22"/>
          <w:lang w:val="en-CA"/>
        </w:rPr>
        <w:t>s</w:t>
      </w:r>
      <w:r w:rsidR="000E3A35">
        <w:rPr>
          <w:rFonts w:ascii="Arial" w:hAnsi="Arial" w:cs="Arial"/>
          <w:sz w:val="22"/>
          <w:szCs w:val="22"/>
          <w:lang w:val="en-CA"/>
        </w:rPr>
        <w:t>upplier</w:t>
      </w:r>
      <w:r w:rsidR="00072CA8">
        <w:rPr>
          <w:rFonts w:ascii="Arial" w:hAnsi="Arial" w:cs="Arial"/>
          <w:sz w:val="22"/>
          <w:szCs w:val="22"/>
          <w:lang w:val="en-CA"/>
        </w:rPr>
        <w:t>, bank or other member of an international supply chain.</w:t>
      </w:r>
    </w:p>
    <w:p w14:paraId="4BDA93B2" w14:textId="77777777" w:rsidR="00072CA8" w:rsidRDefault="00072CA8" w:rsidP="00F82F31">
      <w:pPr>
        <w:jc w:val="both"/>
        <w:rPr>
          <w:rFonts w:ascii="Arial" w:hAnsi="Arial" w:cs="Arial"/>
          <w:sz w:val="22"/>
          <w:szCs w:val="22"/>
          <w:lang w:val="en-CA"/>
        </w:rPr>
      </w:pPr>
    </w:p>
    <w:p w14:paraId="1B60E138" w14:textId="77777777" w:rsidR="00072CA8" w:rsidRDefault="00072CA8" w:rsidP="00F82F31">
      <w:pPr>
        <w:jc w:val="both"/>
        <w:rPr>
          <w:rFonts w:ascii="Arial" w:hAnsi="Arial" w:cs="Arial"/>
          <w:sz w:val="22"/>
          <w:szCs w:val="22"/>
          <w:lang w:val="en-CA"/>
        </w:rPr>
      </w:pPr>
      <w:r>
        <w:rPr>
          <w:rFonts w:ascii="Arial" w:hAnsi="Arial" w:cs="Arial"/>
          <w:sz w:val="22"/>
          <w:szCs w:val="22"/>
          <w:lang w:val="en-CA"/>
        </w:rPr>
        <w:t xml:space="preserve">It is worth noting that the logical clarity and ‘neatness’ of the </w:t>
      </w:r>
      <w:r w:rsidR="004F2ED3">
        <w:rPr>
          <w:rFonts w:ascii="Arial" w:hAnsi="Arial" w:cs="Arial"/>
          <w:sz w:val="22"/>
          <w:szCs w:val="22"/>
          <w:lang w:val="en-CA"/>
        </w:rPr>
        <w:t xml:space="preserve">“Buy-Ship-Pay” </w:t>
      </w:r>
      <w:r>
        <w:rPr>
          <w:rFonts w:ascii="Arial" w:hAnsi="Arial" w:cs="Arial"/>
          <w:sz w:val="22"/>
          <w:szCs w:val="22"/>
          <w:lang w:val="en-CA"/>
        </w:rPr>
        <w:t xml:space="preserve">model does not reflect the wide range of potential events which can trigger a financing proposition, as such events can arise at any stage of a trade transaction, from the very earliest negotiation, when a </w:t>
      </w:r>
      <w:r w:rsidR="00313782">
        <w:rPr>
          <w:rFonts w:ascii="Arial" w:hAnsi="Arial" w:cs="Arial"/>
          <w:sz w:val="22"/>
          <w:szCs w:val="22"/>
          <w:lang w:val="en-CA"/>
        </w:rPr>
        <w:t>s</w:t>
      </w:r>
      <w:r w:rsidR="000E3A35">
        <w:rPr>
          <w:rFonts w:ascii="Arial" w:hAnsi="Arial" w:cs="Arial"/>
          <w:sz w:val="22"/>
          <w:szCs w:val="22"/>
          <w:lang w:val="en-CA"/>
        </w:rPr>
        <w:t xml:space="preserve">upplier </w:t>
      </w:r>
      <w:r>
        <w:rPr>
          <w:rFonts w:ascii="Arial" w:hAnsi="Arial" w:cs="Arial"/>
          <w:sz w:val="22"/>
          <w:szCs w:val="22"/>
          <w:lang w:val="en-CA"/>
        </w:rPr>
        <w:t xml:space="preserve">can offer competitive terms to a buyer, </w:t>
      </w:r>
      <w:r w:rsidR="000E3A35">
        <w:rPr>
          <w:rFonts w:ascii="Arial" w:hAnsi="Arial" w:cs="Arial"/>
          <w:sz w:val="22"/>
          <w:szCs w:val="22"/>
          <w:lang w:val="en-CA"/>
        </w:rPr>
        <w:t>during</w:t>
      </w:r>
      <w:r w:rsidR="004F2ED3">
        <w:rPr>
          <w:rFonts w:ascii="Arial" w:hAnsi="Arial" w:cs="Arial"/>
          <w:sz w:val="22"/>
          <w:szCs w:val="22"/>
          <w:lang w:val="en-CA"/>
        </w:rPr>
        <w:t xml:space="preserve"> sub-assembly of goods under production </w:t>
      </w:r>
      <w:r>
        <w:rPr>
          <w:rFonts w:ascii="Arial" w:hAnsi="Arial" w:cs="Arial"/>
          <w:sz w:val="22"/>
          <w:szCs w:val="22"/>
          <w:lang w:val="en-CA"/>
        </w:rPr>
        <w:t xml:space="preserve">through to post-shipment, when a </w:t>
      </w:r>
      <w:r w:rsidR="00313782">
        <w:rPr>
          <w:rFonts w:ascii="Arial" w:hAnsi="Arial" w:cs="Arial"/>
          <w:sz w:val="22"/>
          <w:szCs w:val="22"/>
          <w:lang w:val="en-CA"/>
        </w:rPr>
        <w:t>buyer</w:t>
      </w:r>
      <w:r>
        <w:rPr>
          <w:rFonts w:ascii="Arial" w:hAnsi="Arial" w:cs="Arial"/>
          <w:sz w:val="22"/>
          <w:szCs w:val="22"/>
          <w:lang w:val="en-CA"/>
        </w:rPr>
        <w:t xml:space="preserve"> might need financing </w:t>
      </w:r>
      <w:r>
        <w:rPr>
          <w:rFonts w:ascii="Arial" w:hAnsi="Arial" w:cs="Arial"/>
          <w:sz w:val="22"/>
          <w:szCs w:val="22"/>
          <w:lang w:val="en-CA"/>
        </w:rPr>
        <w:lastRenderedPageBreak/>
        <w:t>until the goods are received and sold to an ultimate client, and revenue is collected accordingly.</w:t>
      </w:r>
    </w:p>
    <w:p w14:paraId="6EACD4BE" w14:textId="77777777" w:rsidR="00EC23DE" w:rsidRDefault="00EC23DE" w:rsidP="00F82F31">
      <w:pPr>
        <w:jc w:val="both"/>
        <w:rPr>
          <w:rFonts w:ascii="Arial" w:hAnsi="Arial" w:cs="Arial"/>
          <w:sz w:val="22"/>
          <w:szCs w:val="22"/>
          <w:lang w:val="en-CA"/>
        </w:rPr>
      </w:pPr>
    </w:p>
    <w:p w14:paraId="776A6E16" w14:textId="77777777" w:rsidR="00F026E7" w:rsidRDefault="00F026E7" w:rsidP="00F026E7">
      <w:pPr>
        <w:pStyle w:val="Caption"/>
        <w:rPr>
          <w:rFonts w:ascii="Arial" w:hAnsi="Arial" w:cs="Arial"/>
          <w:sz w:val="22"/>
          <w:szCs w:val="22"/>
          <w:lang w:val="en-CA"/>
        </w:rPr>
      </w:pPr>
      <w:bookmarkStart w:id="21" w:name="_Toc436042273"/>
      <w:r>
        <w:t xml:space="preserve">Figure </w:t>
      </w:r>
      <w:r>
        <w:fldChar w:fldCharType="begin"/>
      </w:r>
      <w:r>
        <w:instrText xml:space="preserve"> SEQ Figure \* ARABIC </w:instrText>
      </w:r>
      <w:r>
        <w:fldChar w:fldCharType="separate"/>
      </w:r>
      <w:r w:rsidR="00A73BD5">
        <w:rPr>
          <w:noProof/>
        </w:rPr>
        <w:t>9</w:t>
      </w:r>
      <w:r>
        <w:fldChar w:fldCharType="end"/>
      </w:r>
      <w:r>
        <w:t>:</w:t>
      </w:r>
      <w:r w:rsidR="00300961">
        <w:t xml:space="preserve"> The Buy-Ship-Pay Reference Model</w:t>
      </w:r>
      <w:bookmarkEnd w:id="21"/>
    </w:p>
    <w:p w14:paraId="490E45F1" w14:textId="77777777" w:rsidR="00CC0AD5" w:rsidRDefault="00CC0AD5" w:rsidP="00CC0AD5">
      <w:pPr>
        <w:jc w:val="center"/>
        <w:rPr>
          <w:rFonts w:ascii="Arial" w:hAnsi="Arial" w:cs="Arial"/>
          <w:sz w:val="22"/>
          <w:szCs w:val="22"/>
          <w:lang w:val="en-CA"/>
        </w:rPr>
      </w:pPr>
      <w:r>
        <w:rPr>
          <w:rFonts w:ascii="Arial" w:hAnsi="Arial" w:cs="Arial"/>
          <w:noProof/>
          <w:sz w:val="22"/>
          <w:szCs w:val="22"/>
          <w:lang w:val="en-GB" w:eastAsia="en-GB"/>
        </w:rPr>
        <w:drawing>
          <wp:inline distT="0" distB="0" distL="0" distR="0" wp14:anchorId="0574EEE6" wp14:editId="71FDB230">
            <wp:extent cx="4185404" cy="5577840"/>
            <wp:effectExtent l="19050" t="1905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P Graphic.png"/>
                    <pic:cNvPicPr/>
                  </pic:nvPicPr>
                  <pic:blipFill>
                    <a:blip r:embed="rId17">
                      <a:extLst>
                        <a:ext uri="{28A0092B-C50C-407E-A947-70E740481C1C}">
                          <a14:useLocalDpi xmlns:a14="http://schemas.microsoft.com/office/drawing/2010/main" val="0"/>
                        </a:ext>
                      </a:extLst>
                    </a:blip>
                    <a:stretch>
                      <a:fillRect/>
                    </a:stretch>
                  </pic:blipFill>
                  <pic:spPr>
                    <a:xfrm>
                      <a:off x="0" y="0"/>
                      <a:ext cx="4190073" cy="5584062"/>
                    </a:xfrm>
                    <a:prstGeom prst="rect">
                      <a:avLst/>
                    </a:prstGeom>
                    <a:ln>
                      <a:solidFill>
                        <a:schemeClr val="accent1"/>
                      </a:solidFill>
                    </a:ln>
                  </pic:spPr>
                </pic:pic>
              </a:graphicData>
            </a:graphic>
          </wp:inline>
        </w:drawing>
      </w:r>
    </w:p>
    <w:p w14:paraId="439E0372" w14:textId="77777777" w:rsidR="00CC0AD5" w:rsidRPr="00EC23DE" w:rsidRDefault="00F005DC" w:rsidP="000E3A35">
      <w:pPr>
        <w:rPr>
          <w:rFonts w:ascii="Arial" w:hAnsi="Arial" w:cs="Arial"/>
          <w:sz w:val="22"/>
          <w:szCs w:val="22"/>
          <w:lang w:val="en-CA"/>
        </w:rPr>
      </w:pPr>
      <w:r w:rsidRPr="00300961">
        <w:rPr>
          <w:rStyle w:val="Emphasis"/>
        </w:rPr>
        <w:t xml:space="preserve">Source: </w:t>
      </w:r>
      <w:r w:rsidR="000E3A35" w:rsidRPr="00300961">
        <w:rPr>
          <w:rStyle w:val="Emphasis"/>
        </w:rPr>
        <w:t>Trade Facilitation Implementation Guide</w:t>
      </w:r>
      <w:r w:rsidR="000E3A35" w:rsidRPr="00300961">
        <w:rPr>
          <w:rStyle w:val="Emphasis"/>
        </w:rPr>
        <w:br/>
      </w:r>
      <w:hyperlink r:id="rId18" w:history="1">
        <w:r w:rsidRPr="00EC23DE">
          <w:rPr>
            <w:rStyle w:val="Hyperlink"/>
            <w:rFonts w:ascii="Arial" w:hAnsi="Arial" w:cs="Arial"/>
            <w:sz w:val="22"/>
            <w:szCs w:val="22"/>
            <w:lang w:val="en-CA"/>
          </w:rPr>
          <w:t>http://tfig.itcilo.org/info.html?iframe=true&amp;width=840&amp;height=580</w:t>
        </w:r>
      </w:hyperlink>
      <w:r w:rsidRPr="00EC23DE">
        <w:rPr>
          <w:rFonts w:ascii="Arial" w:hAnsi="Arial" w:cs="Arial"/>
          <w:sz w:val="22"/>
          <w:szCs w:val="22"/>
          <w:lang w:val="en-CA"/>
        </w:rPr>
        <w:t xml:space="preserve"> </w:t>
      </w:r>
    </w:p>
    <w:p w14:paraId="1FF6FE8A" w14:textId="77777777" w:rsidR="00CC0AD5" w:rsidRDefault="00CC0AD5" w:rsidP="00F82F31">
      <w:pPr>
        <w:jc w:val="both"/>
        <w:rPr>
          <w:rFonts w:ascii="Arial" w:hAnsi="Arial" w:cs="Arial"/>
          <w:sz w:val="22"/>
          <w:szCs w:val="22"/>
          <w:lang w:val="en-CA"/>
        </w:rPr>
      </w:pPr>
    </w:p>
    <w:p w14:paraId="618FAA9B" w14:textId="77777777" w:rsidR="00B073BE" w:rsidRDefault="00B073BE" w:rsidP="00F82F31">
      <w:pPr>
        <w:jc w:val="both"/>
        <w:rPr>
          <w:rFonts w:ascii="Arial" w:hAnsi="Arial" w:cs="Arial"/>
          <w:sz w:val="22"/>
          <w:szCs w:val="22"/>
          <w:lang w:val="en-CA"/>
        </w:rPr>
      </w:pPr>
      <w:r>
        <w:rPr>
          <w:rFonts w:ascii="Arial" w:hAnsi="Arial" w:cs="Arial"/>
          <w:sz w:val="22"/>
          <w:szCs w:val="22"/>
          <w:lang w:val="en-CA"/>
        </w:rPr>
        <w:t>While financing was less critical for a number of years prior to the global crisis, as the global economy was awash in excess liquidity, the post-crisis realities are such that the ability to include a financing package with a</w:t>
      </w:r>
      <w:r w:rsidR="000E3A35">
        <w:rPr>
          <w:rFonts w:ascii="Arial" w:hAnsi="Arial" w:cs="Arial"/>
          <w:sz w:val="22"/>
          <w:szCs w:val="22"/>
          <w:lang w:val="en-CA"/>
        </w:rPr>
        <w:t>n export</w:t>
      </w:r>
      <w:r>
        <w:rPr>
          <w:rFonts w:ascii="Arial" w:hAnsi="Arial" w:cs="Arial"/>
          <w:sz w:val="22"/>
          <w:szCs w:val="22"/>
          <w:lang w:val="en-CA"/>
        </w:rPr>
        <w:t xml:space="preserve"> sale is a competitive advantage for </w:t>
      </w:r>
      <w:r w:rsidR="00313782">
        <w:rPr>
          <w:rFonts w:ascii="Arial" w:hAnsi="Arial" w:cs="Arial"/>
          <w:sz w:val="22"/>
          <w:szCs w:val="22"/>
          <w:lang w:val="en-CA"/>
        </w:rPr>
        <w:t>s</w:t>
      </w:r>
      <w:r w:rsidR="000E3A35">
        <w:rPr>
          <w:rFonts w:ascii="Arial" w:hAnsi="Arial" w:cs="Arial"/>
          <w:sz w:val="22"/>
          <w:szCs w:val="22"/>
          <w:lang w:val="en-CA"/>
        </w:rPr>
        <w:t>uppliers</w:t>
      </w:r>
      <w:r>
        <w:rPr>
          <w:rFonts w:ascii="Arial" w:hAnsi="Arial" w:cs="Arial"/>
          <w:sz w:val="22"/>
          <w:szCs w:val="22"/>
          <w:lang w:val="en-CA"/>
        </w:rPr>
        <w:t xml:space="preserve"> in this cash-constrained environment. Additionally, financing can be attractive if it can be secured, through </w:t>
      </w:r>
      <w:r w:rsidR="00194DE0">
        <w:rPr>
          <w:rFonts w:ascii="Arial" w:hAnsi="Arial" w:cs="Arial"/>
          <w:sz w:val="22"/>
          <w:szCs w:val="22"/>
          <w:lang w:val="en-CA"/>
        </w:rPr>
        <w:t>Trade F</w:t>
      </w:r>
      <w:r>
        <w:rPr>
          <w:rFonts w:ascii="Arial" w:hAnsi="Arial" w:cs="Arial"/>
          <w:sz w:val="22"/>
          <w:szCs w:val="22"/>
          <w:lang w:val="en-CA"/>
        </w:rPr>
        <w:t xml:space="preserve">inance mechanisms, in jurisdictions where the availability of credit is greater and thus the cost of financing is materially lower. </w:t>
      </w:r>
      <w:r w:rsidR="00194DE0">
        <w:rPr>
          <w:rFonts w:ascii="Arial" w:hAnsi="Arial" w:cs="Arial"/>
          <w:sz w:val="22"/>
          <w:szCs w:val="22"/>
          <w:lang w:val="en-CA"/>
        </w:rPr>
        <w:t>Small and Medium sized Enterprises (</w:t>
      </w:r>
      <w:r>
        <w:rPr>
          <w:rFonts w:ascii="Arial" w:hAnsi="Arial" w:cs="Arial"/>
          <w:sz w:val="22"/>
          <w:szCs w:val="22"/>
          <w:lang w:val="en-CA"/>
        </w:rPr>
        <w:t>SMEs</w:t>
      </w:r>
      <w:r w:rsidR="00194DE0">
        <w:rPr>
          <w:rFonts w:ascii="Arial" w:hAnsi="Arial" w:cs="Arial"/>
          <w:sz w:val="22"/>
          <w:szCs w:val="22"/>
          <w:lang w:val="en-CA"/>
        </w:rPr>
        <w:t>)</w:t>
      </w:r>
      <w:r>
        <w:rPr>
          <w:rFonts w:ascii="Arial" w:hAnsi="Arial" w:cs="Arial"/>
          <w:sz w:val="22"/>
          <w:szCs w:val="22"/>
          <w:lang w:val="en-CA"/>
        </w:rPr>
        <w:t xml:space="preserve"> based in developing economies, for example, are </w:t>
      </w:r>
      <w:r>
        <w:rPr>
          <w:rFonts w:ascii="Arial" w:hAnsi="Arial" w:cs="Arial"/>
          <w:sz w:val="22"/>
          <w:szCs w:val="22"/>
          <w:lang w:val="en-CA"/>
        </w:rPr>
        <w:lastRenderedPageBreak/>
        <w:t xml:space="preserve">challenged not only due to limited availability of financing, but also by the reality that </w:t>
      </w:r>
      <w:r w:rsidR="00B937B0">
        <w:rPr>
          <w:rFonts w:ascii="Arial" w:hAnsi="Arial" w:cs="Arial"/>
          <w:sz w:val="22"/>
          <w:szCs w:val="22"/>
          <w:lang w:val="en-CA"/>
        </w:rPr>
        <w:t xml:space="preserve">whatever financing is available, </w:t>
      </w:r>
      <w:r>
        <w:rPr>
          <w:rFonts w:ascii="Arial" w:hAnsi="Arial" w:cs="Arial"/>
          <w:sz w:val="22"/>
          <w:szCs w:val="22"/>
          <w:lang w:val="en-CA"/>
        </w:rPr>
        <w:t>is often prohibitively expensive.</w:t>
      </w:r>
    </w:p>
    <w:p w14:paraId="5F90D82B" w14:textId="77777777" w:rsidR="000E3A35" w:rsidRDefault="000E3A35" w:rsidP="00F82F31">
      <w:pPr>
        <w:jc w:val="both"/>
        <w:rPr>
          <w:rFonts w:ascii="Arial" w:hAnsi="Arial" w:cs="Arial"/>
          <w:sz w:val="22"/>
          <w:szCs w:val="22"/>
          <w:lang w:val="en-CA"/>
        </w:rPr>
      </w:pPr>
    </w:p>
    <w:p w14:paraId="52C1DDFC" w14:textId="77777777" w:rsidR="000E3A35" w:rsidRDefault="000E3A35" w:rsidP="00F82F31">
      <w:pPr>
        <w:jc w:val="both"/>
        <w:rPr>
          <w:rFonts w:ascii="Arial" w:hAnsi="Arial" w:cs="Arial"/>
          <w:sz w:val="22"/>
          <w:szCs w:val="22"/>
          <w:lang w:val="en-CA"/>
        </w:rPr>
      </w:pPr>
      <w:r>
        <w:rPr>
          <w:rFonts w:ascii="Arial" w:hAnsi="Arial" w:cs="Arial"/>
          <w:sz w:val="22"/>
          <w:szCs w:val="22"/>
          <w:lang w:val="en-CA"/>
        </w:rPr>
        <w:t>Certain techniques and structures of Supply Chain Finance are showing promise as a means of enabling access to financing for suppliers based in high-cost developing markets, on the basis of the credit standing and (cost effective) borrowing capabilities of large global buyers.</w:t>
      </w:r>
    </w:p>
    <w:p w14:paraId="726DE9C1" w14:textId="77777777" w:rsidR="00300961" w:rsidRDefault="00300961" w:rsidP="00F82F31">
      <w:pPr>
        <w:jc w:val="both"/>
        <w:rPr>
          <w:rFonts w:ascii="Arial" w:hAnsi="Arial" w:cs="Arial"/>
          <w:sz w:val="22"/>
          <w:szCs w:val="22"/>
          <w:lang w:val="en-CA"/>
        </w:rPr>
      </w:pPr>
    </w:p>
    <w:p w14:paraId="7DAD8FD0" w14:textId="77777777" w:rsidR="00300961" w:rsidRDefault="00300961" w:rsidP="00300961">
      <w:pPr>
        <w:pStyle w:val="Caption"/>
        <w:rPr>
          <w:rFonts w:ascii="Arial" w:hAnsi="Arial" w:cs="Arial"/>
          <w:sz w:val="22"/>
          <w:szCs w:val="22"/>
          <w:lang w:val="en-CA"/>
        </w:rPr>
      </w:pPr>
      <w:bookmarkStart w:id="22" w:name="_Toc436042274"/>
      <w:r>
        <w:t xml:space="preserve">Figure </w:t>
      </w:r>
      <w:r>
        <w:fldChar w:fldCharType="begin"/>
      </w:r>
      <w:r>
        <w:instrText xml:space="preserve"> SEQ Figure \* ARABIC </w:instrText>
      </w:r>
      <w:r>
        <w:fldChar w:fldCharType="separate"/>
      </w:r>
      <w:r w:rsidR="00A73BD5">
        <w:rPr>
          <w:noProof/>
        </w:rPr>
        <w:t>10</w:t>
      </w:r>
      <w:r>
        <w:fldChar w:fldCharType="end"/>
      </w:r>
      <w:r>
        <w:t>: End-to-End Supply Chain Processes Illustrated</w:t>
      </w:r>
      <w:bookmarkEnd w:id="22"/>
    </w:p>
    <w:p w14:paraId="067324C3" w14:textId="77777777" w:rsidR="007D7E33" w:rsidRDefault="007D7E33" w:rsidP="00F82F31">
      <w:pPr>
        <w:jc w:val="both"/>
        <w:rPr>
          <w:rFonts w:ascii="Arial" w:hAnsi="Arial" w:cs="Arial"/>
          <w:sz w:val="22"/>
          <w:szCs w:val="22"/>
          <w:lang w:val="en-CA"/>
        </w:rPr>
      </w:pPr>
      <w:r w:rsidRPr="007D7E33">
        <w:rPr>
          <w:noProof/>
          <w:lang w:val="en-GB" w:eastAsia="en-GB"/>
        </w:rPr>
        <w:drawing>
          <wp:inline distT="0" distB="0" distL="0" distR="0" wp14:anchorId="2CA9C3F7" wp14:editId="07CF9D32">
            <wp:extent cx="5486400" cy="3056101"/>
            <wp:effectExtent l="19050" t="19050" r="1905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56101"/>
                    </a:xfrm>
                    <a:prstGeom prst="rect">
                      <a:avLst/>
                    </a:prstGeom>
                    <a:noFill/>
                    <a:ln>
                      <a:solidFill>
                        <a:schemeClr val="accent1"/>
                      </a:solidFill>
                    </a:ln>
                  </pic:spPr>
                </pic:pic>
              </a:graphicData>
            </a:graphic>
          </wp:inline>
        </w:drawing>
      </w:r>
    </w:p>
    <w:p w14:paraId="0A560C9C" w14:textId="77777777" w:rsidR="007D7E33" w:rsidRPr="00300961" w:rsidRDefault="007D7E33" w:rsidP="00F82F31">
      <w:pPr>
        <w:jc w:val="both"/>
        <w:rPr>
          <w:rStyle w:val="Emphasis"/>
        </w:rPr>
      </w:pPr>
      <w:r w:rsidRPr="00300961">
        <w:rPr>
          <w:rStyle w:val="Emphasis"/>
        </w:rPr>
        <w:t>Source: Supply Chain Finance, EBA European Market Guide, v.2</w:t>
      </w:r>
      <w:r w:rsidR="000E3A35" w:rsidRPr="00300961">
        <w:rPr>
          <w:rStyle w:val="Emphasis"/>
        </w:rPr>
        <w:t xml:space="preserve">, </w:t>
      </w:r>
      <w:proofErr w:type="spellStart"/>
      <w:r w:rsidR="000E3A35" w:rsidRPr="00300961">
        <w:rPr>
          <w:rStyle w:val="Emphasis"/>
        </w:rPr>
        <w:t>Camerinelli</w:t>
      </w:r>
      <w:proofErr w:type="spellEnd"/>
    </w:p>
    <w:p w14:paraId="222E5FE4" w14:textId="77777777" w:rsidR="007D7E33" w:rsidRDefault="007D7E33" w:rsidP="00F82F31">
      <w:pPr>
        <w:jc w:val="both"/>
        <w:rPr>
          <w:rFonts w:ascii="Arial" w:hAnsi="Arial" w:cs="Arial"/>
          <w:sz w:val="22"/>
          <w:szCs w:val="22"/>
          <w:lang w:val="en-CA"/>
        </w:rPr>
      </w:pPr>
    </w:p>
    <w:p w14:paraId="68216F8A" w14:textId="77777777" w:rsidR="000E3A35" w:rsidRDefault="000E3A35" w:rsidP="00F82F31">
      <w:pPr>
        <w:jc w:val="both"/>
        <w:rPr>
          <w:rFonts w:ascii="Arial" w:hAnsi="Arial" w:cs="Arial"/>
          <w:sz w:val="22"/>
          <w:szCs w:val="22"/>
          <w:lang w:val="en-CA"/>
        </w:rPr>
      </w:pPr>
      <w:r>
        <w:rPr>
          <w:rFonts w:ascii="Arial" w:hAnsi="Arial" w:cs="Arial"/>
          <w:sz w:val="22"/>
          <w:szCs w:val="22"/>
          <w:lang w:val="en-CA"/>
        </w:rPr>
        <w:t>As noted earlier,</w:t>
      </w:r>
      <w:r w:rsidR="00194DE0">
        <w:rPr>
          <w:rFonts w:ascii="Arial" w:hAnsi="Arial" w:cs="Arial"/>
          <w:sz w:val="22"/>
          <w:szCs w:val="22"/>
          <w:lang w:val="en-CA"/>
        </w:rPr>
        <w:t xml:space="preserve"> t</w:t>
      </w:r>
      <w:r w:rsidR="00194DE0" w:rsidRPr="00194DE0">
        <w:rPr>
          <w:rFonts w:ascii="Arial" w:hAnsi="Arial" w:cs="Arial"/>
          <w:sz w:val="22"/>
          <w:szCs w:val="22"/>
          <w:lang w:val="en-CA"/>
        </w:rPr>
        <w:t>here are many points in the lifecycle of a trade transaction, at which a financing option or solution can be offered to one or more parties</w:t>
      </w:r>
      <w:r>
        <w:rPr>
          <w:rFonts w:ascii="Arial" w:hAnsi="Arial" w:cs="Arial"/>
          <w:sz w:val="22"/>
          <w:szCs w:val="22"/>
          <w:lang w:val="en-CA"/>
        </w:rPr>
        <w:t>.</w:t>
      </w:r>
      <w:r w:rsidR="00194DE0">
        <w:rPr>
          <w:rFonts w:ascii="Arial" w:hAnsi="Arial" w:cs="Arial"/>
          <w:sz w:val="22"/>
          <w:szCs w:val="22"/>
          <w:lang w:val="en-CA"/>
        </w:rPr>
        <w:t xml:space="preserve"> </w:t>
      </w:r>
    </w:p>
    <w:p w14:paraId="65C0E66F" w14:textId="77777777" w:rsidR="000E3A35" w:rsidRDefault="000E3A35" w:rsidP="00F82F31">
      <w:pPr>
        <w:jc w:val="both"/>
        <w:rPr>
          <w:rFonts w:ascii="Arial" w:hAnsi="Arial" w:cs="Arial"/>
          <w:sz w:val="22"/>
          <w:szCs w:val="22"/>
          <w:lang w:val="en-CA"/>
        </w:rPr>
      </w:pPr>
    </w:p>
    <w:p w14:paraId="34552058" w14:textId="77777777" w:rsidR="007D7E33" w:rsidRDefault="007D7E33" w:rsidP="00F82F31">
      <w:pPr>
        <w:jc w:val="both"/>
        <w:rPr>
          <w:rFonts w:ascii="Arial" w:hAnsi="Arial" w:cs="Arial"/>
          <w:sz w:val="22"/>
          <w:szCs w:val="22"/>
          <w:lang w:val="en-CA"/>
        </w:rPr>
      </w:pPr>
      <w:r>
        <w:rPr>
          <w:rFonts w:ascii="Arial" w:hAnsi="Arial" w:cs="Arial"/>
          <w:sz w:val="22"/>
          <w:szCs w:val="22"/>
          <w:lang w:val="en-CA"/>
        </w:rPr>
        <w:t xml:space="preserve">Trade </w:t>
      </w:r>
      <w:r w:rsidR="00194DE0">
        <w:rPr>
          <w:rFonts w:ascii="Arial" w:hAnsi="Arial" w:cs="Arial"/>
          <w:sz w:val="22"/>
          <w:szCs w:val="22"/>
          <w:lang w:val="en-CA"/>
        </w:rPr>
        <w:t xml:space="preserve">Finance </w:t>
      </w:r>
      <w:r>
        <w:rPr>
          <w:rFonts w:ascii="Arial" w:hAnsi="Arial" w:cs="Arial"/>
          <w:sz w:val="22"/>
          <w:szCs w:val="22"/>
          <w:lang w:val="en-CA"/>
        </w:rPr>
        <w:t xml:space="preserve">practitioners, particularly those that have embraced the evolving propositions under </w:t>
      </w:r>
      <w:r w:rsidR="00194DE0">
        <w:rPr>
          <w:rFonts w:ascii="Arial" w:hAnsi="Arial" w:cs="Arial"/>
          <w:sz w:val="22"/>
          <w:szCs w:val="22"/>
          <w:lang w:val="en-CA"/>
        </w:rPr>
        <w:t>S</w:t>
      </w:r>
      <w:r>
        <w:rPr>
          <w:rFonts w:ascii="Arial" w:hAnsi="Arial" w:cs="Arial"/>
          <w:sz w:val="22"/>
          <w:szCs w:val="22"/>
          <w:lang w:val="en-CA"/>
        </w:rPr>
        <w:t xml:space="preserve">upply </w:t>
      </w:r>
      <w:r w:rsidR="00194DE0">
        <w:rPr>
          <w:rFonts w:ascii="Arial" w:hAnsi="Arial" w:cs="Arial"/>
          <w:sz w:val="22"/>
          <w:szCs w:val="22"/>
          <w:lang w:val="en-CA"/>
        </w:rPr>
        <w:t>C</w:t>
      </w:r>
      <w:r>
        <w:rPr>
          <w:rFonts w:ascii="Arial" w:hAnsi="Arial" w:cs="Arial"/>
          <w:sz w:val="22"/>
          <w:szCs w:val="22"/>
          <w:lang w:val="en-CA"/>
        </w:rPr>
        <w:t xml:space="preserve">hain </w:t>
      </w:r>
      <w:r w:rsidR="00194DE0">
        <w:rPr>
          <w:rFonts w:ascii="Arial" w:hAnsi="Arial" w:cs="Arial"/>
          <w:sz w:val="22"/>
          <w:szCs w:val="22"/>
          <w:lang w:val="en-CA"/>
        </w:rPr>
        <w:t>F</w:t>
      </w:r>
      <w:r>
        <w:rPr>
          <w:rFonts w:ascii="Arial" w:hAnsi="Arial" w:cs="Arial"/>
          <w:sz w:val="22"/>
          <w:szCs w:val="22"/>
          <w:lang w:val="en-CA"/>
        </w:rPr>
        <w:t xml:space="preserve">inance, take a holistic view of the relationship </w:t>
      </w:r>
      <w:r w:rsidRPr="00B937B0">
        <w:rPr>
          <w:rFonts w:ascii="Arial" w:hAnsi="Arial" w:cs="Arial"/>
          <w:sz w:val="22"/>
          <w:szCs w:val="22"/>
          <w:lang w:val="en-CA"/>
        </w:rPr>
        <w:t>ecosystem</w:t>
      </w:r>
      <w:r>
        <w:rPr>
          <w:rFonts w:ascii="Arial" w:hAnsi="Arial" w:cs="Arial"/>
          <w:sz w:val="22"/>
          <w:szCs w:val="22"/>
          <w:lang w:val="en-CA"/>
        </w:rPr>
        <w:t xml:space="preserve"> that makes up international supply chains</w:t>
      </w:r>
      <w:r w:rsidR="00194DE0">
        <w:rPr>
          <w:rFonts w:ascii="Arial" w:hAnsi="Arial" w:cs="Arial"/>
          <w:sz w:val="22"/>
          <w:szCs w:val="22"/>
          <w:lang w:val="en-CA"/>
        </w:rPr>
        <w:t xml:space="preserve"> in order to be able to identify such points</w:t>
      </w:r>
      <w:r>
        <w:rPr>
          <w:rFonts w:ascii="Arial" w:hAnsi="Arial" w:cs="Arial"/>
          <w:sz w:val="22"/>
          <w:szCs w:val="22"/>
          <w:lang w:val="en-CA"/>
        </w:rPr>
        <w:t xml:space="preserve">. Additionally, a comprehensive view of a trade transaction lifecycle shapes the value proposition around </w:t>
      </w:r>
      <w:r w:rsidR="00194DE0">
        <w:rPr>
          <w:rFonts w:ascii="Arial" w:hAnsi="Arial" w:cs="Arial"/>
          <w:sz w:val="22"/>
          <w:szCs w:val="22"/>
          <w:lang w:val="en-CA"/>
        </w:rPr>
        <w:t>T</w:t>
      </w:r>
      <w:r>
        <w:rPr>
          <w:rFonts w:ascii="Arial" w:hAnsi="Arial" w:cs="Arial"/>
          <w:sz w:val="22"/>
          <w:szCs w:val="22"/>
          <w:lang w:val="en-CA"/>
        </w:rPr>
        <w:t xml:space="preserve">rade </w:t>
      </w:r>
      <w:r w:rsidR="00194DE0">
        <w:rPr>
          <w:rFonts w:ascii="Arial" w:hAnsi="Arial" w:cs="Arial"/>
          <w:sz w:val="22"/>
          <w:szCs w:val="22"/>
          <w:lang w:val="en-CA"/>
        </w:rPr>
        <w:t xml:space="preserve">Finance </w:t>
      </w:r>
      <w:r>
        <w:rPr>
          <w:rFonts w:ascii="Arial" w:hAnsi="Arial" w:cs="Arial"/>
          <w:sz w:val="22"/>
          <w:szCs w:val="22"/>
          <w:lang w:val="en-CA"/>
        </w:rPr>
        <w:t xml:space="preserve">and </w:t>
      </w:r>
      <w:r w:rsidR="00194DE0">
        <w:rPr>
          <w:rFonts w:ascii="Arial" w:hAnsi="Arial" w:cs="Arial"/>
          <w:sz w:val="22"/>
          <w:szCs w:val="22"/>
          <w:lang w:val="en-CA"/>
        </w:rPr>
        <w:t>S</w:t>
      </w:r>
      <w:r>
        <w:rPr>
          <w:rFonts w:ascii="Arial" w:hAnsi="Arial" w:cs="Arial"/>
          <w:sz w:val="22"/>
          <w:szCs w:val="22"/>
          <w:lang w:val="en-CA"/>
        </w:rPr>
        <w:t xml:space="preserve">upply </w:t>
      </w:r>
      <w:r w:rsidR="00194DE0">
        <w:rPr>
          <w:rFonts w:ascii="Arial" w:hAnsi="Arial" w:cs="Arial"/>
          <w:sz w:val="22"/>
          <w:szCs w:val="22"/>
          <w:lang w:val="en-CA"/>
        </w:rPr>
        <w:t>C</w:t>
      </w:r>
      <w:r>
        <w:rPr>
          <w:rFonts w:ascii="Arial" w:hAnsi="Arial" w:cs="Arial"/>
          <w:sz w:val="22"/>
          <w:szCs w:val="22"/>
          <w:lang w:val="en-CA"/>
        </w:rPr>
        <w:t xml:space="preserve">hain </w:t>
      </w:r>
      <w:r w:rsidR="00194DE0">
        <w:rPr>
          <w:rFonts w:ascii="Arial" w:hAnsi="Arial" w:cs="Arial"/>
          <w:sz w:val="22"/>
          <w:szCs w:val="22"/>
          <w:lang w:val="en-CA"/>
        </w:rPr>
        <w:t>F</w:t>
      </w:r>
      <w:r>
        <w:rPr>
          <w:rFonts w:ascii="Arial" w:hAnsi="Arial" w:cs="Arial"/>
          <w:sz w:val="22"/>
          <w:szCs w:val="22"/>
          <w:lang w:val="en-CA"/>
        </w:rPr>
        <w:t>inance, as illustrated in the above graphic</w:t>
      </w:r>
      <w:r w:rsidR="00B937B0">
        <w:rPr>
          <w:rFonts w:ascii="Arial" w:hAnsi="Arial" w:cs="Arial"/>
          <w:sz w:val="22"/>
          <w:szCs w:val="22"/>
          <w:lang w:val="en-CA"/>
        </w:rPr>
        <w:t>. The lifecycle is referred to as “Source-to-Pay” and “Order-to-Cash”, s</w:t>
      </w:r>
      <w:r>
        <w:rPr>
          <w:rFonts w:ascii="Arial" w:hAnsi="Arial" w:cs="Arial"/>
          <w:sz w:val="22"/>
          <w:szCs w:val="22"/>
          <w:lang w:val="en-CA"/>
        </w:rPr>
        <w:t xml:space="preserve">ometimes </w:t>
      </w:r>
      <w:r w:rsidR="00B937B0">
        <w:rPr>
          <w:rFonts w:ascii="Arial" w:hAnsi="Arial" w:cs="Arial"/>
          <w:sz w:val="22"/>
          <w:szCs w:val="22"/>
          <w:lang w:val="en-CA"/>
        </w:rPr>
        <w:t xml:space="preserve">also </w:t>
      </w:r>
      <w:r>
        <w:rPr>
          <w:rFonts w:ascii="Arial" w:hAnsi="Arial" w:cs="Arial"/>
          <w:sz w:val="22"/>
          <w:szCs w:val="22"/>
          <w:lang w:val="en-CA"/>
        </w:rPr>
        <w:t>referred to as the “</w:t>
      </w:r>
      <w:r w:rsidR="000E3A35">
        <w:rPr>
          <w:rFonts w:ascii="Arial" w:hAnsi="Arial" w:cs="Arial"/>
          <w:sz w:val="22"/>
          <w:szCs w:val="22"/>
          <w:lang w:val="en-CA"/>
        </w:rPr>
        <w:t>P</w:t>
      </w:r>
      <w:r>
        <w:rPr>
          <w:rFonts w:ascii="Arial" w:hAnsi="Arial" w:cs="Arial"/>
          <w:sz w:val="22"/>
          <w:szCs w:val="22"/>
          <w:lang w:val="en-CA"/>
        </w:rPr>
        <w:t>rocure-to-</w:t>
      </w:r>
      <w:r w:rsidR="000E3A35">
        <w:rPr>
          <w:rFonts w:ascii="Arial" w:hAnsi="Arial" w:cs="Arial"/>
          <w:sz w:val="22"/>
          <w:szCs w:val="22"/>
          <w:lang w:val="en-CA"/>
        </w:rPr>
        <w:t>P</w:t>
      </w:r>
      <w:r>
        <w:rPr>
          <w:rFonts w:ascii="Arial" w:hAnsi="Arial" w:cs="Arial"/>
          <w:sz w:val="22"/>
          <w:szCs w:val="22"/>
          <w:lang w:val="en-CA"/>
        </w:rPr>
        <w:t>ay” and “</w:t>
      </w:r>
      <w:r w:rsidR="000E3A35">
        <w:rPr>
          <w:rFonts w:ascii="Arial" w:hAnsi="Arial" w:cs="Arial"/>
          <w:sz w:val="22"/>
          <w:szCs w:val="22"/>
          <w:lang w:val="en-CA"/>
        </w:rPr>
        <w:t>O</w:t>
      </w:r>
      <w:r>
        <w:rPr>
          <w:rFonts w:ascii="Arial" w:hAnsi="Arial" w:cs="Arial"/>
          <w:sz w:val="22"/>
          <w:szCs w:val="22"/>
          <w:lang w:val="en-CA"/>
        </w:rPr>
        <w:t>rder-to-</w:t>
      </w:r>
      <w:r w:rsidR="000E3A35">
        <w:rPr>
          <w:rFonts w:ascii="Arial" w:hAnsi="Arial" w:cs="Arial"/>
          <w:sz w:val="22"/>
          <w:szCs w:val="22"/>
          <w:lang w:val="en-CA"/>
        </w:rPr>
        <w:t>C</w:t>
      </w:r>
      <w:r>
        <w:rPr>
          <w:rFonts w:ascii="Arial" w:hAnsi="Arial" w:cs="Arial"/>
          <w:sz w:val="22"/>
          <w:szCs w:val="22"/>
          <w:lang w:val="en-CA"/>
        </w:rPr>
        <w:t>ash”</w:t>
      </w:r>
      <w:r w:rsidR="00B937B0">
        <w:rPr>
          <w:rFonts w:ascii="Arial" w:hAnsi="Arial" w:cs="Arial"/>
          <w:sz w:val="22"/>
          <w:szCs w:val="22"/>
          <w:lang w:val="en-CA"/>
        </w:rPr>
        <w:t>.</w:t>
      </w:r>
    </w:p>
    <w:p w14:paraId="40C698A6" w14:textId="77777777" w:rsidR="00535F2E" w:rsidRDefault="00535F2E" w:rsidP="00F82F31">
      <w:pPr>
        <w:jc w:val="both"/>
        <w:rPr>
          <w:rFonts w:ascii="Arial" w:hAnsi="Arial" w:cs="Arial"/>
          <w:sz w:val="22"/>
          <w:szCs w:val="22"/>
          <w:lang w:val="en-CA"/>
        </w:rPr>
      </w:pPr>
    </w:p>
    <w:p w14:paraId="1DDAF97D" w14:textId="77777777" w:rsidR="009A264A" w:rsidRDefault="00535F2E" w:rsidP="00F82F31">
      <w:pPr>
        <w:jc w:val="both"/>
        <w:rPr>
          <w:rFonts w:ascii="Arial" w:hAnsi="Arial" w:cs="Arial"/>
          <w:sz w:val="22"/>
          <w:szCs w:val="22"/>
          <w:lang w:val="en-CA"/>
        </w:rPr>
      </w:pPr>
      <w:r>
        <w:rPr>
          <w:rFonts w:ascii="Arial" w:hAnsi="Arial" w:cs="Arial"/>
          <w:sz w:val="22"/>
          <w:szCs w:val="22"/>
          <w:lang w:val="en-CA"/>
        </w:rPr>
        <w:t xml:space="preserve">Financing can be </w:t>
      </w:r>
      <w:r w:rsidR="00010BF4">
        <w:rPr>
          <w:rFonts w:ascii="Arial" w:hAnsi="Arial" w:cs="Arial"/>
          <w:sz w:val="22"/>
          <w:szCs w:val="22"/>
          <w:lang w:val="en-CA"/>
        </w:rPr>
        <w:t>provided</w:t>
      </w:r>
      <w:r>
        <w:rPr>
          <w:rFonts w:ascii="Arial" w:hAnsi="Arial" w:cs="Arial"/>
          <w:sz w:val="22"/>
          <w:szCs w:val="22"/>
          <w:lang w:val="en-CA"/>
        </w:rPr>
        <w:t xml:space="preserve"> </w:t>
      </w:r>
      <w:r w:rsidR="007D7E33">
        <w:rPr>
          <w:rFonts w:ascii="Arial" w:hAnsi="Arial" w:cs="Arial"/>
          <w:sz w:val="22"/>
          <w:szCs w:val="22"/>
          <w:lang w:val="en-CA"/>
        </w:rPr>
        <w:t xml:space="preserve">at numerous points in the transaction lifecycle, including </w:t>
      </w:r>
      <w:r>
        <w:rPr>
          <w:rFonts w:ascii="Arial" w:hAnsi="Arial" w:cs="Arial"/>
          <w:sz w:val="22"/>
          <w:szCs w:val="22"/>
          <w:lang w:val="en-CA"/>
        </w:rPr>
        <w:t>against a legally recognized payment obligation</w:t>
      </w:r>
      <w:r w:rsidR="00194DE0">
        <w:rPr>
          <w:rFonts w:ascii="Arial" w:hAnsi="Arial" w:cs="Arial"/>
          <w:sz w:val="22"/>
          <w:szCs w:val="22"/>
          <w:lang w:val="en-CA"/>
        </w:rPr>
        <w:t xml:space="preserve"> (</w:t>
      </w:r>
      <w:r>
        <w:rPr>
          <w:rFonts w:ascii="Arial" w:hAnsi="Arial" w:cs="Arial"/>
          <w:sz w:val="22"/>
          <w:szCs w:val="22"/>
          <w:lang w:val="en-CA"/>
        </w:rPr>
        <w:t>such as an invoice approved for payment</w:t>
      </w:r>
      <w:r w:rsidR="00194DE0">
        <w:rPr>
          <w:rFonts w:ascii="Arial" w:hAnsi="Arial" w:cs="Arial"/>
          <w:sz w:val="22"/>
          <w:szCs w:val="22"/>
          <w:lang w:val="en-CA"/>
        </w:rPr>
        <w:t>)</w:t>
      </w:r>
      <w:r>
        <w:rPr>
          <w:rFonts w:ascii="Arial" w:hAnsi="Arial" w:cs="Arial"/>
          <w:sz w:val="22"/>
          <w:szCs w:val="22"/>
          <w:lang w:val="en-CA"/>
        </w:rPr>
        <w:t xml:space="preserve"> or against a receipt evidencing that the goods are held in a trusted/secure warehouse facility and can remain accessible to the lender until repayment is made. It is also an option, for a </w:t>
      </w:r>
      <w:r w:rsidR="00313782">
        <w:rPr>
          <w:rFonts w:ascii="Arial" w:hAnsi="Arial" w:cs="Arial"/>
          <w:sz w:val="22"/>
          <w:szCs w:val="22"/>
          <w:lang w:val="en-CA"/>
        </w:rPr>
        <w:t>s</w:t>
      </w:r>
      <w:r w:rsidR="00010BF4">
        <w:rPr>
          <w:rFonts w:ascii="Arial" w:hAnsi="Arial" w:cs="Arial"/>
          <w:sz w:val="22"/>
          <w:szCs w:val="22"/>
          <w:lang w:val="en-CA"/>
        </w:rPr>
        <w:t>upplier</w:t>
      </w:r>
      <w:r>
        <w:rPr>
          <w:rFonts w:ascii="Arial" w:hAnsi="Arial" w:cs="Arial"/>
          <w:sz w:val="22"/>
          <w:szCs w:val="22"/>
          <w:lang w:val="en-CA"/>
        </w:rPr>
        <w:t xml:space="preserve"> or a </w:t>
      </w:r>
      <w:r w:rsidR="00313782">
        <w:rPr>
          <w:rFonts w:ascii="Arial" w:hAnsi="Arial" w:cs="Arial"/>
          <w:sz w:val="22"/>
          <w:szCs w:val="22"/>
          <w:lang w:val="en-CA"/>
        </w:rPr>
        <w:t>buyer</w:t>
      </w:r>
      <w:r w:rsidR="00194DE0">
        <w:rPr>
          <w:rFonts w:ascii="Arial" w:hAnsi="Arial" w:cs="Arial"/>
          <w:sz w:val="22"/>
          <w:szCs w:val="22"/>
          <w:lang w:val="en-CA"/>
        </w:rPr>
        <w:t>,</w:t>
      </w:r>
      <w:r>
        <w:rPr>
          <w:rFonts w:ascii="Arial" w:hAnsi="Arial" w:cs="Arial"/>
          <w:sz w:val="22"/>
          <w:szCs w:val="22"/>
          <w:lang w:val="en-CA"/>
        </w:rPr>
        <w:t xml:space="preserve"> to arrange financing under a documentary letter of credit, on the basis of a draft which represents the payment obligation under that letter of credit. </w:t>
      </w:r>
    </w:p>
    <w:p w14:paraId="74A1FA70" w14:textId="77777777" w:rsidR="00010BF4" w:rsidRDefault="00010BF4" w:rsidP="00F82F31">
      <w:pPr>
        <w:jc w:val="both"/>
        <w:rPr>
          <w:rFonts w:ascii="Arial" w:hAnsi="Arial" w:cs="Arial"/>
          <w:sz w:val="22"/>
          <w:szCs w:val="22"/>
          <w:lang w:val="en-CA"/>
        </w:rPr>
      </w:pPr>
    </w:p>
    <w:p w14:paraId="05118637" w14:textId="77777777" w:rsidR="00535F2E" w:rsidRDefault="00535F2E" w:rsidP="00F82F31">
      <w:pPr>
        <w:jc w:val="both"/>
        <w:rPr>
          <w:rFonts w:ascii="Arial" w:hAnsi="Arial" w:cs="Arial"/>
          <w:sz w:val="22"/>
          <w:szCs w:val="22"/>
          <w:lang w:val="en-CA"/>
        </w:rPr>
      </w:pPr>
      <w:r>
        <w:rPr>
          <w:rFonts w:ascii="Arial" w:hAnsi="Arial" w:cs="Arial"/>
          <w:sz w:val="22"/>
          <w:szCs w:val="22"/>
          <w:lang w:val="en-CA"/>
        </w:rPr>
        <w:lastRenderedPageBreak/>
        <w:t xml:space="preserve">Documentary credits are often issued on the basis that the </w:t>
      </w:r>
      <w:r w:rsidR="00313782">
        <w:rPr>
          <w:rFonts w:ascii="Arial" w:hAnsi="Arial" w:cs="Arial"/>
          <w:sz w:val="22"/>
          <w:szCs w:val="22"/>
          <w:lang w:val="en-CA"/>
        </w:rPr>
        <w:t>s</w:t>
      </w:r>
      <w:r w:rsidR="002B77FB">
        <w:rPr>
          <w:rFonts w:ascii="Arial" w:hAnsi="Arial" w:cs="Arial"/>
          <w:sz w:val="22"/>
          <w:szCs w:val="22"/>
          <w:lang w:val="en-CA"/>
        </w:rPr>
        <w:t>upplier</w:t>
      </w:r>
      <w:r>
        <w:rPr>
          <w:rFonts w:ascii="Arial" w:hAnsi="Arial" w:cs="Arial"/>
          <w:sz w:val="22"/>
          <w:szCs w:val="22"/>
          <w:lang w:val="en-CA"/>
        </w:rPr>
        <w:t xml:space="preserve"> will receive payment at some agreed future date, for example 90 days after shipment, or 120 days after sight (examination and approval of the documents by a bank); in such cases, a </w:t>
      </w:r>
      <w:r w:rsidR="00313782">
        <w:rPr>
          <w:rFonts w:ascii="Arial" w:hAnsi="Arial" w:cs="Arial"/>
          <w:sz w:val="22"/>
          <w:szCs w:val="22"/>
          <w:lang w:val="en-CA"/>
        </w:rPr>
        <w:t>s</w:t>
      </w:r>
      <w:r w:rsidR="002B77FB">
        <w:rPr>
          <w:rFonts w:ascii="Arial" w:hAnsi="Arial" w:cs="Arial"/>
          <w:sz w:val="22"/>
          <w:szCs w:val="22"/>
          <w:lang w:val="en-CA"/>
        </w:rPr>
        <w:t>upplier</w:t>
      </w:r>
      <w:r>
        <w:rPr>
          <w:rFonts w:ascii="Arial" w:hAnsi="Arial" w:cs="Arial"/>
          <w:sz w:val="22"/>
          <w:szCs w:val="22"/>
          <w:lang w:val="en-CA"/>
        </w:rPr>
        <w:t xml:space="preserve"> may prefer to obtain payment immediately, and would seek to do so, by having a bank discount the draft and </w:t>
      </w:r>
      <w:r w:rsidR="002B77FB">
        <w:rPr>
          <w:rFonts w:ascii="Arial" w:hAnsi="Arial" w:cs="Arial"/>
          <w:sz w:val="22"/>
          <w:szCs w:val="22"/>
          <w:lang w:val="en-CA"/>
        </w:rPr>
        <w:t xml:space="preserve">remit monies </w:t>
      </w:r>
      <w:r>
        <w:rPr>
          <w:rFonts w:ascii="Arial" w:hAnsi="Arial" w:cs="Arial"/>
          <w:sz w:val="22"/>
          <w:szCs w:val="22"/>
          <w:lang w:val="en-CA"/>
        </w:rPr>
        <w:t>today</w:t>
      </w:r>
      <w:r w:rsidR="002B77FB">
        <w:rPr>
          <w:rFonts w:ascii="Arial" w:hAnsi="Arial" w:cs="Arial"/>
          <w:sz w:val="22"/>
          <w:szCs w:val="22"/>
          <w:lang w:val="en-CA"/>
        </w:rPr>
        <w:t xml:space="preserve"> through a loan</w:t>
      </w:r>
      <w:r>
        <w:rPr>
          <w:rFonts w:ascii="Arial" w:hAnsi="Arial" w:cs="Arial"/>
          <w:sz w:val="22"/>
          <w:szCs w:val="22"/>
          <w:lang w:val="en-CA"/>
        </w:rPr>
        <w:t xml:space="preserve">, with repayment of the loan to take place when the obligation comes due. Similarly, a </w:t>
      </w:r>
      <w:r w:rsidRPr="002B77FB">
        <w:rPr>
          <w:rFonts w:ascii="Arial" w:hAnsi="Arial" w:cs="Arial"/>
          <w:sz w:val="22"/>
          <w:szCs w:val="22"/>
          <w:lang w:val="en-CA"/>
        </w:rPr>
        <w:t>buyer</w:t>
      </w:r>
      <w:r>
        <w:rPr>
          <w:rFonts w:ascii="Arial" w:hAnsi="Arial" w:cs="Arial"/>
          <w:sz w:val="22"/>
          <w:szCs w:val="22"/>
          <w:lang w:val="en-CA"/>
        </w:rPr>
        <w:t xml:space="preserve"> can delay the point at which it remits payment, by arranging for a bank to pay the </w:t>
      </w:r>
      <w:r w:rsidR="00313782">
        <w:rPr>
          <w:rFonts w:ascii="Arial" w:hAnsi="Arial" w:cs="Arial"/>
          <w:sz w:val="22"/>
          <w:szCs w:val="22"/>
          <w:lang w:val="en-CA"/>
        </w:rPr>
        <w:t>s</w:t>
      </w:r>
      <w:r w:rsidR="002B77FB">
        <w:rPr>
          <w:rFonts w:ascii="Arial" w:hAnsi="Arial" w:cs="Arial"/>
          <w:sz w:val="22"/>
          <w:szCs w:val="22"/>
          <w:lang w:val="en-CA"/>
        </w:rPr>
        <w:t>upplier</w:t>
      </w:r>
      <w:r>
        <w:rPr>
          <w:rFonts w:ascii="Arial" w:hAnsi="Arial" w:cs="Arial"/>
          <w:sz w:val="22"/>
          <w:szCs w:val="22"/>
          <w:lang w:val="en-CA"/>
        </w:rPr>
        <w:t xml:space="preserve">, but only seek reimbursement from the </w:t>
      </w:r>
      <w:r w:rsidR="00B937B0">
        <w:rPr>
          <w:rFonts w:ascii="Arial" w:hAnsi="Arial" w:cs="Arial"/>
          <w:sz w:val="22"/>
          <w:szCs w:val="22"/>
          <w:lang w:val="en-CA"/>
        </w:rPr>
        <w:t>buyer a</w:t>
      </w:r>
      <w:r>
        <w:rPr>
          <w:rFonts w:ascii="Arial" w:hAnsi="Arial" w:cs="Arial"/>
          <w:sz w:val="22"/>
          <w:szCs w:val="22"/>
          <w:lang w:val="en-CA"/>
        </w:rPr>
        <w:t>t some agreed future date.</w:t>
      </w:r>
    </w:p>
    <w:p w14:paraId="0C569246" w14:textId="77777777" w:rsidR="00FF2214" w:rsidRDefault="00FF2214" w:rsidP="00F82F31">
      <w:pPr>
        <w:jc w:val="both"/>
        <w:rPr>
          <w:rFonts w:ascii="Arial" w:hAnsi="Arial" w:cs="Arial"/>
          <w:sz w:val="22"/>
          <w:szCs w:val="22"/>
          <w:lang w:val="en-CA"/>
        </w:rPr>
      </w:pPr>
    </w:p>
    <w:p w14:paraId="703633EF" w14:textId="77777777" w:rsidR="00FF2214" w:rsidRDefault="00FF2214" w:rsidP="00F82F31">
      <w:pPr>
        <w:jc w:val="both"/>
        <w:rPr>
          <w:rFonts w:ascii="Arial" w:hAnsi="Arial" w:cs="Arial"/>
          <w:sz w:val="22"/>
          <w:szCs w:val="22"/>
          <w:lang w:val="en-CA"/>
        </w:rPr>
      </w:pPr>
      <w:r>
        <w:rPr>
          <w:rFonts w:ascii="Arial" w:hAnsi="Arial" w:cs="Arial"/>
          <w:sz w:val="22"/>
          <w:szCs w:val="22"/>
          <w:lang w:val="en-CA"/>
        </w:rPr>
        <w:t xml:space="preserve">Financing can become a core aspect of </w:t>
      </w:r>
      <w:r w:rsidR="009A264A">
        <w:rPr>
          <w:rFonts w:ascii="Arial" w:hAnsi="Arial" w:cs="Arial"/>
          <w:sz w:val="22"/>
          <w:szCs w:val="22"/>
          <w:lang w:val="en-CA"/>
        </w:rPr>
        <w:t>Trade F</w:t>
      </w:r>
      <w:r>
        <w:rPr>
          <w:rFonts w:ascii="Arial" w:hAnsi="Arial" w:cs="Arial"/>
          <w:sz w:val="22"/>
          <w:szCs w:val="22"/>
          <w:lang w:val="en-CA"/>
        </w:rPr>
        <w:t xml:space="preserve">acilitation and Single Window initiatives and can be particularly attractive as a benefit to developing market-based SME’s, as they can take advantage of </w:t>
      </w:r>
      <w:r w:rsidR="009A264A">
        <w:rPr>
          <w:rFonts w:ascii="Arial" w:hAnsi="Arial" w:cs="Arial"/>
          <w:sz w:val="22"/>
          <w:szCs w:val="22"/>
          <w:lang w:val="en-CA"/>
        </w:rPr>
        <w:t>T</w:t>
      </w:r>
      <w:r>
        <w:rPr>
          <w:rFonts w:ascii="Arial" w:hAnsi="Arial" w:cs="Arial"/>
          <w:sz w:val="22"/>
          <w:szCs w:val="22"/>
          <w:lang w:val="en-CA"/>
        </w:rPr>
        <w:t xml:space="preserve">rade </w:t>
      </w:r>
      <w:r w:rsidR="009A264A">
        <w:rPr>
          <w:rFonts w:ascii="Arial" w:hAnsi="Arial" w:cs="Arial"/>
          <w:sz w:val="22"/>
          <w:szCs w:val="22"/>
          <w:lang w:val="en-CA"/>
        </w:rPr>
        <w:t xml:space="preserve">Finance </w:t>
      </w:r>
      <w:r>
        <w:rPr>
          <w:rFonts w:ascii="Arial" w:hAnsi="Arial" w:cs="Arial"/>
          <w:sz w:val="22"/>
          <w:szCs w:val="22"/>
          <w:lang w:val="en-CA"/>
        </w:rPr>
        <w:t xml:space="preserve">and </w:t>
      </w:r>
      <w:r w:rsidR="009A264A">
        <w:rPr>
          <w:rFonts w:ascii="Arial" w:hAnsi="Arial" w:cs="Arial"/>
          <w:sz w:val="22"/>
          <w:szCs w:val="22"/>
          <w:lang w:val="en-CA"/>
        </w:rPr>
        <w:t>S</w:t>
      </w:r>
      <w:r>
        <w:rPr>
          <w:rFonts w:ascii="Arial" w:hAnsi="Arial" w:cs="Arial"/>
          <w:sz w:val="22"/>
          <w:szCs w:val="22"/>
          <w:lang w:val="en-CA"/>
        </w:rPr>
        <w:t xml:space="preserve">upply </w:t>
      </w:r>
      <w:r w:rsidR="009A264A">
        <w:rPr>
          <w:rFonts w:ascii="Arial" w:hAnsi="Arial" w:cs="Arial"/>
          <w:sz w:val="22"/>
          <w:szCs w:val="22"/>
          <w:lang w:val="en-CA"/>
        </w:rPr>
        <w:t>C</w:t>
      </w:r>
      <w:r>
        <w:rPr>
          <w:rFonts w:ascii="Arial" w:hAnsi="Arial" w:cs="Arial"/>
          <w:sz w:val="22"/>
          <w:szCs w:val="22"/>
          <w:lang w:val="en-CA"/>
        </w:rPr>
        <w:t xml:space="preserve">hain </w:t>
      </w:r>
      <w:r w:rsidR="009A264A">
        <w:rPr>
          <w:rFonts w:ascii="Arial" w:hAnsi="Arial" w:cs="Arial"/>
          <w:sz w:val="22"/>
          <w:szCs w:val="22"/>
          <w:lang w:val="en-CA"/>
        </w:rPr>
        <w:t>F</w:t>
      </w:r>
      <w:r>
        <w:rPr>
          <w:rFonts w:ascii="Arial" w:hAnsi="Arial" w:cs="Arial"/>
          <w:sz w:val="22"/>
          <w:szCs w:val="22"/>
          <w:lang w:val="en-CA"/>
        </w:rPr>
        <w:t>inancing options to engage in interest rate arbitrage: effectively, obtain loans at significantly lower cost than would be available at home.</w:t>
      </w:r>
      <w:r w:rsidR="00912643">
        <w:rPr>
          <w:rFonts w:ascii="Arial" w:hAnsi="Arial" w:cs="Arial"/>
          <w:sz w:val="22"/>
          <w:szCs w:val="22"/>
          <w:lang w:val="en-CA"/>
        </w:rPr>
        <w:t xml:space="preserve"> The extent of differentials in the cost of (trade) financing can be appreciated by considering the range of costs in illus</w:t>
      </w:r>
      <w:r w:rsidR="00CA53DE">
        <w:rPr>
          <w:rFonts w:ascii="Arial" w:hAnsi="Arial" w:cs="Arial"/>
          <w:sz w:val="22"/>
          <w:szCs w:val="22"/>
          <w:lang w:val="en-CA"/>
        </w:rPr>
        <w:t>trative markets in Africa.</w:t>
      </w:r>
    </w:p>
    <w:p w14:paraId="6A7353FA" w14:textId="77777777" w:rsidR="00CA53DE" w:rsidRDefault="00CA53DE" w:rsidP="00F82F31">
      <w:pPr>
        <w:jc w:val="both"/>
        <w:rPr>
          <w:rFonts w:ascii="Arial" w:hAnsi="Arial" w:cs="Arial"/>
          <w:sz w:val="22"/>
          <w:szCs w:val="22"/>
          <w:lang w:val="en-CA"/>
        </w:rPr>
      </w:pPr>
    </w:p>
    <w:p w14:paraId="65699D45" w14:textId="77777777" w:rsidR="00CA53DE" w:rsidRDefault="00CA53DE" w:rsidP="00CA53DE">
      <w:pPr>
        <w:pStyle w:val="Caption"/>
        <w:rPr>
          <w:rFonts w:ascii="Arial" w:hAnsi="Arial" w:cs="Arial"/>
          <w:sz w:val="22"/>
          <w:szCs w:val="22"/>
          <w:lang w:val="en-CA"/>
        </w:rPr>
      </w:pPr>
      <w:bookmarkStart w:id="23" w:name="_Toc436042275"/>
      <w:r>
        <w:t xml:space="preserve">Figure </w:t>
      </w:r>
      <w:r>
        <w:fldChar w:fldCharType="begin"/>
      </w:r>
      <w:r>
        <w:instrText xml:space="preserve"> SEQ Figure \* ARABIC </w:instrText>
      </w:r>
      <w:r>
        <w:fldChar w:fldCharType="separate"/>
      </w:r>
      <w:r w:rsidR="00A73BD5">
        <w:rPr>
          <w:noProof/>
        </w:rPr>
        <w:t>11</w:t>
      </w:r>
      <w:r>
        <w:fldChar w:fldCharType="end"/>
      </w:r>
      <w:r>
        <w:t>: Loan Price Ranges with R</w:t>
      </w:r>
      <w:r w:rsidRPr="00CA53DE">
        <w:t xml:space="preserve">ates </w:t>
      </w:r>
      <w:r>
        <w:t>E</w:t>
      </w:r>
      <w:r w:rsidRPr="00CA53DE">
        <w:t xml:space="preserve">xpressed as </w:t>
      </w:r>
      <w:r>
        <w:t>A</w:t>
      </w:r>
      <w:r w:rsidRPr="00CA53DE">
        <w:t xml:space="preserve">nnual </w:t>
      </w:r>
      <w:r>
        <w:t>I</w:t>
      </w:r>
      <w:r w:rsidRPr="00CA53DE">
        <w:t xml:space="preserve">nterest </w:t>
      </w:r>
      <w:r>
        <w:t>Rates</w:t>
      </w:r>
      <w:bookmarkEnd w:id="23"/>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3513"/>
        <w:gridCol w:w="740"/>
        <w:gridCol w:w="740"/>
        <w:gridCol w:w="7"/>
        <w:gridCol w:w="733"/>
        <w:gridCol w:w="748"/>
        <w:gridCol w:w="6"/>
      </w:tblGrid>
      <w:tr w:rsidR="00912643" w:rsidRPr="00912643" w14:paraId="7B9A51E7" w14:textId="77777777" w:rsidTr="000514C3">
        <w:trPr>
          <w:trHeight w:val="384"/>
          <w:jc w:val="center"/>
        </w:trPr>
        <w:tc>
          <w:tcPr>
            <w:tcW w:w="3513" w:type="dxa"/>
            <w:shd w:val="clear" w:color="auto" w:fill="006283"/>
          </w:tcPr>
          <w:p w14:paraId="1FC35F26" w14:textId="77777777" w:rsidR="00912643" w:rsidRPr="00912643" w:rsidRDefault="00912643" w:rsidP="000514C3">
            <w:pPr>
              <w:pStyle w:val="BodyText"/>
              <w:tabs>
                <w:tab w:val="left" w:pos="1279"/>
              </w:tabs>
              <w:spacing w:after="0"/>
              <w:rPr>
                <w:b/>
                <w:color w:val="FFFFFF"/>
                <w:sz w:val="22"/>
                <w:szCs w:val="22"/>
              </w:rPr>
            </w:pPr>
            <w:r w:rsidRPr="00912643">
              <w:rPr>
                <w:b/>
                <w:color w:val="FFFFFF"/>
                <w:sz w:val="22"/>
                <w:szCs w:val="22"/>
              </w:rPr>
              <w:t>Country                Price range as of</w:t>
            </w:r>
          </w:p>
        </w:tc>
        <w:tc>
          <w:tcPr>
            <w:tcW w:w="1487" w:type="dxa"/>
            <w:gridSpan w:val="3"/>
            <w:shd w:val="clear" w:color="auto" w:fill="006283"/>
          </w:tcPr>
          <w:p w14:paraId="2525EAAE" w14:textId="77777777" w:rsidR="00912643" w:rsidRPr="00912643" w:rsidRDefault="00912643" w:rsidP="000514C3">
            <w:pPr>
              <w:pStyle w:val="BodyText"/>
              <w:spacing w:after="0"/>
              <w:jc w:val="center"/>
              <w:rPr>
                <w:b/>
                <w:color w:val="FFFFFF"/>
                <w:sz w:val="22"/>
                <w:szCs w:val="22"/>
              </w:rPr>
            </w:pPr>
            <w:r w:rsidRPr="00912643">
              <w:rPr>
                <w:b/>
                <w:color w:val="FFFFFF"/>
                <w:sz w:val="22"/>
                <w:szCs w:val="22"/>
              </w:rPr>
              <w:t>April 2013</w:t>
            </w:r>
          </w:p>
        </w:tc>
        <w:tc>
          <w:tcPr>
            <w:tcW w:w="1487" w:type="dxa"/>
            <w:gridSpan w:val="3"/>
            <w:shd w:val="clear" w:color="auto" w:fill="006283"/>
          </w:tcPr>
          <w:p w14:paraId="3AA8DFB1" w14:textId="77777777" w:rsidR="00912643" w:rsidRPr="00912643" w:rsidRDefault="00912643" w:rsidP="000514C3">
            <w:pPr>
              <w:pStyle w:val="BodyText"/>
              <w:spacing w:after="0"/>
              <w:jc w:val="center"/>
              <w:rPr>
                <w:b/>
                <w:color w:val="FFFFFF"/>
                <w:sz w:val="22"/>
                <w:szCs w:val="22"/>
              </w:rPr>
            </w:pPr>
            <w:r w:rsidRPr="00912643">
              <w:rPr>
                <w:b/>
                <w:color w:val="FFFFFF"/>
                <w:sz w:val="22"/>
                <w:szCs w:val="22"/>
              </w:rPr>
              <w:t>May 2011</w:t>
            </w:r>
          </w:p>
        </w:tc>
      </w:tr>
      <w:tr w:rsidR="00912643" w:rsidRPr="00912643" w14:paraId="28102705" w14:textId="77777777" w:rsidTr="000514C3">
        <w:trPr>
          <w:gridAfter w:val="1"/>
          <w:wAfter w:w="6" w:type="dxa"/>
          <w:trHeight w:val="231"/>
          <w:jc w:val="center"/>
        </w:trPr>
        <w:tc>
          <w:tcPr>
            <w:tcW w:w="3513" w:type="dxa"/>
            <w:shd w:val="clear" w:color="auto" w:fill="auto"/>
            <w:vAlign w:val="center"/>
          </w:tcPr>
          <w:p w14:paraId="6A450B7E" w14:textId="77777777" w:rsidR="00912643" w:rsidRPr="00912643" w:rsidRDefault="00912643" w:rsidP="000514C3">
            <w:pPr>
              <w:pStyle w:val="BodyText"/>
              <w:spacing w:after="0"/>
              <w:ind w:left="18"/>
              <w:rPr>
                <w:b/>
                <w:sz w:val="22"/>
                <w:szCs w:val="22"/>
              </w:rPr>
            </w:pPr>
            <w:r w:rsidRPr="00912643">
              <w:rPr>
                <w:b/>
                <w:sz w:val="22"/>
                <w:szCs w:val="22"/>
              </w:rPr>
              <w:t>Angola*</w:t>
            </w:r>
          </w:p>
        </w:tc>
        <w:tc>
          <w:tcPr>
            <w:tcW w:w="740" w:type="dxa"/>
            <w:shd w:val="clear" w:color="auto" w:fill="auto"/>
          </w:tcPr>
          <w:p w14:paraId="75D6D549" w14:textId="77777777" w:rsidR="00912643" w:rsidRPr="00912643" w:rsidRDefault="00912643" w:rsidP="000514C3">
            <w:pPr>
              <w:tabs>
                <w:tab w:val="left" w:pos="169"/>
              </w:tabs>
              <w:ind w:left="-340"/>
              <w:jc w:val="right"/>
              <w:rPr>
                <w:color w:val="000000"/>
                <w:sz w:val="22"/>
                <w:szCs w:val="22"/>
              </w:rPr>
            </w:pPr>
            <w:r w:rsidRPr="00912643">
              <w:rPr>
                <w:color w:val="000000"/>
                <w:sz w:val="22"/>
                <w:szCs w:val="22"/>
              </w:rPr>
              <w:t>65%</w:t>
            </w:r>
          </w:p>
        </w:tc>
        <w:tc>
          <w:tcPr>
            <w:tcW w:w="740" w:type="dxa"/>
            <w:shd w:val="clear" w:color="auto" w:fill="auto"/>
          </w:tcPr>
          <w:p w14:paraId="4DC13CAB" w14:textId="77777777" w:rsidR="00912643" w:rsidRPr="00912643" w:rsidRDefault="00912643" w:rsidP="000514C3">
            <w:pPr>
              <w:jc w:val="right"/>
              <w:rPr>
                <w:color w:val="000000"/>
                <w:sz w:val="22"/>
                <w:szCs w:val="22"/>
              </w:rPr>
            </w:pPr>
            <w:r w:rsidRPr="00912643">
              <w:rPr>
                <w:color w:val="000000"/>
                <w:sz w:val="22"/>
                <w:szCs w:val="22"/>
              </w:rPr>
              <w:t>70%</w:t>
            </w:r>
          </w:p>
        </w:tc>
        <w:tc>
          <w:tcPr>
            <w:tcW w:w="740" w:type="dxa"/>
            <w:gridSpan w:val="2"/>
            <w:shd w:val="clear" w:color="auto" w:fill="auto"/>
          </w:tcPr>
          <w:p w14:paraId="09413C5F" w14:textId="77777777" w:rsidR="00912643" w:rsidRPr="00912643" w:rsidRDefault="00912643" w:rsidP="000514C3">
            <w:pPr>
              <w:jc w:val="center"/>
              <w:rPr>
                <w:color w:val="000000"/>
                <w:sz w:val="22"/>
                <w:szCs w:val="22"/>
              </w:rPr>
            </w:pPr>
            <w:r w:rsidRPr="00912643">
              <w:rPr>
                <w:color w:val="000000"/>
                <w:sz w:val="22"/>
                <w:szCs w:val="22"/>
              </w:rPr>
              <w:t>60%</w:t>
            </w:r>
          </w:p>
        </w:tc>
        <w:tc>
          <w:tcPr>
            <w:tcW w:w="748" w:type="dxa"/>
            <w:shd w:val="clear" w:color="auto" w:fill="auto"/>
          </w:tcPr>
          <w:p w14:paraId="26B5D098" w14:textId="77777777" w:rsidR="00912643" w:rsidRPr="00912643" w:rsidRDefault="00912643" w:rsidP="000514C3">
            <w:pPr>
              <w:jc w:val="right"/>
              <w:rPr>
                <w:color w:val="000000"/>
                <w:sz w:val="22"/>
                <w:szCs w:val="22"/>
              </w:rPr>
            </w:pPr>
            <w:r w:rsidRPr="00912643">
              <w:rPr>
                <w:color w:val="000000"/>
                <w:sz w:val="22"/>
                <w:szCs w:val="22"/>
              </w:rPr>
              <w:t>65%</w:t>
            </w:r>
          </w:p>
        </w:tc>
      </w:tr>
      <w:tr w:rsidR="00912643" w:rsidRPr="00912643" w14:paraId="1DBF41F2" w14:textId="77777777" w:rsidTr="000514C3">
        <w:trPr>
          <w:gridAfter w:val="1"/>
          <w:wAfter w:w="6" w:type="dxa"/>
          <w:trHeight w:val="231"/>
          <w:jc w:val="center"/>
        </w:trPr>
        <w:tc>
          <w:tcPr>
            <w:tcW w:w="3513" w:type="dxa"/>
            <w:shd w:val="clear" w:color="auto" w:fill="C9DED4"/>
            <w:vAlign w:val="center"/>
          </w:tcPr>
          <w:p w14:paraId="0EB5AF74" w14:textId="77777777" w:rsidR="00912643" w:rsidRPr="00912643" w:rsidRDefault="00912643" w:rsidP="000514C3">
            <w:pPr>
              <w:pStyle w:val="BodyText"/>
              <w:spacing w:after="0"/>
              <w:ind w:left="18"/>
              <w:rPr>
                <w:b/>
                <w:sz w:val="22"/>
                <w:szCs w:val="22"/>
              </w:rPr>
            </w:pPr>
            <w:r w:rsidRPr="00912643">
              <w:rPr>
                <w:b/>
                <w:sz w:val="22"/>
                <w:szCs w:val="22"/>
              </w:rPr>
              <w:t>Cameroon</w:t>
            </w:r>
          </w:p>
        </w:tc>
        <w:tc>
          <w:tcPr>
            <w:tcW w:w="740" w:type="dxa"/>
            <w:shd w:val="clear" w:color="auto" w:fill="C9DED4"/>
          </w:tcPr>
          <w:p w14:paraId="6B18B74D" w14:textId="77777777" w:rsidR="00912643" w:rsidRPr="00912643" w:rsidRDefault="00912643" w:rsidP="000514C3">
            <w:pPr>
              <w:tabs>
                <w:tab w:val="left" w:pos="169"/>
              </w:tabs>
              <w:ind w:left="-340"/>
              <w:jc w:val="right"/>
              <w:rPr>
                <w:color w:val="000000"/>
                <w:sz w:val="22"/>
                <w:szCs w:val="22"/>
              </w:rPr>
            </w:pPr>
            <w:r w:rsidRPr="00912643">
              <w:rPr>
                <w:color w:val="000000"/>
                <w:sz w:val="22"/>
                <w:szCs w:val="22"/>
              </w:rPr>
              <w:t>18%</w:t>
            </w:r>
          </w:p>
        </w:tc>
        <w:tc>
          <w:tcPr>
            <w:tcW w:w="740" w:type="dxa"/>
            <w:shd w:val="clear" w:color="auto" w:fill="C9DED4"/>
          </w:tcPr>
          <w:p w14:paraId="2E3CEDB9" w14:textId="77777777" w:rsidR="00912643" w:rsidRPr="00912643" w:rsidRDefault="00912643" w:rsidP="000514C3">
            <w:pPr>
              <w:jc w:val="right"/>
              <w:rPr>
                <w:color w:val="000000"/>
                <w:sz w:val="22"/>
                <w:szCs w:val="22"/>
              </w:rPr>
            </w:pPr>
            <w:r w:rsidRPr="00912643">
              <w:rPr>
                <w:color w:val="000000"/>
                <w:sz w:val="22"/>
                <w:szCs w:val="22"/>
              </w:rPr>
              <w:t>24%</w:t>
            </w:r>
          </w:p>
        </w:tc>
        <w:tc>
          <w:tcPr>
            <w:tcW w:w="740" w:type="dxa"/>
            <w:gridSpan w:val="2"/>
            <w:shd w:val="clear" w:color="auto" w:fill="C9DED4"/>
          </w:tcPr>
          <w:p w14:paraId="7278A9A5" w14:textId="77777777" w:rsidR="00912643" w:rsidRPr="00912643" w:rsidRDefault="00912643" w:rsidP="000514C3">
            <w:pPr>
              <w:jc w:val="center"/>
              <w:rPr>
                <w:color w:val="000000"/>
                <w:sz w:val="22"/>
                <w:szCs w:val="22"/>
              </w:rPr>
            </w:pPr>
            <w:r w:rsidRPr="00912643">
              <w:rPr>
                <w:color w:val="000000"/>
                <w:sz w:val="22"/>
                <w:szCs w:val="22"/>
              </w:rPr>
              <w:t>14%</w:t>
            </w:r>
          </w:p>
        </w:tc>
        <w:tc>
          <w:tcPr>
            <w:tcW w:w="748" w:type="dxa"/>
            <w:shd w:val="clear" w:color="auto" w:fill="C9DED4"/>
          </w:tcPr>
          <w:p w14:paraId="1A111E2C" w14:textId="77777777" w:rsidR="00912643" w:rsidRPr="00912643" w:rsidRDefault="00912643" w:rsidP="000514C3">
            <w:pPr>
              <w:jc w:val="right"/>
              <w:rPr>
                <w:color w:val="000000"/>
                <w:sz w:val="22"/>
                <w:szCs w:val="22"/>
              </w:rPr>
            </w:pPr>
            <w:r w:rsidRPr="00912643">
              <w:rPr>
                <w:color w:val="000000"/>
                <w:sz w:val="22"/>
                <w:szCs w:val="22"/>
              </w:rPr>
              <w:t>20%</w:t>
            </w:r>
          </w:p>
        </w:tc>
      </w:tr>
      <w:tr w:rsidR="00912643" w:rsidRPr="00912643" w14:paraId="6BD4BE9F" w14:textId="77777777" w:rsidTr="000514C3">
        <w:trPr>
          <w:gridAfter w:val="1"/>
          <w:wAfter w:w="6" w:type="dxa"/>
          <w:trHeight w:val="231"/>
          <w:jc w:val="center"/>
        </w:trPr>
        <w:tc>
          <w:tcPr>
            <w:tcW w:w="3513" w:type="dxa"/>
            <w:shd w:val="clear" w:color="auto" w:fill="auto"/>
            <w:vAlign w:val="center"/>
          </w:tcPr>
          <w:p w14:paraId="4D51B116" w14:textId="77777777" w:rsidR="00912643" w:rsidRPr="00912643" w:rsidRDefault="00912643" w:rsidP="000514C3">
            <w:pPr>
              <w:pStyle w:val="BodyText"/>
              <w:spacing w:after="0"/>
              <w:ind w:left="18"/>
              <w:rPr>
                <w:b/>
                <w:sz w:val="22"/>
                <w:szCs w:val="22"/>
              </w:rPr>
            </w:pPr>
            <w:r w:rsidRPr="00912643">
              <w:rPr>
                <w:b/>
                <w:sz w:val="22"/>
                <w:szCs w:val="22"/>
              </w:rPr>
              <w:t>Congo</w:t>
            </w:r>
          </w:p>
        </w:tc>
        <w:tc>
          <w:tcPr>
            <w:tcW w:w="740" w:type="dxa"/>
            <w:shd w:val="clear" w:color="auto" w:fill="auto"/>
          </w:tcPr>
          <w:p w14:paraId="52038078" w14:textId="77777777" w:rsidR="00912643" w:rsidRPr="00912643" w:rsidRDefault="00912643" w:rsidP="000514C3">
            <w:pPr>
              <w:tabs>
                <w:tab w:val="left" w:pos="169"/>
              </w:tabs>
              <w:ind w:left="-340"/>
              <w:jc w:val="right"/>
              <w:rPr>
                <w:color w:val="000000"/>
                <w:sz w:val="22"/>
                <w:szCs w:val="22"/>
              </w:rPr>
            </w:pPr>
            <w:r w:rsidRPr="00912643">
              <w:rPr>
                <w:color w:val="000000"/>
                <w:sz w:val="22"/>
                <w:szCs w:val="22"/>
              </w:rPr>
              <w:t>22%</w:t>
            </w:r>
          </w:p>
        </w:tc>
        <w:tc>
          <w:tcPr>
            <w:tcW w:w="740" w:type="dxa"/>
            <w:shd w:val="clear" w:color="auto" w:fill="auto"/>
          </w:tcPr>
          <w:p w14:paraId="6B644F83" w14:textId="77777777" w:rsidR="00912643" w:rsidRPr="00912643" w:rsidRDefault="00912643" w:rsidP="000514C3">
            <w:pPr>
              <w:jc w:val="right"/>
              <w:rPr>
                <w:color w:val="000000"/>
                <w:sz w:val="22"/>
                <w:szCs w:val="22"/>
              </w:rPr>
            </w:pPr>
            <w:r w:rsidRPr="00912643">
              <w:rPr>
                <w:color w:val="000000"/>
                <w:sz w:val="22"/>
                <w:szCs w:val="22"/>
              </w:rPr>
              <w:t>26%</w:t>
            </w:r>
          </w:p>
        </w:tc>
        <w:tc>
          <w:tcPr>
            <w:tcW w:w="740" w:type="dxa"/>
            <w:gridSpan w:val="2"/>
            <w:shd w:val="clear" w:color="auto" w:fill="auto"/>
          </w:tcPr>
          <w:p w14:paraId="024B3F38" w14:textId="77777777" w:rsidR="00912643" w:rsidRPr="00912643" w:rsidRDefault="00912643" w:rsidP="000514C3">
            <w:pPr>
              <w:jc w:val="center"/>
              <w:rPr>
                <w:color w:val="000000"/>
                <w:sz w:val="22"/>
                <w:szCs w:val="22"/>
              </w:rPr>
            </w:pPr>
            <w:r w:rsidRPr="00912643">
              <w:rPr>
                <w:color w:val="000000"/>
                <w:sz w:val="22"/>
                <w:szCs w:val="22"/>
              </w:rPr>
              <w:t>22%</w:t>
            </w:r>
          </w:p>
        </w:tc>
        <w:tc>
          <w:tcPr>
            <w:tcW w:w="748" w:type="dxa"/>
            <w:shd w:val="clear" w:color="auto" w:fill="auto"/>
          </w:tcPr>
          <w:p w14:paraId="1BC4E6BE" w14:textId="77777777" w:rsidR="00912643" w:rsidRPr="00912643" w:rsidRDefault="00912643" w:rsidP="000514C3">
            <w:pPr>
              <w:jc w:val="right"/>
              <w:rPr>
                <w:color w:val="000000"/>
                <w:sz w:val="22"/>
                <w:szCs w:val="22"/>
              </w:rPr>
            </w:pPr>
            <w:r w:rsidRPr="00912643">
              <w:rPr>
                <w:color w:val="000000"/>
                <w:sz w:val="22"/>
                <w:szCs w:val="22"/>
              </w:rPr>
              <w:t>26%</w:t>
            </w:r>
          </w:p>
        </w:tc>
      </w:tr>
      <w:tr w:rsidR="00912643" w:rsidRPr="00912643" w14:paraId="33B8C385" w14:textId="77777777" w:rsidTr="000514C3">
        <w:trPr>
          <w:gridAfter w:val="1"/>
          <w:wAfter w:w="6" w:type="dxa"/>
          <w:trHeight w:val="231"/>
          <w:jc w:val="center"/>
        </w:trPr>
        <w:tc>
          <w:tcPr>
            <w:tcW w:w="3513" w:type="dxa"/>
            <w:shd w:val="clear" w:color="auto" w:fill="C9DED4"/>
            <w:vAlign w:val="center"/>
          </w:tcPr>
          <w:p w14:paraId="5BA1C20F" w14:textId="77777777" w:rsidR="00912643" w:rsidRPr="00912643" w:rsidRDefault="00912643" w:rsidP="000514C3">
            <w:pPr>
              <w:pStyle w:val="BodyText"/>
              <w:spacing w:after="0"/>
              <w:ind w:left="18"/>
              <w:rPr>
                <w:b/>
                <w:sz w:val="22"/>
                <w:szCs w:val="22"/>
              </w:rPr>
            </w:pPr>
            <w:r w:rsidRPr="00912643">
              <w:rPr>
                <w:b/>
                <w:sz w:val="22"/>
                <w:szCs w:val="22"/>
              </w:rPr>
              <w:t>Democratic Republic of the Congo</w:t>
            </w:r>
          </w:p>
        </w:tc>
        <w:tc>
          <w:tcPr>
            <w:tcW w:w="740" w:type="dxa"/>
            <w:shd w:val="clear" w:color="auto" w:fill="C9DED4"/>
          </w:tcPr>
          <w:p w14:paraId="679EB3A8" w14:textId="77777777" w:rsidR="00912643" w:rsidRPr="00912643" w:rsidRDefault="00912643" w:rsidP="000514C3">
            <w:pPr>
              <w:tabs>
                <w:tab w:val="left" w:pos="169"/>
              </w:tabs>
              <w:ind w:left="-340"/>
              <w:jc w:val="right"/>
              <w:rPr>
                <w:color w:val="000000"/>
                <w:sz w:val="22"/>
                <w:szCs w:val="22"/>
              </w:rPr>
            </w:pPr>
            <w:r w:rsidRPr="00912643">
              <w:rPr>
                <w:color w:val="000000"/>
                <w:sz w:val="22"/>
                <w:szCs w:val="22"/>
              </w:rPr>
              <w:t>22%</w:t>
            </w:r>
          </w:p>
        </w:tc>
        <w:tc>
          <w:tcPr>
            <w:tcW w:w="740" w:type="dxa"/>
            <w:shd w:val="clear" w:color="auto" w:fill="C9DED4"/>
          </w:tcPr>
          <w:p w14:paraId="4E5F17AF" w14:textId="77777777" w:rsidR="00912643" w:rsidRPr="00912643" w:rsidRDefault="00912643" w:rsidP="000514C3">
            <w:pPr>
              <w:jc w:val="right"/>
              <w:rPr>
                <w:color w:val="000000"/>
                <w:sz w:val="22"/>
                <w:szCs w:val="22"/>
              </w:rPr>
            </w:pPr>
            <w:r w:rsidRPr="00912643">
              <w:rPr>
                <w:color w:val="000000"/>
                <w:sz w:val="22"/>
                <w:szCs w:val="22"/>
              </w:rPr>
              <w:t>27%</w:t>
            </w:r>
          </w:p>
        </w:tc>
        <w:tc>
          <w:tcPr>
            <w:tcW w:w="740" w:type="dxa"/>
            <w:gridSpan w:val="2"/>
            <w:shd w:val="clear" w:color="auto" w:fill="C9DED4"/>
          </w:tcPr>
          <w:p w14:paraId="311C84BE" w14:textId="77777777" w:rsidR="00912643" w:rsidRPr="00912643" w:rsidRDefault="00912643" w:rsidP="000514C3">
            <w:pPr>
              <w:jc w:val="center"/>
              <w:rPr>
                <w:color w:val="000000"/>
                <w:sz w:val="22"/>
                <w:szCs w:val="22"/>
              </w:rPr>
            </w:pPr>
            <w:r w:rsidRPr="00912643">
              <w:rPr>
                <w:color w:val="000000"/>
                <w:sz w:val="22"/>
                <w:szCs w:val="22"/>
              </w:rPr>
              <w:t>16%</w:t>
            </w:r>
          </w:p>
        </w:tc>
        <w:tc>
          <w:tcPr>
            <w:tcW w:w="748" w:type="dxa"/>
            <w:shd w:val="clear" w:color="auto" w:fill="C9DED4"/>
          </w:tcPr>
          <w:p w14:paraId="2E1D43A4" w14:textId="77777777" w:rsidR="00912643" w:rsidRPr="00912643" w:rsidRDefault="00912643" w:rsidP="000514C3">
            <w:pPr>
              <w:jc w:val="right"/>
              <w:rPr>
                <w:color w:val="000000"/>
                <w:sz w:val="22"/>
                <w:szCs w:val="22"/>
              </w:rPr>
            </w:pPr>
            <w:r w:rsidRPr="00912643">
              <w:rPr>
                <w:color w:val="000000"/>
                <w:sz w:val="22"/>
                <w:szCs w:val="22"/>
              </w:rPr>
              <w:t>20%</w:t>
            </w:r>
          </w:p>
        </w:tc>
      </w:tr>
      <w:tr w:rsidR="00912643" w:rsidRPr="00912643" w14:paraId="631604B6" w14:textId="77777777" w:rsidTr="000514C3">
        <w:trPr>
          <w:gridAfter w:val="1"/>
          <w:wAfter w:w="6" w:type="dxa"/>
          <w:trHeight w:val="231"/>
          <w:jc w:val="center"/>
        </w:trPr>
        <w:tc>
          <w:tcPr>
            <w:tcW w:w="3513" w:type="dxa"/>
            <w:shd w:val="clear" w:color="auto" w:fill="auto"/>
            <w:vAlign w:val="center"/>
          </w:tcPr>
          <w:p w14:paraId="52319018" w14:textId="77777777" w:rsidR="00912643" w:rsidRPr="00912643" w:rsidRDefault="00912643" w:rsidP="000514C3">
            <w:pPr>
              <w:pStyle w:val="BodyText"/>
              <w:spacing w:after="0"/>
              <w:ind w:left="18"/>
              <w:rPr>
                <w:b/>
                <w:sz w:val="22"/>
                <w:szCs w:val="22"/>
              </w:rPr>
            </w:pPr>
            <w:r w:rsidRPr="00912643">
              <w:rPr>
                <w:b/>
                <w:sz w:val="22"/>
                <w:szCs w:val="22"/>
              </w:rPr>
              <w:t>Ghana</w:t>
            </w:r>
          </w:p>
        </w:tc>
        <w:tc>
          <w:tcPr>
            <w:tcW w:w="740" w:type="dxa"/>
            <w:shd w:val="clear" w:color="auto" w:fill="auto"/>
          </w:tcPr>
          <w:p w14:paraId="5271CD32" w14:textId="77777777" w:rsidR="00912643" w:rsidRPr="00912643" w:rsidRDefault="00912643" w:rsidP="000514C3">
            <w:pPr>
              <w:tabs>
                <w:tab w:val="left" w:pos="169"/>
              </w:tabs>
              <w:ind w:left="-340"/>
              <w:jc w:val="right"/>
              <w:rPr>
                <w:color w:val="000000"/>
                <w:sz w:val="22"/>
                <w:szCs w:val="22"/>
              </w:rPr>
            </w:pPr>
            <w:r w:rsidRPr="00912643">
              <w:rPr>
                <w:color w:val="000000"/>
                <w:sz w:val="22"/>
                <w:szCs w:val="22"/>
              </w:rPr>
              <w:t>74%</w:t>
            </w:r>
          </w:p>
        </w:tc>
        <w:tc>
          <w:tcPr>
            <w:tcW w:w="740" w:type="dxa"/>
            <w:shd w:val="clear" w:color="auto" w:fill="auto"/>
          </w:tcPr>
          <w:p w14:paraId="72D9E741" w14:textId="77777777" w:rsidR="00912643" w:rsidRPr="00912643" w:rsidRDefault="00912643" w:rsidP="000514C3">
            <w:pPr>
              <w:jc w:val="right"/>
              <w:rPr>
                <w:color w:val="000000"/>
                <w:sz w:val="22"/>
                <w:szCs w:val="22"/>
              </w:rPr>
            </w:pPr>
            <w:r w:rsidRPr="00912643">
              <w:rPr>
                <w:color w:val="000000"/>
                <w:sz w:val="22"/>
                <w:szCs w:val="22"/>
              </w:rPr>
              <w:t>78%</w:t>
            </w:r>
          </w:p>
        </w:tc>
        <w:tc>
          <w:tcPr>
            <w:tcW w:w="740" w:type="dxa"/>
            <w:gridSpan w:val="2"/>
            <w:shd w:val="clear" w:color="auto" w:fill="auto"/>
          </w:tcPr>
          <w:p w14:paraId="2C899EA0" w14:textId="77777777" w:rsidR="00912643" w:rsidRPr="00912643" w:rsidRDefault="00912643" w:rsidP="000514C3">
            <w:pPr>
              <w:jc w:val="center"/>
              <w:rPr>
                <w:color w:val="000000"/>
                <w:sz w:val="22"/>
                <w:szCs w:val="22"/>
              </w:rPr>
            </w:pPr>
            <w:r w:rsidRPr="00912643">
              <w:rPr>
                <w:color w:val="000000"/>
                <w:sz w:val="22"/>
                <w:szCs w:val="22"/>
              </w:rPr>
              <w:t>78%</w:t>
            </w:r>
          </w:p>
        </w:tc>
        <w:tc>
          <w:tcPr>
            <w:tcW w:w="748" w:type="dxa"/>
            <w:shd w:val="clear" w:color="auto" w:fill="auto"/>
          </w:tcPr>
          <w:p w14:paraId="36973D43" w14:textId="77777777" w:rsidR="00912643" w:rsidRPr="00912643" w:rsidRDefault="00912643" w:rsidP="000514C3">
            <w:pPr>
              <w:jc w:val="right"/>
              <w:rPr>
                <w:color w:val="000000"/>
                <w:sz w:val="22"/>
                <w:szCs w:val="22"/>
              </w:rPr>
            </w:pPr>
            <w:r w:rsidRPr="00912643">
              <w:rPr>
                <w:color w:val="000000"/>
                <w:sz w:val="22"/>
                <w:szCs w:val="22"/>
              </w:rPr>
              <w:t>82%</w:t>
            </w:r>
          </w:p>
        </w:tc>
      </w:tr>
      <w:tr w:rsidR="00912643" w:rsidRPr="00912643" w14:paraId="5EB34A2C" w14:textId="77777777" w:rsidTr="000514C3">
        <w:trPr>
          <w:gridAfter w:val="1"/>
          <w:wAfter w:w="6" w:type="dxa"/>
          <w:trHeight w:val="231"/>
          <w:jc w:val="center"/>
        </w:trPr>
        <w:tc>
          <w:tcPr>
            <w:tcW w:w="3513" w:type="dxa"/>
            <w:shd w:val="clear" w:color="auto" w:fill="C9DED4"/>
            <w:vAlign w:val="center"/>
          </w:tcPr>
          <w:p w14:paraId="5EBF9DFF" w14:textId="77777777" w:rsidR="00912643" w:rsidRPr="00912643" w:rsidRDefault="00912643" w:rsidP="000514C3">
            <w:pPr>
              <w:pStyle w:val="BodyText"/>
              <w:spacing w:after="0"/>
              <w:ind w:left="18"/>
              <w:rPr>
                <w:b/>
                <w:sz w:val="22"/>
                <w:szCs w:val="22"/>
              </w:rPr>
            </w:pPr>
            <w:r w:rsidRPr="00912643">
              <w:rPr>
                <w:b/>
                <w:sz w:val="22"/>
                <w:szCs w:val="22"/>
              </w:rPr>
              <w:t>Kenya*</w:t>
            </w:r>
          </w:p>
        </w:tc>
        <w:tc>
          <w:tcPr>
            <w:tcW w:w="740" w:type="dxa"/>
            <w:shd w:val="clear" w:color="auto" w:fill="C9DED4"/>
          </w:tcPr>
          <w:p w14:paraId="781D1E58" w14:textId="77777777" w:rsidR="00912643" w:rsidRPr="00912643" w:rsidRDefault="00912643" w:rsidP="000514C3">
            <w:pPr>
              <w:tabs>
                <w:tab w:val="left" w:pos="169"/>
              </w:tabs>
              <w:ind w:left="-340"/>
              <w:jc w:val="right"/>
              <w:rPr>
                <w:color w:val="000000"/>
                <w:sz w:val="22"/>
                <w:szCs w:val="22"/>
              </w:rPr>
            </w:pPr>
            <w:r w:rsidRPr="00912643">
              <w:rPr>
                <w:color w:val="000000"/>
                <w:sz w:val="22"/>
                <w:szCs w:val="22"/>
              </w:rPr>
              <w:t>39%</w:t>
            </w:r>
          </w:p>
        </w:tc>
        <w:tc>
          <w:tcPr>
            <w:tcW w:w="740" w:type="dxa"/>
            <w:shd w:val="clear" w:color="auto" w:fill="C9DED4"/>
          </w:tcPr>
          <w:p w14:paraId="10220697" w14:textId="77777777" w:rsidR="00912643" w:rsidRPr="00912643" w:rsidRDefault="00912643" w:rsidP="000514C3">
            <w:pPr>
              <w:jc w:val="right"/>
              <w:rPr>
                <w:color w:val="000000"/>
                <w:sz w:val="22"/>
                <w:szCs w:val="22"/>
              </w:rPr>
            </w:pPr>
            <w:r w:rsidRPr="00912643">
              <w:rPr>
                <w:color w:val="000000"/>
                <w:sz w:val="22"/>
                <w:szCs w:val="22"/>
              </w:rPr>
              <w:t>49%</w:t>
            </w:r>
          </w:p>
        </w:tc>
        <w:tc>
          <w:tcPr>
            <w:tcW w:w="740" w:type="dxa"/>
            <w:gridSpan w:val="2"/>
            <w:shd w:val="clear" w:color="auto" w:fill="C9DED4"/>
          </w:tcPr>
          <w:p w14:paraId="046382A3" w14:textId="77777777" w:rsidR="00912643" w:rsidRPr="00912643" w:rsidRDefault="00912643" w:rsidP="000514C3">
            <w:pPr>
              <w:jc w:val="center"/>
              <w:rPr>
                <w:color w:val="000000"/>
                <w:sz w:val="22"/>
                <w:szCs w:val="22"/>
              </w:rPr>
            </w:pPr>
            <w:r w:rsidRPr="00912643">
              <w:rPr>
                <w:color w:val="000000"/>
                <w:sz w:val="22"/>
                <w:szCs w:val="22"/>
              </w:rPr>
              <w:t>39%</w:t>
            </w:r>
          </w:p>
        </w:tc>
        <w:tc>
          <w:tcPr>
            <w:tcW w:w="748" w:type="dxa"/>
            <w:shd w:val="clear" w:color="auto" w:fill="C9DED4"/>
          </w:tcPr>
          <w:p w14:paraId="78974808" w14:textId="77777777" w:rsidR="00912643" w:rsidRPr="00912643" w:rsidRDefault="00912643" w:rsidP="000514C3">
            <w:pPr>
              <w:jc w:val="right"/>
              <w:rPr>
                <w:color w:val="000000"/>
                <w:sz w:val="22"/>
                <w:szCs w:val="22"/>
              </w:rPr>
            </w:pPr>
            <w:r w:rsidRPr="00912643">
              <w:rPr>
                <w:color w:val="000000"/>
                <w:sz w:val="22"/>
                <w:szCs w:val="22"/>
              </w:rPr>
              <w:t>49%</w:t>
            </w:r>
          </w:p>
        </w:tc>
      </w:tr>
      <w:tr w:rsidR="00912643" w:rsidRPr="00912643" w14:paraId="6AFE4DFA" w14:textId="77777777" w:rsidTr="000514C3">
        <w:trPr>
          <w:gridAfter w:val="1"/>
          <w:wAfter w:w="6" w:type="dxa"/>
          <w:trHeight w:val="231"/>
          <w:jc w:val="center"/>
        </w:trPr>
        <w:tc>
          <w:tcPr>
            <w:tcW w:w="3513" w:type="dxa"/>
            <w:shd w:val="clear" w:color="auto" w:fill="auto"/>
            <w:vAlign w:val="center"/>
          </w:tcPr>
          <w:p w14:paraId="1F317026" w14:textId="77777777" w:rsidR="00912643" w:rsidRPr="00912643" w:rsidRDefault="00912643" w:rsidP="000514C3">
            <w:pPr>
              <w:pStyle w:val="BodyText"/>
              <w:spacing w:after="0"/>
              <w:ind w:left="18"/>
              <w:rPr>
                <w:b/>
                <w:sz w:val="22"/>
                <w:szCs w:val="22"/>
              </w:rPr>
            </w:pPr>
            <w:r w:rsidRPr="00912643">
              <w:rPr>
                <w:b/>
                <w:sz w:val="22"/>
                <w:szCs w:val="22"/>
              </w:rPr>
              <w:t>Mozambique</w:t>
            </w:r>
          </w:p>
        </w:tc>
        <w:tc>
          <w:tcPr>
            <w:tcW w:w="740" w:type="dxa"/>
            <w:shd w:val="clear" w:color="auto" w:fill="auto"/>
          </w:tcPr>
          <w:p w14:paraId="46A82670" w14:textId="77777777" w:rsidR="00912643" w:rsidRPr="00912643" w:rsidRDefault="00912643" w:rsidP="000514C3">
            <w:pPr>
              <w:tabs>
                <w:tab w:val="left" w:pos="169"/>
              </w:tabs>
              <w:ind w:left="-340"/>
              <w:jc w:val="right"/>
              <w:rPr>
                <w:color w:val="000000"/>
                <w:sz w:val="22"/>
                <w:szCs w:val="22"/>
              </w:rPr>
            </w:pPr>
            <w:r w:rsidRPr="00912643">
              <w:rPr>
                <w:color w:val="000000"/>
                <w:sz w:val="22"/>
                <w:szCs w:val="22"/>
              </w:rPr>
              <w:t>20%</w:t>
            </w:r>
          </w:p>
        </w:tc>
        <w:tc>
          <w:tcPr>
            <w:tcW w:w="740" w:type="dxa"/>
            <w:shd w:val="clear" w:color="auto" w:fill="auto"/>
          </w:tcPr>
          <w:p w14:paraId="3BD77F37" w14:textId="77777777" w:rsidR="00912643" w:rsidRPr="00912643" w:rsidRDefault="00912643" w:rsidP="000514C3">
            <w:pPr>
              <w:jc w:val="right"/>
              <w:rPr>
                <w:color w:val="000000"/>
                <w:sz w:val="22"/>
                <w:szCs w:val="22"/>
              </w:rPr>
            </w:pPr>
            <w:r w:rsidRPr="00912643">
              <w:rPr>
                <w:color w:val="000000"/>
                <w:sz w:val="22"/>
                <w:szCs w:val="22"/>
              </w:rPr>
              <w:t>26%</w:t>
            </w:r>
          </w:p>
        </w:tc>
        <w:tc>
          <w:tcPr>
            <w:tcW w:w="740" w:type="dxa"/>
            <w:gridSpan w:val="2"/>
            <w:shd w:val="clear" w:color="auto" w:fill="auto"/>
          </w:tcPr>
          <w:p w14:paraId="5538235E" w14:textId="77777777" w:rsidR="00912643" w:rsidRPr="00912643" w:rsidRDefault="00912643" w:rsidP="000514C3">
            <w:pPr>
              <w:jc w:val="center"/>
              <w:rPr>
                <w:color w:val="000000"/>
                <w:sz w:val="22"/>
                <w:szCs w:val="22"/>
              </w:rPr>
            </w:pPr>
            <w:r w:rsidRPr="00912643">
              <w:rPr>
                <w:color w:val="000000"/>
                <w:sz w:val="22"/>
                <w:szCs w:val="22"/>
              </w:rPr>
              <w:t>20%</w:t>
            </w:r>
          </w:p>
        </w:tc>
        <w:tc>
          <w:tcPr>
            <w:tcW w:w="748" w:type="dxa"/>
            <w:shd w:val="clear" w:color="auto" w:fill="auto"/>
          </w:tcPr>
          <w:p w14:paraId="65B1A470" w14:textId="77777777" w:rsidR="00912643" w:rsidRPr="00912643" w:rsidRDefault="00912643" w:rsidP="000514C3">
            <w:pPr>
              <w:jc w:val="right"/>
              <w:rPr>
                <w:color w:val="000000"/>
                <w:sz w:val="22"/>
                <w:szCs w:val="22"/>
              </w:rPr>
            </w:pPr>
            <w:r w:rsidRPr="00912643">
              <w:rPr>
                <w:color w:val="000000"/>
                <w:sz w:val="22"/>
                <w:szCs w:val="22"/>
              </w:rPr>
              <w:t>26%</w:t>
            </w:r>
          </w:p>
        </w:tc>
      </w:tr>
      <w:tr w:rsidR="00912643" w:rsidRPr="00912643" w14:paraId="1616D325" w14:textId="77777777" w:rsidTr="000514C3">
        <w:trPr>
          <w:gridAfter w:val="1"/>
          <w:wAfter w:w="6" w:type="dxa"/>
          <w:trHeight w:val="231"/>
          <w:jc w:val="center"/>
        </w:trPr>
        <w:tc>
          <w:tcPr>
            <w:tcW w:w="3513" w:type="dxa"/>
            <w:shd w:val="clear" w:color="auto" w:fill="C9DED4"/>
            <w:vAlign w:val="center"/>
          </w:tcPr>
          <w:p w14:paraId="3902623D" w14:textId="77777777" w:rsidR="00912643" w:rsidRPr="00912643" w:rsidRDefault="00912643" w:rsidP="000514C3">
            <w:pPr>
              <w:pStyle w:val="BodyText"/>
              <w:spacing w:after="0"/>
              <w:ind w:left="18"/>
              <w:rPr>
                <w:b/>
                <w:sz w:val="22"/>
                <w:szCs w:val="22"/>
              </w:rPr>
            </w:pPr>
            <w:r w:rsidRPr="00912643">
              <w:rPr>
                <w:b/>
                <w:sz w:val="22"/>
                <w:szCs w:val="22"/>
              </w:rPr>
              <w:t>Senegal</w:t>
            </w:r>
          </w:p>
        </w:tc>
        <w:tc>
          <w:tcPr>
            <w:tcW w:w="740" w:type="dxa"/>
            <w:shd w:val="clear" w:color="auto" w:fill="C9DED4"/>
          </w:tcPr>
          <w:p w14:paraId="2B7F7FB9" w14:textId="77777777" w:rsidR="00912643" w:rsidRPr="00912643" w:rsidRDefault="00912643" w:rsidP="000514C3">
            <w:pPr>
              <w:tabs>
                <w:tab w:val="left" w:pos="169"/>
              </w:tabs>
              <w:ind w:left="-340"/>
              <w:jc w:val="right"/>
              <w:rPr>
                <w:color w:val="000000"/>
                <w:sz w:val="22"/>
                <w:szCs w:val="22"/>
              </w:rPr>
            </w:pPr>
            <w:r w:rsidRPr="00912643">
              <w:rPr>
                <w:color w:val="000000"/>
                <w:sz w:val="22"/>
                <w:szCs w:val="22"/>
              </w:rPr>
              <w:t>12%</w:t>
            </w:r>
          </w:p>
        </w:tc>
        <w:tc>
          <w:tcPr>
            <w:tcW w:w="740" w:type="dxa"/>
            <w:shd w:val="clear" w:color="auto" w:fill="C9DED4"/>
          </w:tcPr>
          <w:p w14:paraId="5553B393" w14:textId="77777777" w:rsidR="00912643" w:rsidRPr="00912643" w:rsidRDefault="00912643" w:rsidP="000514C3">
            <w:pPr>
              <w:jc w:val="right"/>
              <w:rPr>
                <w:color w:val="000000"/>
                <w:sz w:val="22"/>
                <w:szCs w:val="22"/>
              </w:rPr>
            </w:pPr>
            <w:r w:rsidRPr="00912643">
              <w:rPr>
                <w:color w:val="000000"/>
                <w:sz w:val="22"/>
                <w:szCs w:val="22"/>
              </w:rPr>
              <w:t>16%</w:t>
            </w:r>
          </w:p>
        </w:tc>
        <w:tc>
          <w:tcPr>
            <w:tcW w:w="740" w:type="dxa"/>
            <w:gridSpan w:val="2"/>
            <w:shd w:val="clear" w:color="auto" w:fill="C9DED4"/>
          </w:tcPr>
          <w:p w14:paraId="071CE04E" w14:textId="77777777" w:rsidR="00912643" w:rsidRPr="00912643" w:rsidRDefault="00912643" w:rsidP="000514C3">
            <w:pPr>
              <w:jc w:val="center"/>
              <w:rPr>
                <w:color w:val="000000"/>
                <w:sz w:val="22"/>
                <w:szCs w:val="22"/>
              </w:rPr>
            </w:pPr>
            <w:r w:rsidRPr="00912643">
              <w:rPr>
                <w:color w:val="000000"/>
                <w:sz w:val="22"/>
                <w:szCs w:val="22"/>
              </w:rPr>
              <w:t>12%</w:t>
            </w:r>
          </w:p>
        </w:tc>
        <w:tc>
          <w:tcPr>
            <w:tcW w:w="748" w:type="dxa"/>
            <w:shd w:val="clear" w:color="auto" w:fill="C9DED4"/>
          </w:tcPr>
          <w:p w14:paraId="79D5B1E7" w14:textId="77777777" w:rsidR="00912643" w:rsidRPr="00912643" w:rsidRDefault="00912643" w:rsidP="000514C3">
            <w:pPr>
              <w:jc w:val="right"/>
              <w:rPr>
                <w:color w:val="000000"/>
                <w:sz w:val="22"/>
                <w:szCs w:val="22"/>
              </w:rPr>
            </w:pPr>
            <w:r w:rsidRPr="00912643">
              <w:rPr>
                <w:color w:val="000000"/>
                <w:sz w:val="22"/>
                <w:szCs w:val="22"/>
              </w:rPr>
              <w:t>16%</w:t>
            </w:r>
          </w:p>
        </w:tc>
      </w:tr>
      <w:tr w:rsidR="00912643" w:rsidRPr="00912643" w14:paraId="3CAA3FD4" w14:textId="77777777" w:rsidTr="000514C3">
        <w:trPr>
          <w:gridAfter w:val="1"/>
          <w:wAfter w:w="6" w:type="dxa"/>
          <w:trHeight w:val="231"/>
          <w:jc w:val="center"/>
        </w:trPr>
        <w:tc>
          <w:tcPr>
            <w:tcW w:w="3513" w:type="dxa"/>
            <w:shd w:val="clear" w:color="auto" w:fill="auto"/>
            <w:vAlign w:val="center"/>
          </w:tcPr>
          <w:p w14:paraId="04AEFF66" w14:textId="77777777" w:rsidR="00912643" w:rsidRPr="00912643" w:rsidRDefault="00912643" w:rsidP="000514C3">
            <w:pPr>
              <w:pStyle w:val="BodyText"/>
              <w:spacing w:after="0"/>
              <w:ind w:left="18"/>
              <w:rPr>
                <w:b/>
                <w:sz w:val="22"/>
                <w:szCs w:val="22"/>
              </w:rPr>
            </w:pPr>
            <w:r w:rsidRPr="00912643">
              <w:rPr>
                <w:b/>
                <w:sz w:val="22"/>
                <w:szCs w:val="22"/>
              </w:rPr>
              <w:t>Sudan</w:t>
            </w:r>
          </w:p>
        </w:tc>
        <w:tc>
          <w:tcPr>
            <w:tcW w:w="740" w:type="dxa"/>
            <w:shd w:val="clear" w:color="auto" w:fill="auto"/>
          </w:tcPr>
          <w:p w14:paraId="48888E12" w14:textId="77777777" w:rsidR="00912643" w:rsidRPr="00912643" w:rsidRDefault="00912643" w:rsidP="000514C3">
            <w:pPr>
              <w:tabs>
                <w:tab w:val="left" w:pos="169"/>
              </w:tabs>
              <w:ind w:left="-340"/>
              <w:jc w:val="right"/>
              <w:rPr>
                <w:color w:val="000000"/>
                <w:sz w:val="22"/>
                <w:szCs w:val="22"/>
              </w:rPr>
            </w:pPr>
            <w:r w:rsidRPr="00912643">
              <w:rPr>
                <w:color w:val="000000"/>
                <w:sz w:val="22"/>
                <w:szCs w:val="22"/>
              </w:rPr>
              <w:t>9%</w:t>
            </w:r>
          </w:p>
        </w:tc>
        <w:tc>
          <w:tcPr>
            <w:tcW w:w="740" w:type="dxa"/>
            <w:shd w:val="clear" w:color="auto" w:fill="auto"/>
          </w:tcPr>
          <w:p w14:paraId="39BF3436" w14:textId="77777777" w:rsidR="00912643" w:rsidRPr="00912643" w:rsidRDefault="00912643" w:rsidP="000514C3">
            <w:pPr>
              <w:jc w:val="right"/>
              <w:rPr>
                <w:color w:val="000000"/>
                <w:sz w:val="22"/>
                <w:szCs w:val="22"/>
              </w:rPr>
            </w:pPr>
            <w:r w:rsidRPr="00912643">
              <w:rPr>
                <w:color w:val="000000"/>
                <w:sz w:val="22"/>
                <w:szCs w:val="22"/>
              </w:rPr>
              <w:t>14%</w:t>
            </w:r>
          </w:p>
        </w:tc>
        <w:tc>
          <w:tcPr>
            <w:tcW w:w="740" w:type="dxa"/>
            <w:gridSpan w:val="2"/>
            <w:shd w:val="clear" w:color="auto" w:fill="auto"/>
          </w:tcPr>
          <w:p w14:paraId="7742D621" w14:textId="77777777" w:rsidR="00912643" w:rsidRPr="00912643" w:rsidRDefault="00912643" w:rsidP="000514C3">
            <w:pPr>
              <w:jc w:val="center"/>
              <w:rPr>
                <w:color w:val="000000"/>
                <w:sz w:val="22"/>
                <w:szCs w:val="22"/>
              </w:rPr>
            </w:pPr>
            <w:r w:rsidRPr="00912643">
              <w:rPr>
                <w:color w:val="000000"/>
                <w:sz w:val="22"/>
                <w:szCs w:val="22"/>
              </w:rPr>
              <w:t>15%</w:t>
            </w:r>
          </w:p>
        </w:tc>
        <w:tc>
          <w:tcPr>
            <w:tcW w:w="748" w:type="dxa"/>
            <w:shd w:val="clear" w:color="auto" w:fill="auto"/>
          </w:tcPr>
          <w:p w14:paraId="5A1D9A03" w14:textId="77777777" w:rsidR="00912643" w:rsidRPr="00912643" w:rsidRDefault="00912643" w:rsidP="000514C3">
            <w:pPr>
              <w:jc w:val="right"/>
              <w:rPr>
                <w:color w:val="000000"/>
                <w:sz w:val="22"/>
                <w:szCs w:val="22"/>
              </w:rPr>
            </w:pPr>
            <w:r w:rsidRPr="00912643">
              <w:rPr>
                <w:color w:val="000000"/>
                <w:sz w:val="22"/>
                <w:szCs w:val="22"/>
              </w:rPr>
              <w:t>19%</w:t>
            </w:r>
          </w:p>
        </w:tc>
      </w:tr>
      <w:tr w:rsidR="00912643" w:rsidRPr="00912643" w14:paraId="0A338F58" w14:textId="77777777" w:rsidTr="000514C3">
        <w:trPr>
          <w:gridAfter w:val="1"/>
          <w:wAfter w:w="6" w:type="dxa"/>
          <w:trHeight w:val="231"/>
          <w:jc w:val="center"/>
        </w:trPr>
        <w:tc>
          <w:tcPr>
            <w:tcW w:w="3513" w:type="dxa"/>
            <w:shd w:val="clear" w:color="auto" w:fill="C9DED4"/>
            <w:vAlign w:val="center"/>
          </w:tcPr>
          <w:p w14:paraId="6A5F8094" w14:textId="77777777" w:rsidR="00912643" w:rsidRPr="00912643" w:rsidRDefault="00912643" w:rsidP="000514C3">
            <w:pPr>
              <w:pStyle w:val="BodyText"/>
              <w:spacing w:after="0"/>
              <w:ind w:left="18"/>
              <w:rPr>
                <w:b/>
                <w:sz w:val="22"/>
                <w:szCs w:val="22"/>
              </w:rPr>
            </w:pPr>
            <w:r w:rsidRPr="00912643">
              <w:rPr>
                <w:b/>
                <w:sz w:val="22"/>
                <w:szCs w:val="22"/>
              </w:rPr>
              <w:t>Tanzania</w:t>
            </w:r>
          </w:p>
        </w:tc>
        <w:tc>
          <w:tcPr>
            <w:tcW w:w="740" w:type="dxa"/>
            <w:shd w:val="clear" w:color="auto" w:fill="C9DED4"/>
          </w:tcPr>
          <w:p w14:paraId="6CD4A26D" w14:textId="77777777" w:rsidR="00912643" w:rsidRPr="00912643" w:rsidRDefault="00912643" w:rsidP="000514C3">
            <w:pPr>
              <w:tabs>
                <w:tab w:val="left" w:pos="169"/>
              </w:tabs>
              <w:ind w:left="-340"/>
              <w:jc w:val="right"/>
              <w:rPr>
                <w:color w:val="000000"/>
                <w:sz w:val="22"/>
                <w:szCs w:val="22"/>
              </w:rPr>
            </w:pPr>
            <w:r w:rsidRPr="00912643">
              <w:rPr>
                <w:color w:val="000000"/>
                <w:sz w:val="22"/>
                <w:szCs w:val="22"/>
              </w:rPr>
              <w:t>25%</w:t>
            </w:r>
          </w:p>
        </w:tc>
        <w:tc>
          <w:tcPr>
            <w:tcW w:w="740" w:type="dxa"/>
            <w:shd w:val="clear" w:color="auto" w:fill="C9DED4"/>
          </w:tcPr>
          <w:p w14:paraId="346828AF" w14:textId="77777777" w:rsidR="00912643" w:rsidRPr="00912643" w:rsidRDefault="00912643" w:rsidP="000514C3">
            <w:pPr>
              <w:jc w:val="right"/>
              <w:rPr>
                <w:color w:val="000000"/>
                <w:sz w:val="22"/>
                <w:szCs w:val="22"/>
              </w:rPr>
            </w:pPr>
            <w:r w:rsidRPr="00912643">
              <w:rPr>
                <w:color w:val="000000"/>
                <w:sz w:val="22"/>
                <w:szCs w:val="22"/>
              </w:rPr>
              <w:t>35%</w:t>
            </w:r>
          </w:p>
        </w:tc>
        <w:tc>
          <w:tcPr>
            <w:tcW w:w="740" w:type="dxa"/>
            <w:gridSpan w:val="2"/>
            <w:shd w:val="clear" w:color="auto" w:fill="C9DED4"/>
          </w:tcPr>
          <w:p w14:paraId="1AED896F" w14:textId="77777777" w:rsidR="00912643" w:rsidRPr="00912643" w:rsidRDefault="00912643" w:rsidP="000514C3">
            <w:pPr>
              <w:jc w:val="center"/>
              <w:rPr>
                <w:color w:val="000000"/>
                <w:sz w:val="22"/>
                <w:szCs w:val="22"/>
              </w:rPr>
            </w:pPr>
            <w:r w:rsidRPr="00912643">
              <w:rPr>
                <w:color w:val="000000"/>
                <w:sz w:val="22"/>
                <w:szCs w:val="22"/>
              </w:rPr>
              <w:t>10%</w:t>
            </w:r>
          </w:p>
        </w:tc>
        <w:tc>
          <w:tcPr>
            <w:tcW w:w="748" w:type="dxa"/>
            <w:shd w:val="clear" w:color="auto" w:fill="C9DED4"/>
          </w:tcPr>
          <w:p w14:paraId="25BE2238" w14:textId="77777777" w:rsidR="00912643" w:rsidRPr="00912643" w:rsidRDefault="00912643" w:rsidP="000514C3">
            <w:pPr>
              <w:jc w:val="right"/>
              <w:rPr>
                <w:color w:val="000000"/>
                <w:sz w:val="22"/>
                <w:szCs w:val="22"/>
              </w:rPr>
            </w:pPr>
            <w:r w:rsidRPr="00912643">
              <w:rPr>
                <w:color w:val="000000"/>
                <w:sz w:val="22"/>
                <w:szCs w:val="22"/>
              </w:rPr>
              <w:t>13%</w:t>
            </w:r>
          </w:p>
        </w:tc>
      </w:tr>
      <w:tr w:rsidR="00912643" w:rsidRPr="00912643" w14:paraId="62AF928D" w14:textId="77777777" w:rsidTr="000514C3">
        <w:trPr>
          <w:gridAfter w:val="1"/>
          <w:wAfter w:w="6" w:type="dxa"/>
          <w:trHeight w:val="231"/>
          <w:jc w:val="center"/>
        </w:trPr>
        <w:tc>
          <w:tcPr>
            <w:tcW w:w="3513" w:type="dxa"/>
            <w:shd w:val="clear" w:color="auto" w:fill="auto"/>
            <w:vAlign w:val="center"/>
          </w:tcPr>
          <w:p w14:paraId="770EE401" w14:textId="77777777" w:rsidR="00912643" w:rsidRPr="00912643" w:rsidRDefault="00912643" w:rsidP="000514C3">
            <w:pPr>
              <w:pStyle w:val="BodyText"/>
              <w:spacing w:after="0"/>
              <w:ind w:left="18"/>
              <w:rPr>
                <w:b/>
                <w:sz w:val="22"/>
                <w:szCs w:val="22"/>
              </w:rPr>
            </w:pPr>
            <w:r w:rsidRPr="00912643">
              <w:rPr>
                <w:b/>
                <w:sz w:val="22"/>
                <w:szCs w:val="22"/>
              </w:rPr>
              <w:t>Uganda</w:t>
            </w:r>
          </w:p>
        </w:tc>
        <w:tc>
          <w:tcPr>
            <w:tcW w:w="740" w:type="dxa"/>
            <w:shd w:val="clear" w:color="auto" w:fill="auto"/>
          </w:tcPr>
          <w:p w14:paraId="114DEDAE" w14:textId="77777777" w:rsidR="00912643" w:rsidRPr="00912643" w:rsidRDefault="00912643" w:rsidP="000514C3">
            <w:pPr>
              <w:tabs>
                <w:tab w:val="left" w:pos="169"/>
              </w:tabs>
              <w:ind w:left="-340"/>
              <w:jc w:val="right"/>
              <w:rPr>
                <w:color w:val="000000"/>
                <w:sz w:val="22"/>
                <w:szCs w:val="22"/>
              </w:rPr>
            </w:pPr>
            <w:r w:rsidRPr="00912643">
              <w:rPr>
                <w:color w:val="000000"/>
                <w:sz w:val="22"/>
                <w:szCs w:val="22"/>
              </w:rPr>
              <w:t>16%</w:t>
            </w:r>
          </w:p>
        </w:tc>
        <w:tc>
          <w:tcPr>
            <w:tcW w:w="740" w:type="dxa"/>
            <w:shd w:val="clear" w:color="auto" w:fill="auto"/>
          </w:tcPr>
          <w:p w14:paraId="75A3F4AA" w14:textId="77777777" w:rsidR="00912643" w:rsidRPr="00912643" w:rsidRDefault="00912643" w:rsidP="000514C3">
            <w:pPr>
              <w:jc w:val="right"/>
              <w:rPr>
                <w:color w:val="000000"/>
                <w:sz w:val="22"/>
                <w:szCs w:val="22"/>
              </w:rPr>
            </w:pPr>
            <w:r w:rsidRPr="00912643">
              <w:rPr>
                <w:color w:val="000000"/>
                <w:sz w:val="22"/>
                <w:szCs w:val="22"/>
              </w:rPr>
              <w:t>18%</w:t>
            </w:r>
          </w:p>
        </w:tc>
        <w:tc>
          <w:tcPr>
            <w:tcW w:w="740" w:type="dxa"/>
            <w:gridSpan w:val="2"/>
            <w:shd w:val="clear" w:color="auto" w:fill="auto"/>
          </w:tcPr>
          <w:p w14:paraId="2DEE1066" w14:textId="77777777" w:rsidR="00912643" w:rsidRPr="00912643" w:rsidRDefault="00912643" w:rsidP="000514C3">
            <w:pPr>
              <w:jc w:val="center"/>
              <w:rPr>
                <w:color w:val="000000"/>
                <w:sz w:val="22"/>
                <w:szCs w:val="22"/>
              </w:rPr>
            </w:pPr>
            <w:r w:rsidRPr="00912643">
              <w:rPr>
                <w:color w:val="000000"/>
                <w:sz w:val="22"/>
                <w:szCs w:val="22"/>
              </w:rPr>
              <w:t>14%</w:t>
            </w:r>
          </w:p>
        </w:tc>
        <w:tc>
          <w:tcPr>
            <w:tcW w:w="748" w:type="dxa"/>
            <w:shd w:val="clear" w:color="auto" w:fill="auto"/>
          </w:tcPr>
          <w:p w14:paraId="20F7EF99" w14:textId="77777777" w:rsidR="00912643" w:rsidRPr="00912643" w:rsidRDefault="00912643" w:rsidP="000514C3">
            <w:pPr>
              <w:jc w:val="right"/>
              <w:rPr>
                <w:color w:val="000000"/>
                <w:sz w:val="22"/>
                <w:szCs w:val="22"/>
              </w:rPr>
            </w:pPr>
            <w:r w:rsidRPr="00912643">
              <w:rPr>
                <w:color w:val="000000"/>
                <w:sz w:val="22"/>
                <w:szCs w:val="22"/>
              </w:rPr>
              <w:t>16%</w:t>
            </w:r>
          </w:p>
        </w:tc>
      </w:tr>
      <w:tr w:rsidR="00912643" w:rsidRPr="00912643" w14:paraId="4B0FCC51" w14:textId="77777777" w:rsidTr="000514C3">
        <w:trPr>
          <w:gridAfter w:val="1"/>
          <w:wAfter w:w="6" w:type="dxa"/>
          <w:trHeight w:val="231"/>
          <w:jc w:val="center"/>
        </w:trPr>
        <w:tc>
          <w:tcPr>
            <w:tcW w:w="3513" w:type="dxa"/>
            <w:shd w:val="clear" w:color="auto" w:fill="C9DED4"/>
            <w:vAlign w:val="center"/>
          </w:tcPr>
          <w:p w14:paraId="0496207D" w14:textId="77777777" w:rsidR="00912643" w:rsidRPr="00912643" w:rsidRDefault="00912643" w:rsidP="000514C3">
            <w:pPr>
              <w:pStyle w:val="BodyText"/>
              <w:spacing w:after="0"/>
              <w:ind w:left="18"/>
              <w:rPr>
                <w:b/>
                <w:sz w:val="22"/>
                <w:szCs w:val="22"/>
              </w:rPr>
            </w:pPr>
            <w:r w:rsidRPr="00912643">
              <w:rPr>
                <w:b/>
                <w:sz w:val="22"/>
                <w:szCs w:val="22"/>
              </w:rPr>
              <w:t>Zambia</w:t>
            </w:r>
          </w:p>
        </w:tc>
        <w:tc>
          <w:tcPr>
            <w:tcW w:w="740" w:type="dxa"/>
            <w:shd w:val="clear" w:color="auto" w:fill="C9DED4"/>
          </w:tcPr>
          <w:p w14:paraId="0E691928" w14:textId="77777777" w:rsidR="00912643" w:rsidRPr="00912643" w:rsidRDefault="00912643" w:rsidP="000514C3">
            <w:pPr>
              <w:tabs>
                <w:tab w:val="left" w:pos="169"/>
              </w:tabs>
              <w:ind w:left="-340"/>
              <w:jc w:val="right"/>
              <w:rPr>
                <w:color w:val="000000"/>
                <w:sz w:val="22"/>
                <w:szCs w:val="22"/>
              </w:rPr>
            </w:pPr>
            <w:r w:rsidRPr="00912643">
              <w:rPr>
                <w:color w:val="000000"/>
                <w:sz w:val="22"/>
                <w:szCs w:val="22"/>
              </w:rPr>
              <w:t>13%</w:t>
            </w:r>
          </w:p>
        </w:tc>
        <w:tc>
          <w:tcPr>
            <w:tcW w:w="740" w:type="dxa"/>
            <w:shd w:val="clear" w:color="auto" w:fill="C9DED4"/>
          </w:tcPr>
          <w:p w14:paraId="70F6BA6B" w14:textId="77777777" w:rsidR="00912643" w:rsidRPr="00912643" w:rsidRDefault="00912643" w:rsidP="000514C3">
            <w:pPr>
              <w:jc w:val="right"/>
              <w:rPr>
                <w:color w:val="000000"/>
                <w:sz w:val="22"/>
                <w:szCs w:val="22"/>
              </w:rPr>
            </w:pPr>
            <w:r w:rsidRPr="00912643">
              <w:rPr>
                <w:color w:val="000000"/>
                <w:sz w:val="22"/>
                <w:szCs w:val="22"/>
              </w:rPr>
              <w:t>20%</w:t>
            </w:r>
          </w:p>
        </w:tc>
        <w:tc>
          <w:tcPr>
            <w:tcW w:w="740" w:type="dxa"/>
            <w:gridSpan w:val="2"/>
            <w:shd w:val="clear" w:color="auto" w:fill="C9DED4"/>
          </w:tcPr>
          <w:p w14:paraId="445A7F20" w14:textId="77777777" w:rsidR="00912643" w:rsidRPr="00912643" w:rsidRDefault="00912643" w:rsidP="000514C3">
            <w:pPr>
              <w:jc w:val="center"/>
              <w:rPr>
                <w:color w:val="000000"/>
                <w:sz w:val="22"/>
                <w:szCs w:val="22"/>
              </w:rPr>
            </w:pPr>
            <w:r w:rsidRPr="00912643">
              <w:rPr>
                <w:color w:val="000000"/>
                <w:sz w:val="22"/>
                <w:szCs w:val="22"/>
              </w:rPr>
              <w:t>13%</w:t>
            </w:r>
          </w:p>
        </w:tc>
        <w:tc>
          <w:tcPr>
            <w:tcW w:w="748" w:type="dxa"/>
            <w:shd w:val="clear" w:color="auto" w:fill="C9DED4"/>
          </w:tcPr>
          <w:p w14:paraId="5ECBC9F6" w14:textId="77777777" w:rsidR="00912643" w:rsidRPr="00912643" w:rsidRDefault="00912643" w:rsidP="000514C3">
            <w:pPr>
              <w:jc w:val="right"/>
              <w:rPr>
                <w:color w:val="000000"/>
                <w:sz w:val="22"/>
                <w:szCs w:val="22"/>
              </w:rPr>
            </w:pPr>
            <w:r w:rsidRPr="00912643">
              <w:rPr>
                <w:color w:val="000000"/>
                <w:sz w:val="22"/>
                <w:szCs w:val="22"/>
              </w:rPr>
              <w:t>20%</w:t>
            </w:r>
          </w:p>
        </w:tc>
      </w:tr>
    </w:tbl>
    <w:p w14:paraId="381E131F" w14:textId="77777777" w:rsidR="00912643" w:rsidRPr="00CA53DE" w:rsidRDefault="00912643" w:rsidP="00912643">
      <w:pPr>
        <w:jc w:val="both"/>
        <w:rPr>
          <w:rStyle w:val="Emphasis"/>
        </w:rPr>
      </w:pPr>
      <w:r w:rsidRPr="00CA53DE">
        <w:rPr>
          <w:rStyle w:val="Emphasis"/>
        </w:rPr>
        <w:t xml:space="preserve">Source: Improving the Availability of Trade Finance in Emerging Markets: An Assessment of Remaining Gaps, </w:t>
      </w:r>
      <w:proofErr w:type="spellStart"/>
      <w:r w:rsidRPr="00CA53DE">
        <w:rPr>
          <w:rStyle w:val="Emphasis"/>
        </w:rPr>
        <w:t>Auboin</w:t>
      </w:r>
      <w:proofErr w:type="spellEnd"/>
      <w:r w:rsidRPr="00CA53DE">
        <w:rPr>
          <w:rStyle w:val="Emphasis"/>
        </w:rPr>
        <w:t>, WTO, 2015</w:t>
      </w:r>
      <w:r w:rsidR="00575733" w:rsidRPr="00CA53DE">
        <w:rPr>
          <w:rStyle w:val="Emphasis"/>
        </w:rPr>
        <w:t xml:space="preserve"> (Data from Omni </w:t>
      </w:r>
      <w:proofErr w:type="spellStart"/>
      <w:r w:rsidR="00575733" w:rsidRPr="00CA53DE">
        <w:rPr>
          <w:rStyle w:val="Emphasis"/>
        </w:rPr>
        <w:t>Bridgeway</w:t>
      </w:r>
      <w:proofErr w:type="spellEnd"/>
      <w:r w:rsidR="00575733" w:rsidRPr="00CA53DE">
        <w:rPr>
          <w:rStyle w:val="Emphasis"/>
        </w:rPr>
        <w:t>)</w:t>
      </w:r>
    </w:p>
    <w:p w14:paraId="74D061FA" w14:textId="77777777" w:rsidR="00F82F31" w:rsidRDefault="00F82F31" w:rsidP="00AF7EBD">
      <w:pPr>
        <w:pStyle w:val="Heading2"/>
        <w:numPr>
          <w:ilvl w:val="0"/>
          <w:numId w:val="7"/>
        </w:numPr>
        <w:rPr>
          <w:sz w:val="22"/>
          <w:szCs w:val="22"/>
        </w:rPr>
      </w:pPr>
      <w:bookmarkStart w:id="24" w:name="_Toc436042206"/>
      <w:bookmarkStart w:id="25" w:name="_Toc441728565"/>
      <w:r>
        <w:rPr>
          <w:sz w:val="22"/>
          <w:szCs w:val="22"/>
        </w:rPr>
        <w:t>Information Flow</w:t>
      </w:r>
      <w:bookmarkEnd w:id="24"/>
      <w:bookmarkEnd w:id="25"/>
    </w:p>
    <w:p w14:paraId="794BAC3A" w14:textId="77777777" w:rsidR="007805A3" w:rsidRDefault="00FF2214" w:rsidP="00F82F31">
      <w:pPr>
        <w:jc w:val="both"/>
        <w:rPr>
          <w:rFonts w:ascii="Arial" w:hAnsi="Arial" w:cs="Arial"/>
          <w:sz w:val="22"/>
          <w:szCs w:val="22"/>
          <w:lang w:val="en-CA"/>
        </w:rPr>
      </w:pPr>
      <w:r>
        <w:rPr>
          <w:rFonts w:ascii="Arial" w:hAnsi="Arial" w:cs="Arial"/>
          <w:sz w:val="22"/>
          <w:szCs w:val="22"/>
          <w:lang w:val="en-CA"/>
        </w:rPr>
        <w:t xml:space="preserve">Trade </w:t>
      </w:r>
      <w:r w:rsidR="009A264A">
        <w:rPr>
          <w:rFonts w:ascii="Arial" w:hAnsi="Arial" w:cs="Arial"/>
          <w:sz w:val="22"/>
          <w:szCs w:val="22"/>
          <w:lang w:val="en-CA"/>
        </w:rPr>
        <w:t>F</w:t>
      </w:r>
      <w:r>
        <w:rPr>
          <w:rFonts w:ascii="Arial" w:hAnsi="Arial" w:cs="Arial"/>
          <w:sz w:val="22"/>
          <w:szCs w:val="22"/>
          <w:lang w:val="en-CA"/>
        </w:rPr>
        <w:t xml:space="preserve">inance, through the leverage of technology, the use </w:t>
      </w:r>
      <w:r w:rsidR="009A264A">
        <w:rPr>
          <w:rFonts w:ascii="Arial" w:hAnsi="Arial" w:cs="Arial"/>
          <w:sz w:val="22"/>
          <w:szCs w:val="22"/>
          <w:lang w:val="en-CA"/>
        </w:rPr>
        <w:t xml:space="preserve">of </w:t>
      </w:r>
      <w:r>
        <w:rPr>
          <w:rFonts w:ascii="Arial" w:hAnsi="Arial" w:cs="Arial"/>
          <w:sz w:val="22"/>
          <w:szCs w:val="22"/>
          <w:lang w:val="en-CA"/>
        </w:rPr>
        <w:t>network</w:t>
      </w:r>
      <w:r w:rsidR="009A264A">
        <w:rPr>
          <w:rFonts w:ascii="Arial" w:hAnsi="Arial" w:cs="Arial"/>
          <w:sz w:val="22"/>
          <w:szCs w:val="22"/>
          <w:lang w:val="en-CA"/>
        </w:rPr>
        <w:t>s like the one operated by SWIFT</w:t>
      </w:r>
      <w:r>
        <w:rPr>
          <w:rFonts w:ascii="Arial" w:hAnsi="Arial" w:cs="Arial"/>
          <w:sz w:val="22"/>
          <w:szCs w:val="22"/>
          <w:lang w:val="en-CA"/>
        </w:rPr>
        <w:t xml:space="preserve"> for prompt </w:t>
      </w:r>
      <w:r w:rsidR="007805A3">
        <w:rPr>
          <w:rFonts w:ascii="Arial" w:hAnsi="Arial" w:cs="Arial"/>
          <w:sz w:val="22"/>
          <w:szCs w:val="22"/>
          <w:lang w:val="en-CA"/>
        </w:rPr>
        <w:t xml:space="preserve">and secure </w:t>
      </w:r>
      <w:r>
        <w:rPr>
          <w:rFonts w:ascii="Arial" w:hAnsi="Arial" w:cs="Arial"/>
          <w:sz w:val="22"/>
          <w:szCs w:val="22"/>
          <w:lang w:val="en-CA"/>
        </w:rPr>
        <w:t xml:space="preserve">communication, the support of intermediating parties such as banks and technology providers, </w:t>
      </w:r>
      <w:r w:rsidR="002B42A3">
        <w:rPr>
          <w:rFonts w:ascii="Arial" w:hAnsi="Arial" w:cs="Arial"/>
          <w:sz w:val="22"/>
          <w:szCs w:val="22"/>
          <w:lang w:val="en-CA"/>
        </w:rPr>
        <w:t xml:space="preserve">as well as the leveraging of numerous web-based resources and portals </w:t>
      </w:r>
      <w:r>
        <w:rPr>
          <w:rFonts w:ascii="Arial" w:hAnsi="Arial" w:cs="Arial"/>
          <w:sz w:val="22"/>
          <w:szCs w:val="22"/>
          <w:lang w:val="en-CA"/>
        </w:rPr>
        <w:t xml:space="preserve">can enable a flow of transaction-related status information. </w:t>
      </w:r>
    </w:p>
    <w:p w14:paraId="671B2960" w14:textId="77777777" w:rsidR="007805A3" w:rsidRDefault="007805A3" w:rsidP="00F82F31">
      <w:pPr>
        <w:jc w:val="both"/>
        <w:rPr>
          <w:rFonts w:ascii="Arial" w:hAnsi="Arial" w:cs="Arial"/>
          <w:sz w:val="22"/>
          <w:szCs w:val="22"/>
          <w:lang w:val="en-CA"/>
        </w:rPr>
      </w:pPr>
    </w:p>
    <w:p w14:paraId="180F2EE7" w14:textId="77777777" w:rsidR="00F82F31" w:rsidRDefault="00FF2214" w:rsidP="00F82F31">
      <w:pPr>
        <w:jc w:val="both"/>
        <w:rPr>
          <w:rFonts w:ascii="Arial" w:hAnsi="Arial" w:cs="Arial"/>
          <w:sz w:val="22"/>
          <w:szCs w:val="22"/>
          <w:lang w:val="en-CA"/>
        </w:rPr>
      </w:pPr>
      <w:r>
        <w:rPr>
          <w:rFonts w:ascii="Arial" w:hAnsi="Arial" w:cs="Arial"/>
          <w:sz w:val="22"/>
          <w:szCs w:val="22"/>
          <w:lang w:val="en-CA"/>
        </w:rPr>
        <w:t xml:space="preserve">The state, condition and location of a shipment, the status of an anticipated payment, or the status of document verification processes that will ultimately determine when payment is effected: each of these is an example of key information that can flow between </w:t>
      </w:r>
      <w:r w:rsidR="002B42A3">
        <w:rPr>
          <w:rFonts w:ascii="Arial" w:hAnsi="Arial" w:cs="Arial"/>
          <w:sz w:val="22"/>
          <w:szCs w:val="22"/>
          <w:lang w:val="en-CA"/>
        </w:rPr>
        <w:t>trading partners, bankers, insurers and other interested parties</w:t>
      </w:r>
      <w:r>
        <w:rPr>
          <w:rFonts w:ascii="Arial" w:hAnsi="Arial" w:cs="Arial"/>
          <w:sz w:val="22"/>
          <w:szCs w:val="22"/>
          <w:lang w:val="en-CA"/>
        </w:rPr>
        <w:t>, about the business being conducted.</w:t>
      </w:r>
    </w:p>
    <w:p w14:paraId="19872465" w14:textId="77777777" w:rsidR="00201401" w:rsidRDefault="00201401" w:rsidP="00F82F31">
      <w:pPr>
        <w:jc w:val="both"/>
        <w:rPr>
          <w:rFonts w:ascii="Arial" w:hAnsi="Arial" w:cs="Arial"/>
          <w:sz w:val="22"/>
          <w:szCs w:val="22"/>
          <w:lang w:val="en-CA"/>
        </w:rPr>
      </w:pPr>
    </w:p>
    <w:p w14:paraId="708BED50" w14:textId="77777777" w:rsidR="0078030D" w:rsidRDefault="0078030D" w:rsidP="00F82F31">
      <w:pPr>
        <w:jc w:val="both"/>
        <w:rPr>
          <w:rFonts w:ascii="Arial" w:hAnsi="Arial" w:cs="Arial"/>
          <w:sz w:val="22"/>
          <w:szCs w:val="22"/>
          <w:lang w:val="en-CA"/>
        </w:rPr>
      </w:pPr>
      <w:r>
        <w:rPr>
          <w:rFonts w:ascii="Arial" w:hAnsi="Arial" w:cs="Arial"/>
          <w:sz w:val="22"/>
          <w:szCs w:val="22"/>
          <w:lang w:val="en-CA"/>
        </w:rPr>
        <w:t xml:space="preserve">The pace of commerce, including international trade, has so accelerated, that parties across global supply chains increasingly demand access to near real-time information </w:t>
      </w:r>
      <w:r>
        <w:rPr>
          <w:rFonts w:ascii="Arial" w:hAnsi="Arial" w:cs="Arial"/>
          <w:sz w:val="22"/>
          <w:szCs w:val="22"/>
          <w:lang w:val="en-CA"/>
        </w:rPr>
        <w:lastRenderedPageBreak/>
        <w:t>about any number of aspects of the transactions they are working on. Technology has evolved in its functionality and capabilities, in ways that begin to address those needs, and further fuel expectations of what will be possible in the near future. Timely information and rich data is of interest to trading partners, regulatory authorities, financiers, law enforcement and intelligence officials and numerous other stakeholders in trade and in cross-border supply chains.</w:t>
      </w:r>
    </w:p>
    <w:p w14:paraId="431BFFDD" w14:textId="77777777" w:rsidR="0078030D" w:rsidRDefault="0078030D" w:rsidP="00F82F31">
      <w:pPr>
        <w:jc w:val="both"/>
        <w:rPr>
          <w:rFonts w:ascii="Arial" w:hAnsi="Arial" w:cs="Arial"/>
          <w:sz w:val="22"/>
          <w:szCs w:val="22"/>
          <w:lang w:val="en-CA"/>
        </w:rPr>
      </w:pPr>
    </w:p>
    <w:p w14:paraId="2433870C" w14:textId="77777777" w:rsidR="00146A32" w:rsidRDefault="00CA53DE" w:rsidP="00CA53DE">
      <w:pPr>
        <w:pStyle w:val="Caption"/>
        <w:rPr>
          <w:rFonts w:ascii="Arial" w:hAnsi="Arial" w:cs="Arial"/>
          <w:sz w:val="22"/>
          <w:szCs w:val="22"/>
          <w:lang w:val="en-CA"/>
        </w:rPr>
      </w:pPr>
      <w:bookmarkStart w:id="26" w:name="_Toc436042276"/>
      <w:r>
        <w:t xml:space="preserve">Figure </w:t>
      </w:r>
      <w:r>
        <w:fldChar w:fldCharType="begin"/>
      </w:r>
      <w:r>
        <w:instrText xml:space="preserve"> SEQ Figure \* ARABIC </w:instrText>
      </w:r>
      <w:r>
        <w:fldChar w:fldCharType="separate"/>
      </w:r>
      <w:r w:rsidR="00A73BD5">
        <w:rPr>
          <w:noProof/>
        </w:rPr>
        <w:t>12</w:t>
      </w:r>
      <w:r>
        <w:fldChar w:fldCharType="end"/>
      </w:r>
      <w:r>
        <w:t>:</w:t>
      </w:r>
      <w:r w:rsidRPr="00CA53DE">
        <w:t xml:space="preserve"> Needs of Buyers and Suppliers: Physical, Financial and Information Flow</w:t>
      </w:r>
      <w:bookmarkEnd w:id="26"/>
    </w:p>
    <w:p w14:paraId="67D08EF4" w14:textId="77777777" w:rsidR="00146A32" w:rsidRDefault="00146A32" w:rsidP="006B2297">
      <w:pPr>
        <w:jc w:val="center"/>
        <w:rPr>
          <w:rFonts w:ascii="Arial" w:hAnsi="Arial" w:cs="Arial"/>
          <w:sz w:val="22"/>
          <w:szCs w:val="22"/>
          <w:lang w:val="en-CA"/>
        </w:rPr>
      </w:pPr>
      <w:r w:rsidRPr="00146A32">
        <w:rPr>
          <w:noProof/>
          <w:lang w:val="en-GB" w:eastAsia="en-GB"/>
        </w:rPr>
        <w:drawing>
          <wp:inline distT="0" distB="0" distL="0" distR="0" wp14:anchorId="42CE3F10" wp14:editId="7D560F9E">
            <wp:extent cx="4838700" cy="3134932"/>
            <wp:effectExtent l="19050" t="1905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5430" cy="3139292"/>
                    </a:xfrm>
                    <a:prstGeom prst="rect">
                      <a:avLst/>
                    </a:prstGeom>
                    <a:noFill/>
                    <a:ln>
                      <a:solidFill>
                        <a:schemeClr val="accent1"/>
                      </a:solidFill>
                    </a:ln>
                  </pic:spPr>
                </pic:pic>
              </a:graphicData>
            </a:graphic>
          </wp:inline>
        </w:drawing>
      </w:r>
    </w:p>
    <w:p w14:paraId="47091E4D" w14:textId="77777777" w:rsidR="00146A32" w:rsidRPr="00CA53DE" w:rsidRDefault="00146A32" w:rsidP="00F82F31">
      <w:pPr>
        <w:jc w:val="both"/>
        <w:rPr>
          <w:rStyle w:val="Emphasis"/>
        </w:rPr>
      </w:pPr>
      <w:r w:rsidRPr="00CA53DE">
        <w:rPr>
          <w:rStyle w:val="Emphasis"/>
        </w:rPr>
        <w:t>Source: OPUS Advisory Services International Inc.</w:t>
      </w:r>
    </w:p>
    <w:p w14:paraId="43DC4CE2" w14:textId="77777777" w:rsidR="00146A32" w:rsidRDefault="00146A32" w:rsidP="00F82F31">
      <w:pPr>
        <w:jc w:val="both"/>
        <w:rPr>
          <w:rFonts w:ascii="Arial" w:hAnsi="Arial" w:cs="Arial"/>
          <w:sz w:val="22"/>
          <w:szCs w:val="22"/>
          <w:lang w:val="en-CA"/>
        </w:rPr>
      </w:pPr>
    </w:p>
    <w:p w14:paraId="757E5CEE" w14:textId="77777777" w:rsidR="00146A32" w:rsidRDefault="00146A32" w:rsidP="00F82F31">
      <w:pPr>
        <w:jc w:val="both"/>
        <w:rPr>
          <w:rFonts w:ascii="Arial" w:hAnsi="Arial" w:cs="Arial"/>
          <w:sz w:val="22"/>
          <w:szCs w:val="22"/>
          <w:lang w:val="en-CA"/>
        </w:rPr>
      </w:pPr>
      <w:r>
        <w:rPr>
          <w:rFonts w:ascii="Arial" w:hAnsi="Arial" w:cs="Arial"/>
          <w:sz w:val="22"/>
          <w:szCs w:val="22"/>
          <w:lang w:val="en-CA"/>
        </w:rPr>
        <w:t xml:space="preserve">While information flow might have been considered secondary or incidental to the trade transaction some years ago, the reality today is much different: data flows, transaction status and the tracking of related financial flows are integral to the management needs of </w:t>
      </w:r>
      <w:r w:rsidR="00313782">
        <w:rPr>
          <w:rFonts w:ascii="Arial" w:hAnsi="Arial" w:cs="Arial"/>
          <w:sz w:val="22"/>
          <w:szCs w:val="22"/>
          <w:lang w:val="en-CA"/>
        </w:rPr>
        <w:t>actors in trade</w:t>
      </w:r>
      <w:r>
        <w:rPr>
          <w:rFonts w:ascii="Arial" w:hAnsi="Arial" w:cs="Arial"/>
          <w:sz w:val="22"/>
          <w:szCs w:val="22"/>
          <w:lang w:val="en-CA"/>
        </w:rPr>
        <w:t xml:space="preserve">, and thus increasingly central to the solution offerings of </w:t>
      </w:r>
      <w:r w:rsidR="00313782">
        <w:rPr>
          <w:rFonts w:ascii="Arial" w:hAnsi="Arial" w:cs="Arial"/>
          <w:sz w:val="22"/>
          <w:szCs w:val="22"/>
          <w:lang w:val="en-CA"/>
        </w:rPr>
        <w:t>Trade F</w:t>
      </w:r>
      <w:r w:rsidR="00455982">
        <w:rPr>
          <w:rFonts w:ascii="Arial" w:hAnsi="Arial" w:cs="Arial"/>
          <w:sz w:val="22"/>
          <w:szCs w:val="22"/>
          <w:lang w:val="en-CA"/>
        </w:rPr>
        <w:t>inance providers, whether they are banks or non-bank providers.</w:t>
      </w:r>
    </w:p>
    <w:p w14:paraId="0BC006B5" w14:textId="77777777" w:rsidR="003C7798" w:rsidRDefault="003C7798">
      <w:pPr>
        <w:rPr>
          <w:rFonts w:ascii="Arial" w:hAnsi="Arial"/>
          <w:b/>
          <w:i/>
          <w:sz w:val="22"/>
          <w:szCs w:val="22"/>
          <w:lang w:val="en-CA"/>
        </w:rPr>
      </w:pPr>
      <w:r>
        <w:rPr>
          <w:sz w:val="22"/>
          <w:szCs w:val="22"/>
        </w:rPr>
        <w:br w:type="page"/>
      </w:r>
    </w:p>
    <w:p w14:paraId="60CE0520" w14:textId="77777777" w:rsidR="00F56413" w:rsidRPr="007A0399" w:rsidRDefault="007A0399" w:rsidP="00AF7EBD">
      <w:pPr>
        <w:pStyle w:val="Heading1"/>
      </w:pPr>
      <w:bookmarkStart w:id="27" w:name="_Toc441728566"/>
      <w:r w:rsidRPr="007A0399">
        <w:lastRenderedPageBreak/>
        <w:t>SUPPLY CHAIN FINANCE</w:t>
      </w:r>
      <w:bookmarkEnd w:id="27"/>
    </w:p>
    <w:p w14:paraId="5AA77F61" w14:textId="77777777" w:rsidR="00F56413" w:rsidRDefault="002D4A8C" w:rsidP="00EB3781">
      <w:pPr>
        <w:jc w:val="both"/>
        <w:rPr>
          <w:rFonts w:ascii="Arial" w:hAnsi="Arial" w:cs="Arial"/>
          <w:sz w:val="22"/>
          <w:szCs w:val="22"/>
          <w:lang w:eastAsia="en-US"/>
        </w:rPr>
      </w:pPr>
      <w:r>
        <w:rPr>
          <w:rFonts w:ascii="Arial" w:hAnsi="Arial" w:cs="Arial"/>
          <w:sz w:val="22"/>
          <w:szCs w:val="22"/>
          <w:lang w:eastAsia="en-US"/>
        </w:rPr>
        <w:t xml:space="preserve">There is a clear </w:t>
      </w:r>
      <w:r w:rsidR="00F56413">
        <w:rPr>
          <w:rFonts w:ascii="Arial" w:hAnsi="Arial" w:cs="Arial"/>
          <w:sz w:val="22"/>
          <w:szCs w:val="22"/>
          <w:lang w:eastAsia="en-US"/>
        </w:rPr>
        <w:t xml:space="preserve">shift to trade on open account terms </w:t>
      </w:r>
      <w:r>
        <w:rPr>
          <w:rFonts w:ascii="Arial" w:hAnsi="Arial" w:cs="Arial"/>
          <w:sz w:val="22"/>
          <w:szCs w:val="22"/>
          <w:lang w:eastAsia="en-US"/>
        </w:rPr>
        <w:t xml:space="preserve">that has </w:t>
      </w:r>
      <w:r w:rsidR="00F56413">
        <w:rPr>
          <w:rFonts w:ascii="Arial" w:hAnsi="Arial" w:cs="Arial"/>
          <w:sz w:val="22"/>
          <w:szCs w:val="22"/>
          <w:lang w:eastAsia="en-US"/>
        </w:rPr>
        <w:t xml:space="preserve">compelled the banking industry to seek to re-engage </w:t>
      </w:r>
      <w:r w:rsidR="00F56413" w:rsidRPr="00CC2447">
        <w:rPr>
          <w:rFonts w:ascii="Arial" w:hAnsi="Arial" w:cs="Arial"/>
          <w:sz w:val="22"/>
          <w:szCs w:val="22"/>
          <w:lang w:eastAsia="en-US"/>
        </w:rPr>
        <w:t xml:space="preserve">with </w:t>
      </w:r>
      <w:r w:rsidR="00313782">
        <w:rPr>
          <w:rFonts w:ascii="Arial" w:hAnsi="Arial" w:cs="Arial"/>
          <w:sz w:val="22"/>
          <w:szCs w:val="22"/>
          <w:lang w:eastAsia="en-US"/>
        </w:rPr>
        <w:t>buyer</w:t>
      </w:r>
      <w:r w:rsidR="00F56413" w:rsidRPr="00CC2447">
        <w:rPr>
          <w:rFonts w:ascii="Arial" w:hAnsi="Arial" w:cs="Arial"/>
          <w:sz w:val="22"/>
          <w:szCs w:val="22"/>
          <w:lang w:eastAsia="en-US"/>
        </w:rPr>
        <w:t xml:space="preserve">s and </w:t>
      </w:r>
      <w:r w:rsidR="00936C60">
        <w:rPr>
          <w:rFonts w:ascii="Arial" w:hAnsi="Arial" w:cs="Arial"/>
          <w:sz w:val="22"/>
          <w:szCs w:val="22"/>
          <w:lang w:eastAsia="en-US"/>
        </w:rPr>
        <w:t>supplier</w:t>
      </w:r>
      <w:r w:rsidR="00F56413" w:rsidRPr="00CC2447">
        <w:rPr>
          <w:rFonts w:ascii="Arial" w:hAnsi="Arial" w:cs="Arial"/>
          <w:sz w:val="22"/>
          <w:szCs w:val="22"/>
          <w:lang w:eastAsia="en-US"/>
        </w:rPr>
        <w:t>s</w:t>
      </w:r>
      <w:r w:rsidR="00F56413">
        <w:rPr>
          <w:rFonts w:ascii="Arial" w:hAnsi="Arial" w:cs="Arial"/>
          <w:sz w:val="22"/>
          <w:szCs w:val="22"/>
          <w:lang w:eastAsia="en-US"/>
        </w:rPr>
        <w:t xml:space="preserve"> by developing a value proposition aimed at meeting the needs of </w:t>
      </w:r>
      <w:r w:rsidR="00F56413" w:rsidRPr="00CC2447">
        <w:rPr>
          <w:rFonts w:ascii="Arial" w:hAnsi="Arial" w:cs="Arial"/>
          <w:sz w:val="22"/>
          <w:szCs w:val="22"/>
          <w:lang w:eastAsia="en-US"/>
        </w:rPr>
        <w:t>traders</w:t>
      </w:r>
      <w:r w:rsidR="00F56413">
        <w:rPr>
          <w:rFonts w:ascii="Arial" w:hAnsi="Arial" w:cs="Arial"/>
          <w:sz w:val="22"/>
          <w:szCs w:val="22"/>
          <w:lang w:eastAsia="en-US"/>
        </w:rPr>
        <w:t xml:space="preserve"> operating on </w:t>
      </w:r>
      <w:r w:rsidR="00B17767">
        <w:rPr>
          <w:rFonts w:ascii="Arial" w:hAnsi="Arial" w:cs="Arial"/>
          <w:sz w:val="22"/>
          <w:szCs w:val="22"/>
          <w:lang w:eastAsia="en-US"/>
        </w:rPr>
        <w:t xml:space="preserve">these </w:t>
      </w:r>
      <w:r w:rsidR="00F56413">
        <w:rPr>
          <w:rFonts w:ascii="Arial" w:hAnsi="Arial" w:cs="Arial"/>
          <w:sz w:val="22"/>
          <w:szCs w:val="22"/>
          <w:lang w:eastAsia="en-US"/>
        </w:rPr>
        <w:t>open account terms.</w:t>
      </w:r>
      <w:r w:rsidR="001A0489">
        <w:rPr>
          <w:rFonts w:ascii="Arial" w:hAnsi="Arial" w:cs="Arial"/>
          <w:sz w:val="22"/>
          <w:szCs w:val="22"/>
          <w:lang w:eastAsia="en-US"/>
        </w:rPr>
        <w:t xml:space="preserve"> This led to </w:t>
      </w:r>
      <w:r w:rsidR="006B065B">
        <w:rPr>
          <w:rFonts w:ascii="Arial" w:hAnsi="Arial" w:cs="Arial"/>
          <w:sz w:val="22"/>
          <w:szCs w:val="22"/>
          <w:lang w:eastAsia="en-US"/>
        </w:rPr>
        <w:t xml:space="preserve">the development of </w:t>
      </w:r>
      <w:r w:rsidR="001A0489">
        <w:rPr>
          <w:rFonts w:ascii="Arial" w:hAnsi="Arial" w:cs="Arial"/>
          <w:sz w:val="22"/>
          <w:szCs w:val="22"/>
          <w:lang w:eastAsia="en-US"/>
        </w:rPr>
        <w:t>Supply Chain Finance, complementing the know</w:t>
      </w:r>
      <w:r w:rsidR="006B065B">
        <w:rPr>
          <w:rFonts w:ascii="Arial" w:hAnsi="Arial" w:cs="Arial"/>
          <w:sz w:val="22"/>
          <w:szCs w:val="22"/>
          <w:lang w:eastAsia="en-US"/>
        </w:rPr>
        <w:t>n</w:t>
      </w:r>
      <w:r w:rsidR="001A0489">
        <w:rPr>
          <w:rFonts w:ascii="Arial" w:hAnsi="Arial" w:cs="Arial"/>
          <w:sz w:val="22"/>
          <w:szCs w:val="22"/>
          <w:lang w:eastAsia="en-US"/>
        </w:rPr>
        <w:t xml:space="preserve"> Trade Finance methods.</w:t>
      </w:r>
    </w:p>
    <w:p w14:paraId="66CE9583" w14:textId="77777777" w:rsidR="00CA53DE" w:rsidRDefault="00CA53DE" w:rsidP="00EB3781">
      <w:pPr>
        <w:jc w:val="both"/>
        <w:rPr>
          <w:rFonts w:ascii="Arial" w:hAnsi="Arial" w:cs="Arial"/>
          <w:sz w:val="22"/>
          <w:szCs w:val="22"/>
          <w:lang w:eastAsia="en-US"/>
        </w:rPr>
      </w:pPr>
    </w:p>
    <w:p w14:paraId="1E4AA44C" w14:textId="77777777" w:rsidR="00CA53DE" w:rsidRDefault="00CA53DE" w:rsidP="00CA53DE">
      <w:pPr>
        <w:pStyle w:val="Caption"/>
        <w:rPr>
          <w:rFonts w:ascii="Arial" w:hAnsi="Arial" w:cs="Arial"/>
          <w:sz w:val="22"/>
          <w:szCs w:val="22"/>
          <w:lang w:eastAsia="en-US"/>
        </w:rPr>
      </w:pPr>
      <w:bookmarkStart w:id="28" w:name="_Toc436042277"/>
      <w:r>
        <w:t xml:space="preserve">Figure </w:t>
      </w:r>
      <w:r>
        <w:fldChar w:fldCharType="begin"/>
      </w:r>
      <w:r>
        <w:instrText xml:space="preserve"> SEQ Figure \* ARABIC </w:instrText>
      </w:r>
      <w:r>
        <w:fldChar w:fldCharType="separate"/>
      </w:r>
      <w:r w:rsidR="00A73BD5">
        <w:rPr>
          <w:noProof/>
        </w:rPr>
        <w:t>13</w:t>
      </w:r>
      <w:r>
        <w:fldChar w:fldCharType="end"/>
      </w:r>
      <w:r>
        <w:t>:</w:t>
      </w:r>
      <w:r w:rsidRPr="00CA53DE">
        <w:t xml:space="preserve"> Open Account vs. Letter of Credit</w:t>
      </w:r>
      <w:bookmarkEnd w:id="28"/>
    </w:p>
    <w:p w14:paraId="308DCC0E" w14:textId="77777777" w:rsidR="009C3D09" w:rsidRDefault="004815F1" w:rsidP="00EB3781">
      <w:pPr>
        <w:jc w:val="both"/>
        <w:rPr>
          <w:rFonts w:ascii="Arial" w:hAnsi="Arial" w:cs="Arial"/>
          <w:sz w:val="22"/>
          <w:szCs w:val="22"/>
          <w:lang w:eastAsia="en-US"/>
        </w:rPr>
      </w:pPr>
      <w:r w:rsidRPr="004815F1">
        <w:rPr>
          <w:noProof/>
          <w:lang w:val="en-GB" w:eastAsia="en-GB"/>
        </w:rPr>
        <w:drawing>
          <wp:inline distT="0" distB="0" distL="0" distR="0" wp14:anchorId="69A21330" wp14:editId="09C6FCC5">
            <wp:extent cx="5486400" cy="3475019"/>
            <wp:effectExtent l="19050" t="19050" r="1905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475019"/>
                    </a:xfrm>
                    <a:prstGeom prst="rect">
                      <a:avLst/>
                    </a:prstGeom>
                    <a:ln>
                      <a:solidFill>
                        <a:schemeClr val="accent1"/>
                      </a:solidFill>
                    </a:ln>
                  </pic:spPr>
                </pic:pic>
              </a:graphicData>
            </a:graphic>
          </wp:inline>
        </w:drawing>
      </w:r>
    </w:p>
    <w:p w14:paraId="4ADA03C3" w14:textId="77777777" w:rsidR="009C3D09" w:rsidRPr="00CA53DE" w:rsidRDefault="009C3D09" w:rsidP="00EB3781">
      <w:pPr>
        <w:jc w:val="both"/>
        <w:rPr>
          <w:rStyle w:val="Emphasis"/>
        </w:rPr>
      </w:pPr>
      <w:r w:rsidRPr="00CA53DE">
        <w:rPr>
          <w:rStyle w:val="Emphasis"/>
        </w:rPr>
        <w:t xml:space="preserve">Source: </w:t>
      </w:r>
      <w:proofErr w:type="spellStart"/>
      <w:r w:rsidRPr="00CA53DE">
        <w:rPr>
          <w:rStyle w:val="Emphasis"/>
        </w:rPr>
        <w:t>Unicredit</w:t>
      </w:r>
      <w:proofErr w:type="spellEnd"/>
      <w:r w:rsidRPr="00CA53DE">
        <w:rPr>
          <w:rStyle w:val="Emphasis"/>
        </w:rPr>
        <w:t xml:space="preserve"> Group</w:t>
      </w:r>
    </w:p>
    <w:p w14:paraId="28CF1F0A" w14:textId="77777777" w:rsidR="009C3D09" w:rsidRDefault="009C3D09" w:rsidP="00EB3781">
      <w:pPr>
        <w:jc w:val="both"/>
        <w:rPr>
          <w:rFonts w:ascii="Arial" w:hAnsi="Arial" w:cs="Arial"/>
          <w:sz w:val="22"/>
          <w:szCs w:val="22"/>
          <w:lang w:eastAsia="en-US"/>
        </w:rPr>
      </w:pPr>
    </w:p>
    <w:p w14:paraId="2CE69C40" w14:textId="77777777" w:rsidR="00F56413" w:rsidRDefault="00F56413" w:rsidP="00EB3781">
      <w:pPr>
        <w:jc w:val="both"/>
        <w:rPr>
          <w:rFonts w:ascii="Arial" w:hAnsi="Arial" w:cs="Arial"/>
          <w:sz w:val="22"/>
          <w:szCs w:val="22"/>
          <w:lang w:eastAsia="en-US"/>
        </w:rPr>
      </w:pPr>
      <w:r>
        <w:rPr>
          <w:rFonts w:ascii="Arial" w:hAnsi="Arial" w:cs="Arial"/>
          <w:sz w:val="22"/>
          <w:szCs w:val="22"/>
          <w:lang w:eastAsia="en-US"/>
        </w:rPr>
        <w:t xml:space="preserve">While some argue that </w:t>
      </w:r>
      <w:r w:rsidR="001A0489">
        <w:rPr>
          <w:rFonts w:ascii="Arial" w:hAnsi="Arial" w:cs="Arial"/>
          <w:sz w:val="22"/>
          <w:szCs w:val="22"/>
          <w:lang w:eastAsia="en-US"/>
        </w:rPr>
        <w:t>Supply Chain Finance</w:t>
      </w:r>
      <w:r>
        <w:rPr>
          <w:rFonts w:ascii="Arial" w:hAnsi="Arial" w:cs="Arial"/>
          <w:sz w:val="22"/>
          <w:szCs w:val="22"/>
          <w:lang w:eastAsia="en-US"/>
        </w:rPr>
        <w:t xml:space="preserve"> is largely a collection of long-established banking and finance mechanisms, the innovation in </w:t>
      </w:r>
      <w:r w:rsidR="001A0489">
        <w:rPr>
          <w:rFonts w:ascii="Arial" w:hAnsi="Arial" w:cs="Arial"/>
          <w:sz w:val="22"/>
          <w:szCs w:val="22"/>
          <w:lang w:eastAsia="en-US"/>
        </w:rPr>
        <w:t>Supply Chain Finance</w:t>
      </w:r>
      <w:r>
        <w:rPr>
          <w:rFonts w:ascii="Arial" w:hAnsi="Arial" w:cs="Arial"/>
          <w:sz w:val="22"/>
          <w:szCs w:val="22"/>
          <w:lang w:eastAsia="en-US"/>
        </w:rPr>
        <w:t xml:space="preserve"> is less in the components that comprise it, and more in the way it motivates </w:t>
      </w:r>
      <w:r w:rsidRPr="00CC2447">
        <w:rPr>
          <w:rFonts w:ascii="Arial" w:hAnsi="Arial" w:cs="Arial"/>
          <w:sz w:val="22"/>
          <w:szCs w:val="22"/>
          <w:lang w:eastAsia="en-US"/>
        </w:rPr>
        <w:t>companies</w:t>
      </w:r>
      <w:r>
        <w:rPr>
          <w:rFonts w:ascii="Arial" w:hAnsi="Arial" w:cs="Arial"/>
          <w:sz w:val="22"/>
          <w:szCs w:val="22"/>
          <w:lang w:eastAsia="en-US"/>
        </w:rPr>
        <w:t xml:space="preserve"> and banks to look at international commerce: as </w:t>
      </w:r>
      <w:r w:rsidRPr="006B065B">
        <w:rPr>
          <w:rFonts w:ascii="Arial" w:hAnsi="Arial" w:cs="Arial"/>
          <w:sz w:val="22"/>
          <w:szCs w:val="22"/>
          <w:lang w:eastAsia="en-US"/>
        </w:rPr>
        <w:t xml:space="preserve">an ecosystem of commercial relationships that cross borders and may even cover the globe, with major buyers developing supplier communities </w:t>
      </w:r>
      <w:r w:rsidR="006B065B">
        <w:rPr>
          <w:rFonts w:ascii="Arial" w:hAnsi="Arial" w:cs="Arial"/>
          <w:sz w:val="22"/>
          <w:szCs w:val="22"/>
          <w:lang w:eastAsia="en-US"/>
        </w:rPr>
        <w:t xml:space="preserve">that could </w:t>
      </w:r>
      <w:r w:rsidRPr="006B065B">
        <w:rPr>
          <w:rFonts w:ascii="Arial" w:hAnsi="Arial" w:cs="Arial"/>
          <w:sz w:val="22"/>
          <w:szCs w:val="22"/>
          <w:lang w:eastAsia="en-US"/>
        </w:rPr>
        <w:t>number in the tens of thousands.</w:t>
      </w:r>
    </w:p>
    <w:p w14:paraId="26050005" w14:textId="77777777" w:rsidR="00F56413" w:rsidRDefault="00F56413" w:rsidP="00EB3781">
      <w:pPr>
        <w:jc w:val="both"/>
        <w:rPr>
          <w:rFonts w:ascii="Arial" w:hAnsi="Arial" w:cs="Arial"/>
          <w:sz w:val="22"/>
          <w:szCs w:val="22"/>
          <w:lang w:eastAsia="en-US"/>
        </w:rPr>
      </w:pPr>
    </w:p>
    <w:p w14:paraId="28DE7F35" w14:textId="77777777" w:rsidR="00F56413" w:rsidRDefault="001A0489" w:rsidP="00EB3781">
      <w:pPr>
        <w:jc w:val="both"/>
        <w:rPr>
          <w:rFonts w:ascii="Arial" w:hAnsi="Arial" w:cs="Arial"/>
          <w:sz w:val="22"/>
          <w:szCs w:val="22"/>
          <w:lang w:eastAsia="en-US"/>
        </w:rPr>
      </w:pPr>
      <w:r>
        <w:rPr>
          <w:rFonts w:ascii="Arial" w:hAnsi="Arial" w:cs="Arial"/>
          <w:sz w:val="22"/>
          <w:szCs w:val="22"/>
          <w:lang w:eastAsia="en-US"/>
        </w:rPr>
        <w:t>Supply Chain Finance</w:t>
      </w:r>
      <w:r w:rsidR="00F56413">
        <w:rPr>
          <w:rFonts w:ascii="Arial" w:hAnsi="Arial" w:cs="Arial"/>
          <w:sz w:val="22"/>
          <w:szCs w:val="22"/>
          <w:lang w:eastAsia="en-US"/>
        </w:rPr>
        <w:t xml:space="preserve"> is evolving quickly and is, without doubt, the high-growth and high-potential area in the financing of international commerce.</w:t>
      </w:r>
      <w:r w:rsidR="00F01889">
        <w:rPr>
          <w:rFonts w:ascii="Arial" w:hAnsi="Arial" w:cs="Arial"/>
          <w:sz w:val="22"/>
          <w:szCs w:val="22"/>
          <w:lang w:eastAsia="en-US"/>
        </w:rPr>
        <w:t xml:space="preserve"> </w:t>
      </w:r>
      <w:r w:rsidR="00060E8B">
        <w:rPr>
          <w:rFonts w:ascii="Arial" w:hAnsi="Arial" w:cs="Arial"/>
          <w:sz w:val="22"/>
          <w:szCs w:val="22"/>
          <w:lang w:eastAsia="en-US"/>
        </w:rPr>
        <w:t>SCF</w:t>
      </w:r>
      <w:r w:rsidR="00F01889">
        <w:rPr>
          <w:rFonts w:ascii="Arial" w:hAnsi="Arial" w:cs="Arial"/>
          <w:sz w:val="22"/>
          <w:szCs w:val="22"/>
          <w:lang w:eastAsia="en-US"/>
        </w:rPr>
        <w:t xml:space="preserve"> is a response to the near-global shift by </w:t>
      </w:r>
      <w:r w:rsidR="00313782">
        <w:rPr>
          <w:rFonts w:ascii="Arial" w:hAnsi="Arial" w:cs="Arial"/>
          <w:sz w:val="22"/>
          <w:szCs w:val="22"/>
          <w:lang w:eastAsia="en-US"/>
        </w:rPr>
        <w:t>buyer</w:t>
      </w:r>
      <w:r w:rsidR="00F01889">
        <w:rPr>
          <w:rFonts w:ascii="Arial" w:hAnsi="Arial" w:cs="Arial"/>
          <w:sz w:val="22"/>
          <w:szCs w:val="22"/>
          <w:lang w:eastAsia="en-US"/>
        </w:rPr>
        <w:t xml:space="preserve">s and </w:t>
      </w:r>
      <w:r w:rsidR="00936C60">
        <w:rPr>
          <w:rFonts w:ascii="Arial" w:hAnsi="Arial" w:cs="Arial"/>
          <w:sz w:val="22"/>
          <w:szCs w:val="22"/>
          <w:lang w:eastAsia="en-US"/>
        </w:rPr>
        <w:t>supplier</w:t>
      </w:r>
      <w:r w:rsidR="00F01889">
        <w:rPr>
          <w:rFonts w:ascii="Arial" w:hAnsi="Arial" w:cs="Arial"/>
          <w:sz w:val="22"/>
          <w:szCs w:val="22"/>
          <w:lang w:eastAsia="en-US"/>
        </w:rPr>
        <w:t>s, to trade on open account terms.</w:t>
      </w:r>
    </w:p>
    <w:p w14:paraId="7AC2E15A" w14:textId="77777777" w:rsidR="00F56413" w:rsidRDefault="00F56413" w:rsidP="00EB3781">
      <w:pPr>
        <w:jc w:val="both"/>
        <w:rPr>
          <w:rFonts w:ascii="Arial" w:hAnsi="Arial" w:cs="Arial"/>
          <w:sz w:val="22"/>
          <w:szCs w:val="22"/>
          <w:lang w:eastAsia="en-US"/>
        </w:rPr>
      </w:pPr>
    </w:p>
    <w:p w14:paraId="214C3661" w14:textId="77777777" w:rsidR="003C7798" w:rsidRDefault="003C7798">
      <w:pPr>
        <w:rPr>
          <w:rFonts w:ascii="Arial" w:hAnsi="Arial" w:cs="Arial"/>
          <w:sz w:val="22"/>
          <w:szCs w:val="22"/>
          <w:lang w:eastAsia="en-US"/>
        </w:rPr>
      </w:pPr>
      <w:r>
        <w:rPr>
          <w:rFonts w:ascii="Arial" w:hAnsi="Arial" w:cs="Arial"/>
          <w:sz w:val="22"/>
          <w:szCs w:val="22"/>
          <w:lang w:eastAsia="en-US"/>
        </w:rPr>
        <w:br w:type="page"/>
      </w:r>
    </w:p>
    <w:p w14:paraId="03CEE44F" w14:textId="77777777" w:rsidR="00F56413" w:rsidRDefault="001A0489" w:rsidP="00EB3781">
      <w:pPr>
        <w:jc w:val="both"/>
        <w:rPr>
          <w:rFonts w:ascii="Arial" w:hAnsi="Arial" w:cs="Arial"/>
          <w:sz w:val="22"/>
          <w:szCs w:val="22"/>
          <w:lang w:eastAsia="en-US"/>
        </w:rPr>
      </w:pPr>
      <w:r>
        <w:rPr>
          <w:rFonts w:ascii="Arial" w:hAnsi="Arial" w:cs="Arial"/>
          <w:sz w:val="22"/>
          <w:szCs w:val="22"/>
          <w:lang w:eastAsia="en-US"/>
        </w:rPr>
        <w:lastRenderedPageBreak/>
        <w:t>Supply Chain Finance</w:t>
      </w:r>
      <w:r w:rsidR="00F56413">
        <w:rPr>
          <w:rFonts w:ascii="Arial" w:hAnsi="Arial" w:cs="Arial"/>
          <w:sz w:val="22"/>
          <w:szCs w:val="22"/>
          <w:lang w:eastAsia="en-US"/>
        </w:rPr>
        <w:t xml:space="preserve"> </w:t>
      </w:r>
      <w:r w:rsidR="00B67315">
        <w:rPr>
          <w:rFonts w:ascii="Arial" w:hAnsi="Arial" w:cs="Arial"/>
          <w:sz w:val="22"/>
          <w:szCs w:val="22"/>
          <w:lang w:eastAsia="en-US"/>
        </w:rPr>
        <w:t xml:space="preserve">can be based on the financing of payables or receivables, and can offer financing and working capital solutions to </w:t>
      </w:r>
      <w:r w:rsidR="00313782">
        <w:rPr>
          <w:rFonts w:ascii="Arial" w:hAnsi="Arial" w:cs="Arial"/>
          <w:sz w:val="22"/>
          <w:szCs w:val="22"/>
          <w:lang w:eastAsia="en-US"/>
        </w:rPr>
        <w:t>buyer</w:t>
      </w:r>
      <w:r w:rsidR="00B67315">
        <w:rPr>
          <w:rFonts w:ascii="Arial" w:hAnsi="Arial" w:cs="Arial"/>
          <w:sz w:val="22"/>
          <w:szCs w:val="22"/>
          <w:lang w:eastAsia="en-US"/>
        </w:rPr>
        <w:t>s and/or to their suppliers, enabling positive impact for each group on Days Sales Outstanding</w:t>
      </w:r>
      <w:r w:rsidR="0074373C">
        <w:rPr>
          <w:rStyle w:val="FootnoteReference"/>
          <w:rFonts w:ascii="Arial" w:hAnsi="Arial" w:cs="Arial"/>
          <w:sz w:val="22"/>
          <w:szCs w:val="22"/>
          <w:lang w:eastAsia="en-US"/>
        </w:rPr>
        <w:footnoteReference w:id="5"/>
      </w:r>
      <w:r w:rsidR="00B67315">
        <w:rPr>
          <w:rFonts w:ascii="Arial" w:hAnsi="Arial" w:cs="Arial"/>
          <w:sz w:val="22"/>
          <w:szCs w:val="22"/>
          <w:lang w:eastAsia="en-US"/>
        </w:rPr>
        <w:t xml:space="preserve"> (DSO) and Days Payables Outstanding (DPO)</w:t>
      </w:r>
      <w:r w:rsidR="0074373C">
        <w:rPr>
          <w:rStyle w:val="FootnoteReference"/>
          <w:rFonts w:ascii="Arial" w:hAnsi="Arial" w:cs="Arial"/>
          <w:sz w:val="22"/>
          <w:szCs w:val="22"/>
          <w:lang w:eastAsia="en-US"/>
        </w:rPr>
        <w:footnoteReference w:id="6"/>
      </w:r>
      <w:r w:rsidR="00B67315">
        <w:rPr>
          <w:rFonts w:ascii="Arial" w:hAnsi="Arial" w:cs="Arial"/>
          <w:sz w:val="22"/>
          <w:szCs w:val="22"/>
          <w:lang w:eastAsia="en-US"/>
        </w:rPr>
        <w:t>.</w:t>
      </w:r>
    </w:p>
    <w:p w14:paraId="33195F9A" w14:textId="77777777" w:rsidR="006F1B07" w:rsidRDefault="006F1B07" w:rsidP="00EB3781">
      <w:pPr>
        <w:jc w:val="both"/>
        <w:rPr>
          <w:rFonts w:ascii="Arial" w:hAnsi="Arial" w:cs="Arial"/>
          <w:sz w:val="22"/>
          <w:szCs w:val="22"/>
          <w:lang w:eastAsia="en-US"/>
        </w:rPr>
      </w:pPr>
    </w:p>
    <w:p w14:paraId="6F75538F" w14:textId="77777777" w:rsidR="006F1B07" w:rsidRDefault="006F1B07" w:rsidP="006F1B07">
      <w:pPr>
        <w:pStyle w:val="Caption"/>
        <w:rPr>
          <w:rFonts w:ascii="Arial" w:hAnsi="Arial" w:cs="Arial"/>
          <w:sz w:val="22"/>
          <w:szCs w:val="22"/>
          <w:lang w:eastAsia="en-US"/>
        </w:rPr>
      </w:pPr>
      <w:bookmarkStart w:id="29" w:name="_Toc436042278"/>
      <w:r>
        <w:t xml:space="preserve">Figure </w:t>
      </w:r>
      <w:r>
        <w:fldChar w:fldCharType="begin"/>
      </w:r>
      <w:r>
        <w:instrText xml:space="preserve"> SEQ Figure \* ARABIC </w:instrText>
      </w:r>
      <w:r>
        <w:fldChar w:fldCharType="separate"/>
      </w:r>
      <w:r w:rsidR="00A73BD5">
        <w:rPr>
          <w:noProof/>
        </w:rPr>
        <w:t>14</w:t>
      </w:r>
      <w:r>
        <w:fldChar w:fldCharType="end"/>
      </w:r>
      <w:r>
        <w:t xml:space="preserve">: </w:t>
      </w:r>
      <w:r w:rsidRPr="006F1B07">
        <w:t>Supply Chain Finance for Buyers and Suppliers</w:t>
      </w:r>
      <w:bookmarkEnd w:id="29"/>
    </w:p>
    <w:p w14:paraId="03139322" w14:textId="77777777" w:rsidR="00B67315" w:rsidRDefault="00B67315" w:rsidP="00B67315">
      <w:pPr>
        <w:jc w:val="center"/>
        <w:rPr>
          <w:rFonts w:ascii="Arial" w:hAnsi="Arial" w:cs="Arial"/>
          <w:sz w:val="22"/>
          <w:szCs w:val="22"/>
          <w:lang w:eastAsia="en-US"/>
        </w:rPr>
      </w:pPr>
      <w:r w:rsidRPr="00B67315">
        <w:rPr>
          <w:noProof/>
          <w:lang w:val="en-GB" w:eastAsia="en-GB"/>
        </w:rPr>
        <w:drawing>
          <wp:inline distT="0" distB="0" distL="0" distR="0" wp14:anchorId="31DBCD5C" wp14:editId="58621A50">
            <wp:extent cx="4480560" cy="2472674"/>
            <wp:effectExtent l="19050" t="19050" r="15240"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7857" cy="2476701"/>
                    </a:xfrm>
                    <a:prstGeom prst="rect">
                      <a:avLst/>
                    </a:prstGeom>
                    <a:noFill/>
                    <a:ln>
                      <a:solidFill>
                        <a:schemeClr val="accent1"/>
                      </a:solidFill>
                    </a:ln>
                  </pic:spPr>
                </pic:pic>
              </a:graphicData>
            </a:graphic>
          </wp:inline>
        </w:drawing>
      </w:r>
    </w:p>
    <w:p w14:paraId="21002E55" w14:textId="77777777" w:rsidR="00B67315" w:rsidRPr="006F1B07" w:rsidRDefault="00B67315" w:rsidP="00B67315">
      <w:pPr>
        <w:jc w:val="both"/>
        <w:rPr>
          <w:rStyle w:val="Emphasis"/>
        </w:rPr>
      </w:pPr>
      <w:r w:rsidRPr="006F1B07">
        <w:rPr>
          <w:rStyle w:val="Emphasis"/>
        </w:rPr>
        <w:t>Source: OPUS Advisory Services International Inc.</w:t>
      </w:r>
    </w:p>
    <w:p w14:paraId="1EFE4874" w14:textId="77777777" w:rsidR="00B67315" w:rsidRDefault="00B67315" w:rsidP="00EB3781">
      <w:pPr>
        <w:jc w:val="both"/>
        <w:rPr>
          <w:rFonts w:ascii="Arial" w:hAnsi="Arial" w:cs="Arial"/>
          <w:sz w:val="22"/>
          <w:szCs w:val="22"/>
          <w:lang w:eastAsia="en-US"/>
        </w:rPr>
      </w:pPr>
    </w:p>
    <w:p w14:paraId="1C2E3EE5" w14:textId="77777777" w:rsidR="00B67315" w:rsidRDefault="00B67315" w:rsidP="00EB3781">
      <w:pPr>
        <w:jc w:val="both"/>
        <w:rPr>
          <w:rFonts w:ascii="Arial" w:hAnsi="Arial" w:cs="Arial"/>
          <w:sz w:val="22"/>
          <w:szCs w:val="22"/>
          <w:lang w:eastAsia="en-US"/>
        </w:rPr>
      </w:pPr>
      <w:r>
        <w:rPr>
          <w:rFonts w:ascii="Arial" w:hAnsi="Arial" w:cs="Arial"/>
          <w:sz w:val="22"/>
          <w:szCs w:val="22"/>
          <w:lang w:eastAsia="en-US"/>
        </w:rPr>
        <w:t xml:space="preserve">As with traditional </w:t>
      </w:r>
      <w:r w:rsidR="0074373C">
        <w:rPr>
          <w:rFonts w:ascii="Arial" w:hAnsi="Arial" w:cs="Arial"/>
          <w:sz w:val="22"/>
          <w:szCs w:val="22"/>
          <w:lang w:eastAsia="en-US"/>
        </w:rPr>
        <w:t>T</w:t>
      </w:r>
      <w:r>
        <w:rPr>
          <w:rFonts w:ascii="Arial" w:hAnsi="Arial" w:cs="Arial"/>
          <w:sz w:val="22"/>
          <w:szCs w:val="22"/>
          <w:lang w:eastAsia="en-US"/>
        </w:rPr>
        <w:t xml:space="preserve">rade </w:t>
      </w:r>
      <w:r w:rsidR="0074373C">
        <w:rPr>
          <w:rFonts w:ascii="Arial" w:hAnsi="Arial" w:cs="Arial"/>
          <w:sz w:val="22"/>
          <w:szCs w:val="22"/>
          <w:lang w:eastAsia="en-US"/>
        </w:rPr>
        <w:t>F</w:t>
      </w:r>
      <w:r>
        <w:rPr>
          <w:rFonts w:ascii="Arial" w:hAnsi="Arial" w:cs="Arial"/>
          <w:sz w:val="22"/>
          <w:szCs w:val="22"/>
          <w:lang w:eastAsia="en-US"/>
        </w:rPr>
        <w:t xml:space="preserve">inance, </w:t>
      </w:r>
      <w:r w:rsidR="001A0489">
        <w:rPr>
          <w:rFonts w:ascii="Arial" w:hAnsi="Arial" w:cs="Arial"/>
          <w:sz w:val="22"/>
          <w:szCs w:val="22"/>
          <w:lang w:eastAsia="en-US"/>
        </w:rPr>
        <w:t>Supply Chain Finance</w:t>
      </w:r>
      <w:r>
        <w:rPr>
          <w:rFonts w:ascii="Arial" w:hAnsi="Arial" w:cs="Arial"/>
          <w:sz w:val="22"/>
          <w:szCs w:val="22"/>
          <w:lang w:eastAsia="en-US"/>
        </w:rPr>
        <w:t xml:space="preserve"> can offer pre-and post-shipment financing options, and can enable access to affordable financing </w:t>
      </w:r>
      <w:r w:rsidR="002F2AA4">
        <w:rPr>
          <w:rFonts w:ascii="Arial" w:hAnsi="Arial" w:cs="Arial"/>
          <w:sz w:val="22"/>
          <w:szCs w:val="22"/>
          <w:lang w:eastAsia="en-US"/>
        </w:rPr>
        <w:t xml:space="preserve">in </w:t>
      </w:r>
      <w:r>
        <w:rPr>
          <w:rFonts w:ascii="Arial" w:hAnsi="Arial" w:cs="Arial"/>
          <w:sz w:val="22"/>
          <w:szCs w:val="22"/>
          <w:lang w:eastAsia="en-US"/>
        </w:rPr>
        <w:t xml:space="preserve">markets </w:t>
      </w:r>
      <w:r w:rsidR="002F2AA4">
        <w:rPr>
          <w:rFonts w:ascii="Arial" w:hAnsi="Arial" w:cs="Arial"/>
          <w:sz w:val="22"/>
          <w:szCs w:val="22"/>
          <w:lang w:eastAsia="en-US"/>
        </w:rPr>
        <w:t>and/</w:t>
      </w:r>
      <w:r>
        <w:rPr>
          <w:rFonts w:ascii="Arial" w:hAnsi="Arial" w:cs="Arial"/>
          <w:sz w:val="22"/>
          <w:szCs w:val="22"/>
          <w:lang w:eastAsia="en-US"/>
        </w:rPr>
        <w:t xml:space="preserve">or </w:t>
      </w:r>
      <w:r w:rsidR="002F2AA4">
        <w:rPr>
          <w:rFonts w:ascii="Arial" w:hAnsi="Arial" w:cs="Arial"/>
          <w:sz w:val="22"/>
          <w:szCs w:val="22"/>
          <w:lang w:eastAsia="en-US"/>
        </w:rPr>
        <w:t xml:space="preserve">to </w:t>
      </w:r>
      <w:r>
        <w:rPr>
          <w:rFonts w:ascii="Arial" w:hAnsi="Arial" w:cs="Arial"/>
          <w:sz w:val="22"/>
          <w:szCs w:val="22"/>
          <w:lang w:eastAsia="en-US"/>
        </w:rPr>
        <w:t>parties where financing would otherwise be very expensive or simply unavailable.</w:t>
      </w:r>
    </w:p>
    <w:p w14:paraId="352F85DF" w14:textId="77777777" w:rsidR="006F1B07" w:rsidRDefault="006F1B07" w:rsidP="00EB3781">
      <w:pPr>
        <w:jc w:val="both"/>
        <w:rPr>
          <w:rFonts w:ascii="Arial" w:hAnsi="Arial" w:cs="Arial"/>
          <w:sz w:val="22"/>
          <w:szCs w:val="22"/>
          <w:lang w:eastAsia="en-US"/>
        </w:rPr>
      </w:pPr>
    </w:p>
    <w:p w14:paraId="7B2F9C11" w14:textId="77777777" w:rsidR="006F1B07" w:rsidRDefault="006F1B07" w:rsidP="006F1B07">
      <w:pPr>
        <w:pStyle w:val="Caption"/>
        <w:rPr>
          <w:rFonts w:ascii="Arial" w:hAnsi="Arial" w:cs="Arial"/>
          <w:sz w:val="22"/>
          <w:szCs w:val="22"/>
          <w:lang w:eastAsia="en-US"/>
        </w:rPr>
      </w:pPr>
      <w:bookmarkStart w:id="30" w:name="_Toc436042279"/>
      <w:r>
        <w:t xml:space="preserve">Figure </w:t>
      </w:r>
      <w:r>
        <w:fldChar w:fldCharType="begin"/>
      </w:r>
      <w:r>
        <w:instrText xml:space="preserve"> SEQ Figure \* ARABIC </w:instrText>
      </w:r>
      <w:r>
        <w:fldChar w:fldCharType="separate"/>
      </w:r>
      <w:r w:rsidR="00A73BD5">
        <w:rPr>
          <w:noProof/>
        </w:rPr>
        <w:t>15</w:t>
      </w:r>
      <w:r>
        <w:fldChar w:fldCharType="end"/>
      </w:r>
      <w:r>
        <w:t>:</w:t>
      </w:r>
      <w:r w:rsidRPr="006F1B07">
        <w:t xml:space="preserve"> Scope of Supply Chain Finance</w:t>
      </w:r>
      <w:bookmarkEnd w:id="30"/>
    </w:p>
    <w:p w14:paraId="6C833321" w14:textId="77777777" w:rsidR="00B67315" w:rsidRDefault="00B67315" w:rsidP="00EB3781">
      <w:pPr>
        <w:jc w:val="both"/>
        <w:rPr>
          <w:rFonts w:ascii="Arial" w:hAnsi="Arial" w:cs="Arial"/>
          <w:sz w:val="22"/>
          <w:szCs w:val="22"/>
          <w:lang w:eastAsia="en-US"/>
        </w:rPr>
      </w:pPr>
      <w:r w:rsidRPr="00B67315">
        <w:rPr>
          <w:noProof/>
          <w:lang w:val="en-GB" w:eastAsia="en-GB"/>
        </w:rPr>
        <w:drawing>
          <wp:inline distT="0" distB="0" distL="0" distR="0" wp14:anchorId="46984B60" wp14:editId="5B907352">
            <wp:extent cx="5273040" cy="1806382"/>
            <wp:effectExtent l="19050" t="19050" r="22860"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0374" cy="1808894"/>
                    </a:xfrm>
                    <a:prstGeom prst="rect">
                      <a:avLst/>
                    </a:prstGeom>
                    <a:noFill/>
                    <a:ln>
                      <a:solidFill>
                        <a:schemeClr val="accent1"/>
                      </a:solidFill>
                    </a:ln>
                  </pic:spPr>
                </pic:pic>
              </a:graphicData>
            </a:graphic>
          </wp:inline>
        </w:drawing>
      </w:r>
    </w:p>
    <w:p w14:paraId="004D7C0B" w14:textId="77777777" w:rsidR="00B67315" w:rsidRPr="006F1B07" w:rsidRDefault="00B67315" w:rsidP="00EB3781">
      <w:pPr>
        <w:jc w:val="both"/>
        <w:rPr>
          <w:rStyle w:val="Emphasis"/>
        </w:rPr>
      </w:pPr>
      <w:r w:rsidRPr="006F1B07">
        <w:rPr>
          <w:rStyle w:val="Emphasis"/>
        </w:rPr>
        <w:t>Source: Standard Chartered Bank (Website)</w:t>
      </w:r>
    </w:p>
    <w:p w14:paraId="379C59A2" w14:textId="77777777" w:rsidR="0051256A" w:rsidRDefault="0051256A" w:rsidP="00EB3781">
      <w:pPr>
        <w:jc w:val="both"/>
        <w:rPr>
          <w:rFonts w:ascii="Arial" w:hAnsi="Arial" w:cs="Arial"/>
          <w:sz w:val="22"/>
          <w:szCs w:val="22"/>
          <w:lang w:eastAsia="en-US"/>
        </w:rPr>
      </w:pPr>
    </w:p>
    <w:p w14:paraId="04277911" w14:textId="77777777" w:rsidR="007560A1" w:rsidRDefault="0051256A" w:rsidP="00EB3781">
      <w:pPr>
        <w:jc w:val="both"/>
        <w:rPr>
          <w:rFonts w:ascii="Arial" w:hAnsi="Arial" w:cs="Arial"/>
          <w:sz w:val="22"/>
          <w:szCs w:val="22"/>
          <w:lang w:eastAsia="en-US"/>
        </w:rPr>
      </w:pPr>
      <w:r>
        <w:rPr>
          <w:rFonts w:ascii="Arial" w:hAnsi="Arial" w:cs="Arial"/>
          <w:sz w:val="22"/>
          <w:szCs w:val="22"/>
          <w:lang w:eastAsia="en-US"/>
        </w:rPr>
        <w:t xml:space="preserve">Given the nascent nature of </w:t>
      </w:r>
      <w:r w:rsidR="00CC2447">
        <w:rPr>
          <w:rFonts w:ascii="Arial" w:hAnsi="Arial" w:cs="Arial"/>
          <w:sz w:val="22"/>
          <w:szCs w:val="22"/>
          <w:lang w:eastAsia="en-US"/>
        </w:rPr>
        <w:t>S</w:t>
      </w:r>
      <w:r>
        <w:rPr>
          <w:rFonts w:ascii="Arial" w:hAnsi="Arial" w:cs="Arial"/>
          <w:sz w:val="22"/>
          <w:szCs w:val="22"/>
          <w:lang w:eastAsia="en-US"/>
        </w:rPr>
        <w:t xml:space="preserve">upply </w:t>
      </w:r>
      <w:r w:rsidR="00CC2447">
        <w:rPr>
          <w:rFonts w:ascii="Arial" w:hAnsi="Arial" w:cs="Arial"/>
          <w:sz w:val="22"/>
          <w:szCs w:val="22"/>
          <w:lang w:eastAsia="en-US"/>
        </w:rPr>
        <w:t>C</w:t>
      </w:r>
      <w:r>
        <w:rPr>
          <w:rFonts w:ascii="Arial" w:hAnsi="Arial" w:cs="Arial"/>
          <w:sz w:val="22"/>
          <w:szCs w:val="22"/>
          <w:lang w:eastAsia="en-US"/>
        </w:rPr>
        <w:t xml:space="preserve">hain </w:t>
      </w:r>
      <w:r w:rsidR="00CC2447">
        <w:rPr>
          <w:rFonts w:ascii="Arial" w:hAnsi="Arial" w:cs="Arial"/>
          <w:sz w:val="22"/>
          <w:szCs w:val="22"/>
          <w:lang w:eastAsia="en-US"/>
        </w:rPr>
        <w:t>F</w:t>
      </w:r>
      <w:r>
        <w:rPr>
          <w:rFonts w:ascii="Arial" w:hAnsi="Arial" w:cs="Arial"/>
          <w:sz w:val="22"/>
          <w:szCs w:val="22"/>
          <w:lang w:eastAsia="en-US"/>
        </w:rPr>
        <w:t xml:space="preserve">inance, some providers might offer one or two products or solutions, while the leading players possess a suite of end-to-end </w:t>
      </w:r>
      <w:r>
        <w:rPr>
          <w:rFonts w:ascii="Arial" w:hAnsi="Arial" w:cs="Arial"/>
          <w:sz w:val="22"/>
          <w:szCs w:val="22"/>
          <w:lang w:eastAsia="en-US"/>
        </w:rPr>
        <w:lastRenderedPageBreak/>
        <w:t>solutions aimed at all parties in a supply chain</w:t>
      </w:r>
      <w:r w:rsidR="004D1703">
        <w:rPr>
          <w:rFonts w:ascii="Arial" w:hAnsi="Arial" w:cs="Arial"/>
          <w:sz w:val="22"/>
          <w:szCs w:val="22"/>
          <w:lang w:eastAsia="en-US"/>
        </w:rPr>
        <w:t xml:space="preserve"> including </w:t>
      </w:r>
      <w:r w:rsidR="007560A1">
        <w:rPr>
          <w:rFonts w:ascii="Arial" w:hAnsi="Arial" w:cs="Arial"/>
          <w:sz w:val="22"/>
          <w:szCs w:val="22"/>
          <w:lang w:eastAsia="en-US"/>
        </w:rPr>
        <w:t xml:space="preserve">(among others) </w:t>
      </w:r>
      <w:r w:rsidR="004D1703">
        <w:rPr>
          <w:rFonts w:ascii="Arial" w:hAnsi="Arial" w:cs="Arial"/>
          <w:sz w:val="22"/>
          <w:szCs w:val="22"/>
          <w:lang w:eastAsia="en-US"/>
        </w:rPr>
        <w:t>logistics, customs and insurance providers</w:t>
      </w:r>
      <w:r>
        <w:rPr>
          <w:rFonts w:ascii="Arial" w:hAnsi="Arial" w:cs="Arial"/>
          <w:sz w:val="22"/>
          <w:szCs w:val="22"/>
          <w:lang w:eastAsia="en-US"/>
        </w:rPr>
        <w:t xml:space="preserve">. </w:t>
      </w:r>
    </w:p>
    <w:p w14:paraId="795C4189" w14:textId="77777777" w:rsidR="00E03D63" w:rsidRDefault="00E03D63" w:rsidP="00EB3781">
      <w:pPr>
        <w:jc w:val="both"/>
        <w:rPr>
          <w:rFonts w:ascii="Arial" w:hAnsi="Arial" w:cs="Arial"/>
          <w:sz w:val="22"/>
          <w:szCs w:val="22"/>
          <w:lang w:eastAsia="en-US"/>
        </w:rPr>
      </w:pPr>
    </w:p>
    <w:p w14:paraId="634B2618" w14:textId="77777777" w:rsidR="0051256A" w:rsidRDefault="001A0489" w:rsidP="00EB3781">
      <w:pPr>
        <w:jc w:val="both"/>
        <w:rPr>
          <w:rFonts w:ascii="Arial" w:hAnsi="Arial" w:cs="Arial"/>
          <w:sz w:val="22"/>
          <w:szCs w:val="22"/>
          <w:lang w:eastAsia="en-US"/>
        </w:rPr>
      </w:pPr>
      <w:r>
        <w:rPr>
          <w:rFonts w:ascii="Arial" w:hAnsi="Arial" w:cs="Arial"/>
          <w:sz w:val="22"/>
          <w:szCs w:val="22"/>
          <w:lang w:eastAsia="en-US"/>
        </w:rPr>
        <w:t>Supply Chain Finance</w:t>
      </w:r>
      <w:r w:rsidR="0051256A">
        <w:rPr>
          <w:rFonts w:ascii="Arial" w:hAnsi="Arial" w:cs="Arial"/>
          <w:sz w:val="22"/>
          <w:szCs w:val="22"/>
          <w:lang w:eastAsia="en-US"/>
        </w:rPr>
        <w:t xml:space="preserve"> is such a new </w:t>
      </w:r>
      <w:r w:rsidR="007560A1">
        <w:rPr>
          <w:rFonts w:ascii="Arial" w:hAnsi="Arial" w:cs="Arial"/>
          <w:sz w:val="22"/>
          <w:szCs w:val="22"/>
          <w:lang w:eastAsia="en-US"/>
        </w:rPr>
        <w:t xml:space="preserve">phenomenon </w:t>
      </w:r>
      <w:r w:rsidR="0051256A">
        <w:rPr>
          <w:rFonts w:ascii="Arial" w:hAnsi="Arial" w:cs="Arial"/>
          <w:sz w:val="22"/>
          <w:szCs w:val="22"/>
          <w:lang w:eastAsia="en-US"/>
        </w:rPr>
        <w:t>in the market, that even basic terminology and de</w:t>
      </w:r>
      <w:r w:rsidR="005827FA">
        <w:rPr>
          <w:rFonts w:ascii="Arial" w:hAnsi="Arial" w:cs="Arial"/>
          <w:sz w:val="22"/>
          <w:szCs w:val="22"/>
          <w:lang w:eastAsia="en-US"/>
        </w:rPr>
        <w:t>finitions are under development, with the eventual objective of creating some consistency of use and nomenclature, and ideally, a high rate of global adoption of a common set of definitions.</w:t>
      </w:r>
      <w:r w:rsidR="004D1703">
        <w:rPr>
          <w:rFonts w:ascii="Arial" w:hAnsi="Arial" w:cs="Arial"/>
          <w:sz w:val="22"/>
          <w:szCs w:val="22"/>
          <w:lang w:eastAsia="en-US"/>
        </w:rPr>
        <w:t xml:space="preserve"> The International Chamber of Commerce Banking Commission is leading a global initiative in collaboration with several industry associations, to develop such a set of definitions to benefit clients, regulatory authorities, service providers </w:t>
      </w:r>
      <w:r w:rsidR="007560A1">
        <w:rPr>
          <w:rFonts w:ascii="Arial" w:hAnsi="Arial" w:cs="Arial"/>
          <w:sz w:val="22"/>
          <w:szCs w:val="22"/>
          <w:lang w:eastAsia="en-US"/>
        </w:rPr>
        <w:t>(</w:t>
      </w:r>
      <w:r w:rsidR="004D1703">
        <w:rPr>
          <w:rFonts w:ascii="Arial" w:hAnsi="Arial" w:cs="Arial"/>
          <w:sz w:val="22"/>
          <w:szCs w:val="22"/>
          <w:lang w:eastAsia="en-US"/>
        </w:rPr>
        <w:t>like accountancy and audit firms</w:t>
      </w:r>
      <w:r w:rsidR="007560A1">
        <w:rPr>
          <w:rFonts w:ascii="Arial" w:hAnsi="Arial" w:cs="Arial"/>
          <w:sz w:val="22"/>
          <w:szCs w:val="22"/>
          <w:lang w:eastAsia="en-US"/>
        </w:rPr>
        <w:t>)</w:t>
      </w:r>
      <w:r w:rsidR="004D1703">
        <w:rPr>
          <w:rFonts w:ascii="Arial" w:hAnsi="Arial" w:cs="Arial"/>
          <w:sz w:val="22"/>
          <w:szCs w:val="22"/>
          <w:lang w:eastAsia="en-US"/>
        </w:rPr>
        <w:t xml:space="preserve"> and others.</w:t>
      </w:r>
    </w:p>
    <w:p w14:paraId="55015456" w14:textId="77777777" w:rsidR="006F1B07" w:rsidRDefault="006F1B07" w:rsidP="00EB3781">
      <w:pPr>
        <w:jc w:val="both"/>
        <w:rPr>
          <w:rFonts w:ascii="Arial" w:hAnsi="Arial" w:cs="Arial"/>
          <w:sz w:val="22"/>
          <w:szCs w:val="22"/>
          <w:lang w:eastAsia="en-US"/>
        </w:rPr>
      </w:pPr>
    </w:p>
    <w:p w14:paraId="2F0D5D7B" w14:textId="77777777" w:rsidR="006F1B07" w:rsidRDefault="006F1B07" w:rsidP="006F1B07">
      <w:pPr>
        <w:pStyle w:val="Caption"/>
        <w:rPr>
          <w:rFonts w:ascii="Arial" w:hAnsi="Arial" w:cs="Arial"/>
          <w:sz w:val="22"/>
          <w:szCs w:val="22"/>
          <w:lang w:eastAsia="en-US"/>
        </w:rPr>
      </w:pPr>
      <w:bookmarkStart w:id="31" w:name="_Toc436042280"/>
      <w:r>
        <w:t xml:space="preserve">Figure </w:t>
      </w:r>
      <w:r>
        <w:fldChar w:fldCharType="begin"/>
      </w:r>
      <w:r>
        <w:instrText xml:space="preserve"> SEQ Figure \* ARABIC </w:instrText>
      </w:r>
      <w:r>
        <w:fldChar w:fldCharType="separate"/>
      </w:r>
      <w:r w:rsidR="00A73BD5">
        <w:rPr>
          <w:noProof/>
        </w:rPr>
        <w:t>16</w:t>
      </w:r>
      <w:r>
        <w:fldChar w:fldCharType="end"/>
      </w:r>
      <w:r>
        <w:t xml:space="preserve">: </w:t>
      </w:r>
      <w:r w:rsidRPr="006F1B07">
        <w:t>Draft Supply Chain Finance Techniques and Definitions</w:t>
      </w:r>
      <w:bookmarkEnd w:id="31"/>
    </w:p>
    <w:p w14:paraId="2EC8034A" w14:textId="77777777" w:rsidR="0039224D" w:rsidRDefault="0039224D" w:rsidP="0039224D">
      <w:pPr>
        <w:jc w:val="center"/>
        <w:rPr>
          <w:rFonts w:ascii="Arial" w:hAnsi="Arial" w:cs="Arial"/>
          <w:sz w:val="22"/>
          <w:szCs w:val="22"/>
          <w:lang w:eastAsia="en-US"/>
        </w:rPr>
      </w:pPr>
      <w:r w:rsidRPr="0039224D">
        <w:rPr>
          <w:noProof/>
          <w:lang w:val="en-GB" w:eastAsia="en-GB"/>
        </w:rPr>
        <w:drawing>
          <wp:inline distT="0" distB="0" distL="0" distR="0" wp14:anchorId="4FA4FBA3" wp14:editId="075676CF">
            <wp:extent cx="4814147" cy="2682240"/>
            <wp:effectExtent l="19050" t="19050" r="571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28008" cy="2689963"/>
                    </a:xfrm>
                    <a:prstGeom prst="rect">
                      <a:avLst/>
                    </a:prstGeom>
                    <a:ln>
                      <a:solidFill>
                        <a:schemeClr val="accent1"/>
                      </a:solidFill>
                    </a:ln>
                  </pic:spPr>
                </pic:pic>
              </a:graphicData>
            </a:graphic>
          </wp:inline>
        </w:drawing>
      </w:r>
    </w:p>
    <w:p w14:paraId="4A32EBEC" w14:textId="77777777" w:rsidR="00DC09B4" w:rsidRDefault="0039224D" w:rsidP="006F1B07">
      <w:pPr>
        <w:rPr>
          <w:rFonts w:ascii="Arial" w:hAnsi="Arial" w:cs="Arial"/>
          <w:sz w:val="22"/>
          <w:szCs w:val="22"/>
          <w:lang w:eastAsia="en-US"/>
        </w:rPr>
      </w:pPr>
      <w:r w:rsidRPr="006F1B07">
        <w:rPr>
          <w:rStyle w:val="Emphasis"/>
        </w:rPr>
        <w:t>Source: Global Supply Chain Finance Forum, 2015</w:t>
      </w:r>
      <w:r>
        <w:rPr>
          <w:rFonts w:ascii="Arial" w:hAnsi="Arial" w:cs="Arial"/>
          <w:sz w:val="22"/>
          <w:szCs w:val="22"/>
          <w:lang w:eastAsia="en-US"/>
        </w:rPr>
        <w:br/>
      </w:r>
    </w:p>
    <w:p w14:paraId="1E91A5DC" w14:textId="77777777" w:rsidR="007D0831" w:rsidRDefault="007D0831" w:rsidP="00EB3781">
      <w:pPr>
        <w:jc w:val="both"/>
        <w:rPr>
          <w:rFonts w:ascii="Arial" w:hAnsi="Arial" w:cs="Arial"/>
          <w:sz w:val="22"/>
          <w:szCs w:val="22"/>
          <w:lang w:eastAsia="en-US"/>
        </w:rPr>
      </w:pPr>
      <w:r w:rsidRPr="0039224D">
        <w:rPr>
          <w:rFonts w:ascii="Arial" w:hAnsi="Arial" w:cs="Arial"/>
          <w:sz w:val="22"/>
          <w:szCs w:val="22"/>
          <w:lang w:eastAsia="en-US"/>
        </w:rPr>
        <w:t xml:space="preserve">One of the more common offerings in </w:t>
      </w:r>
      <w:r w:rsidR="001A0489" w:rsidRPr="0039224D">
        <w:rPr>
          <w:rFonts w:ascii="Arial" w:hAnsi="Arial" w:cs="Arial"/>
          <w:sz w:val="22"/>
          <w:szCs w:val="22"/>
          <w:lang w:eastAsia="en-US"/>
        </w:rPr>
        <w:t>Supply Chain Finance</w:t>
      </w:r>
      <w:r w:rsidRPr="0039224D">
        <w:rPr>
          <w:rFonts w:ascii="Arial" w:hAnsi="Arial" w:cs="Arial"/>
          <w:sz w:val="22"/>
          <w:szCs w:val="22"/>
          <w:lang w:eastAsia="en-US"/>
        </w:rPr>
        <w:t xml:space="preserve"> today is sometimes referred to as “Buyer-Led” or “Buyer-Centric” </w:t>
      </w:r>
      <w:r w:rsidR="007560A1" w:rsidRPr="0039224D">
        <w:rPr>
          <w:rFonts w:ascii="Arial" w:hAnsi="Arial" w:cs="Arial"/>
          <w:sz w:val="22"/>
          <w:szCs w:val="22"/>
          <w:lang w:eastAsia="en-US"/>
        </w:rPr>
        <w:t>S</w:t>
      </w:r>
      <w:r w:rsidRPr="0039224D">
        <w:rPr>
          <w:rFonts w:ascii="Arial" w:hAnsi="Arial" w:cs="Arial"/>
          <w:sz w:val="22"/>
          <w:szCs w:val="22"/>
          <w:lang w:eastAsia="en-US"/>
        </w:rPr>
        <w:t xml:space="preserve">upply </w:t>
      </w:r>
      <w:r w:rsidR="007560A1" w:rsidRPr="0039224D">
        <w:rPr>
          <w:rFonts w:ascii="Arial" w:hAnsi="Arial" w:cs="Arial"/>
          <w:sz w:val="22"/>
          <w:szCs w:val="22"/>
          <w:lang w:eastAsia="en-US"/>
        </w:rPr>
        <w:t>C</w:t>
      </w:r>
      <w:r w:rsidRPr="0039224D">
        <w:rPr>
          <w:rFonts w:ascii="Arial" w:hAnsi="Arial" w:cs="Arial"/>
          <w:sz w:val="22"/>
          <w:szCs w:val="22"/>
          <w:lang w:eastAsia="en-US"/>
        </w:rPr>
        <w:t xml:space="preserve">hain </w:t>
      </w:r>
      <w:r w:rsidR="007560A1" w:rsidRPr="0039224D">
        <w:rPr>
          <w:rFonts w:ascii="Arial" w:hAnsi="Arial" w:cs="Arial"/>
          <w:sz w:val="22"/>
          <w:szCs w:val="22"/>
          <w:lang w:eastAsia="en-US"/>
        </w:rPr>
        <w:t>F</w:t>
      </w:r>
      <w:r w:rsidRPr="0039224D">
        <w:rPr>
          <w:rFonts w:ascii="Arial" w:hAnsi="Arial" w:cs="Arial"/>
          <w:sz w:val="22"/>
          <w:szCs w:val="22"/>
          <w:lang w:eastAsia="en-US"/>
        </w:rPr>
        <w:t>inance</w:t>
      </w:r>
      <w:r w:rsidR="0039224D">
        <w:rPr>
          <w:rFonts w:ascii="Arial" w:hAnsi="Arial" w:cs="Arial"/>
          <w:sz w:val="22"/>
          <w:szCs w:val="22"/>
          <w:lang w:eastAsia="en-US"/>
        </w:rPr>
        <w:t>, or Payables Finance</w:t>
      </w:r>
      <w:r w:rsidRPr="0039224D">
        <w:rPr>
          <w:rFonts w:ascii="Arial" w:hAnsi="Arial" w:cs="Arial"/>
          <w:sz w:val="22"/>
          <w:szCs w:val="22"/>
          <w:lang w:eastAsia="en-US"/>
        </w:rPr>
        <w:t>. In this structure, a large buyer and the buyer’s bank agree to put in place a financing program aimed at a qualified subset of suppliers</w:t>
      </w:r>
      <w:r w:rsidR="00FE680B" w:rsidRPr="0039224D">
        <w:rPr>
          <w:rFonts w:ascii="Arial" w:hAnsi="Arial" w:cs="Arial"/>
          <w:sz w:val="22"/>
          <w:szCs w:val="22"/>
          <w:lang w:eastAsia="en-US"/>
        </w:rPr>
        <w:t xml:space="preserve"> of the buyer in question</w:t>
      </w:r>
      <w:r w:rsidRPr="0039224D">
        <w:rPr>
          <w:rFonts w:ascii="Arial" w:hAnsi="Arial" w:cs="Arial"/>
          <w:sz w:val="22"/>
          <w:szCs w:val="22"/>
          <w:lang w:eastAsia="en-US"/>
        </w:rPr>
        <w:t>, often those considered to be ‘strategic suppliers’ but also perhaps suppliers with a minimum monthly turnover of business with the buyer</w:t>
      </w:r>
      <w:r w:rsidR="00624CB4" w:rsidRPr="0039224D">
        <w:rPr>
          <w:rFonts w:ascii="Arial" w:hAnsi="Arial" w:cs="Arial"/>
          <w:sz w:val="22"/>
          <w:szCs w:val="22"/>
          <w:lang w:eastAsia="en-US"/>
        </w:rPr>
        <w:t xml:space="preserve">, </w:t>
      </w:r>
      <w:r w:rsidR="004D1703" w:rsidRPr="0039224D">
        <w:rPr>
          <w:rFonts w:ascii="Arial" w:hAnsi="Arial" w:cs="Arial"/>
          <w:sz w:val="22"/>
          <w:szCs w:val="22"/>
          <w:lang w:eastAsia="en-US"/>
        </w:rPr>
        <w:t>often SMEs.</w:t>
      </w:r>
    </w:p>
    <w:p w14:paraId="5494BCB1" w14:textId="77777777" w:rsidR="00DC09B4" w:rsidRDefault="00DC09B4" w:rsidP="00EB3781">
      <w:pPr>
        <w:jc w:val="both"/>
        <w:rPr>
          <w:rFonts w:ascii="Arial" w:hAnsi="Arial" w:cs="Arial"/>
          <w:sz w:val="22"/>
          <w:szCs w:val="22"/>
          <w:lang w:eastAsia="en-US"/>
        </w:rPr>
      </w:pPr>
    </w:p>
    <w:p w14:paraId="6917AEFC" w14:textId="77777777" w:rsidR="00DC09B4" w:rsidRDefault="00DC09B4" w:rsidP="00EB3781">
      <w:pPr>
        <w:jc w:val="both"/>
        <w:rPr>
          <w:rFonts w:ascii="Arial" w:hAnsi="Arial" w:cs="Arial"/>
          <w:sz w:val="22"/>
          <w:szCs w:val="22"/>
          <w:lang w:eastAsia="en-US"/>
        </w:rPr>
      </w:pPr>
      <w:r>
        <w:rPr>
          <w:rFonts w:ascii="Arial" w:hAnsi="Arial" w:cs="Arial"/>
          <w:sz w:val="22"/>
          <w:szCs w:val="22"/>
          <w:lang w:eastAsia="en-US"/>
        </w:rPr>
        <w:t xml:space="preserve">This </w:t>
      </w:r>
      <w:r w:rsidR="004D1703">
        <w:rPr>
          <w:rFonts w:ascii="Arial" w:hAnsi="Arial" w:cs="Arial"/>
          <w:sz w:val="22"/>
          <w:szCs w:val="22"/>
          <w:lang w:eastAsia="en-US"/>
        </w:rPr>
        <w:t>technique</w:t>
      </w:r>
      <w:r>
        <w:rPr>
          <w:rFonts w:ascii="Arial" w:hAnsi="Arial" w:cs="Arial"/>
          <w:sz w:val="22"/>
          <w:szCs w:val="22"/>
          <w:lang w:eastAsia="en-US"/>
        </w:rPr>
        <w:t xml:space="preserve"> of S</w:t>
      </w:r>
      <w:r w:rsidR="004D1703">
        <w:rPr>
          <w:rFonts w:ascii="Arial" w:hAnsi="Arial" w:cs="Arial"/>
          <w:sz w:val="22"/>
          <w:szCs w:val="22"/>
          <w:lang w:eastAsia="en-US"/>
        </w:rPr>
        <w:t xml:space="preserve">upply </w:t>
      </w:r>
      <w:r>
        <w:rPr>
          <w:rFonts w:ascii="Arial" w:hAnsi="Arial" w:cs="Arial"/>
          <w:sz w:val="22"/>
          <w:szCs w:val="22"/>
          <w:lang w:eastAsia="en-US"/>
        </w:rPr>
        <w:t>C</w:t>
      </w:r>
      <w:r w:rsidR="004D1703">
        <w:rPr>
          <w:rFonts w:ascii="Arial" w:hAnsi="Arial" w:cs="Arial"/>
          <w:sz w:val="22"/>
          <w:szCs w:val="22"/>
          <w:lang w:eastAsia="en-US"/>
        </w:rPr>
        <w:t xml:space="preserve">hain </w:t>
      </w:r>
      <w:r>
        <w:rPr>
          <w:rFonts w:ascii="Arial" w:hAnsi="Arial" w:cs="Arial"/>
          <w:sz w:val="22"/>
          <w:szCs w:val="22"/>
          <w:lang w:eastAsia="en-US"/>
        </w:rPr>
        <w:t>F</w:t>
      </w:r>
      <w:r w:rsidR="004D1703">
        <w:rPr>
          <w:rFonts w:ascii="Arial" w:hAnsi="Arial" w:cs="Arial"/>
          <w:sz w:val="22"/>
          <w:szCs w:val="22"/>
          <w:lang w:eastAsia="en-US"/>
        </w:rPr>
        <w:t>inance</w:t>
      </w:r>
      <w:r>
        <w:rPr>
          <w:rFonts w:ascii="Arial" w:hAnsi="Arial" w:cs="Arial"/>
          <w:sz w:val="22"/>
          <w:szCs w:val="22"/>
          <w:lang w:eastAsia="en-US"/>
        </w:rPr>
        <w:t xml:space="preserve"> works because the </w:t>
      </w:r>
      <w:r w:rsidR="00313782">
        <w:rPr>
          <w:rFonts w:ascii="Arial" w:hAnsi="Arial" w:cs="Arial"/>
          <w:sz w:val="22"/>
          <w:szCs w:val="22"/>
          <w:lang w:eastAsia="en-US"/>
        </w:rPr>
        <w:t>buyer</w:t>
      </w:r>
      <w:r w:rsidR="004D1703">
        <w:rPr>
          <w:rFonts w:ascii="Arial" w:hAnsi="Arial" w:cs="Arial"/>
          <w:sz w:val="22"/>
          <w:szCs w:val="22"/>
          <w:lang w:eastAsia="en-US"/>
        </w:rPr>
        <w:t xml:space="preserve"> </w:t>
      </w:r>
      <w:r>
        <w:rPr>
          <w:rFonts w:ascii="Arial" w:hAnsi="Arial" w:cs="Arial"/>
          <w:sz w:val="22"/>
          <w:szCs w:val="22"/>
          <w:lang w:eastAsia="en-US"/>
        </w:rPr>
        <w:t>re</w:t>
      </w:r>
      <w:r w:rsidR="0039224D">
        <w:rPr>
          <w:rFonts w:ascii="Arial" w:hAnsi="Arial" w:cs="Arial"/>
          <w:sz w:val="22"/>
          <w:szCs w:val="22"/>
          <w:lang w:eastAsia="en-US"/>
        </w:rPr>
        <w:t xml:space="preserve">cognizes </w:t>
      </w:r>
      <w:r>
        <w:rPr>
          <w:rFonts w:ascii="Arial" w:hAnsi="Arial" w:cs="Arial"/>
          <w:sz w:val="22"/>
          <w:szCs w:val="22"/>
          <w:lang w:eastAsia="en-US"/>
        </w:rPr>
        <w:t>the importance of maintain</w:t>
      </w:r>
      <w:r w:rsidR="00712F44">
        <w:rPr>
          <w:rFonts w:ascii="Arial" w:hAnsi="Arial" w:cs="Arial"/>
          <w:sz w:val="22"/>
          <w:szCs w:val="22"/>
          <w:lang w:eastAsia="en-US"/>
        </w:rPr>
        <w:t>ing</w:t>
      </w:r>
      <w:r>
        <w:rPr>
          <w:rFonts w:ascii="Arial" w:hAnsi="Arial" w:cs="Arial"/>
          <w:sz w:val="22"/>
          <w:szCs w:val="22"/>
          <w:lang w:eastAsia="en-US"/>
        </w:rPr>
        <w:t xml:space="preserve"> a robust supply chain and decides to leverage a strong credit standing and significant borrowing capacity to provide financing to (selected) SME suppliers through the </w:t>
      </w:r>
      <w:r w:rsidR="00313782">
        <w:rPr>
          <w:rFonts w:ascii="Arial" w:hAnsi="Arial" w:cs="Arial"/>
          <w:sz w:val="22"/>
          <w:szCs w:val="22"/>
          <w:lang w:eastAsia="en-US"/>
        </w:rPr>
        <w:t>buyer</w:t>
      </w:r>
      <w:r>
        <w:rPr>
          <w:rFonts w:ascii="Arial" w:hAnsi="Arial" w:cs="Arial"/>
          <w:sz w:val="22"/>
          <w:szCs w:val="22"/>
          <w:lang w:eastAsia="en-US"/>
        </w:rPr>
        <w:t>’s bank.</w:t>
      </w:r>
    </w:p>
    <w:p w14:paraId="4CA0EDD6" w14:textId="77777777" w:rsidR="00DF5F60" w:rsidRDefault="00DF5F60" w:rsidP="00EB3781">
      <w:pPr>
        <w:jc w:val="both"/>
        <w:rPr>
          <w:rFonts w:ascii="Arial" w:hAnsi="Arial" w:cs="Arial"/>
          <w:sz w:val="22"/>
          <w:szCs w:val="22"/>
          <w:lang w:eastAsia="en-US"/>
        </w:rPr>
      </w:pPr>
    </w:p>
    <w:p w14:paraId="54D100FC" w14:textId="77777777" w:rsidR="00F01889" w:rsidRDefault="00DF5F60" w:rsidP="00EB3781">
      <w:pPr>
        <w:jc w:val="both"/>
        <w:rPr>
          <w:rFonts w:ascii="Arial" w:hAnsi="Arial" w:cs="Arial"/>
          <w:sz w:val="22"/>
          <w:szCs w:val="22"/>
          <w:lang w:eastAsia="en-US"/>
        </w:rPr>
      </w:pPr>
      <w:r>
        <w:rPr>
          <w:rFonts w:ascii="Arial" w:hAnsi="Arial" w:cs="Arial"/>
          <w:sz w:val="22"/>
          <w:szCs w:val="22"/>
          <w:lang w:eastAsia="en-US"/>
        </w:rPr>
        <w:t xml:space="preserve">This type of </w:t>
      </w:r>
      <w:r w:rsidR="001A0489">
        <w:rPr>
          <w:rFonts w:ascii="Arial" w:hAnsi="Arial" w:cs="Arial"/>
          <w:sz w:val="22"/>
          <w:szCs w:val="22"/>
          <w:lang w:eastAsia="en-US"/>
        </w:rPr>
        <w:t>Supply Chain Finance</w:t>
      </w:r>
      <w:r>
        <w:rPr>
          <w:rFonts w:ascii="Arial" w:hAnsi="Arial" w:cs="Arial"/>
          <w:sz w:val="22"/>
          <w:szCs w:val="22"/>
          <w:lang w:eastAsia="en-US"/>
        </w:rPr>
        <w:t xml:space="preserve"> technique is one of the more common in the market today, though bankers note that the process of “onboarding” suppliers is one of the major challenges, whether in terms of the relationship discussion (convincing suppliers that participation is in their interest, and not an indirect means for the </w:t>
      </w:r>
      <w:r w:rsidR="00313782">
        <w:rPr>
          <w:rFonts w:ascii="Arial" w:hAnsi="Arial" w:cs="Arial"/>
          <w:sz w:val="22"/>
          <w:szCs w:val="22"/>
          <w:lang w:eastAsia="en-US"/>
        </w:rPr>
        <w:t>buyer</w:t>
      </w:r>
      <w:r>
        <w:rPr>
          <w:rFonts w:ascii="Arial" w:hAnsi="Arial" w:cs="Arial"/>
          <w:sz w:val="22"/>
          <w:szCs w:val="22"/>
          <w:lang w:eastAsia="en-US"/>
        </w:rPr>
        <w:t xml:space="preserve"> to gather financial information about them), or on the </w:t>
      </w:r>
      <w:r w:rsidR="0039224D">
        <w:rPr>
          <w:rFonts w:ascii="Arial" w:hAnsi="Arial" w:cs="Arial"/>
          <w:sz w:val="22"/>
          <w:szCs w:val="22"/>
          <w:lang w:eastAsia="en-US"/>
        </w:rPr>
        <w:t xml:space="preserve">regulatory, </w:t>
      </w:r>
      <w:r>
        <w:rPr>
          <w:rFonts w:ascii="Arial" w:hAnsi="Arial" w:cs="Arial"/>
          <w:sz w:val="22"/>
          <w:szCs w:val="22"/>
          <w:lang w:eastAsia="en-US"/>
        </w:rPr>
        <w:t xml:space="preserve">technical and process side. </w:t>
      </w:r>
    </w:p>
    <w:p w14:paraId="711FA001" w14:textId="77777777" w:rsidR="00F01889" w:rsidRDefault="00F01889" w:rsidP="00EB3781">
      <w:pPr>
        <w:jc w:val="both"/>
        <w:rPr>
          <w:rFonts w:ascii="Arial" w:hAnsi="Arial" w:cs="Arial"/>
          <w:sz w:val="22"/>
          <w:szCs w:val="22"/>
          <w:lang w:eastAsia="en-US"/>
        </w:rPr>
      </w:pPr>
    </w:p>
    <w:p w14:paraId="654A4C1C" w14:textId="77777777" w:rsidR="00AA5113" w:rsidRPr="00AA5113" w:rsidRDefault="0039224D" w:rsidP="006F1B07">
      <w:pPr>
        <w:rPr>
          <w:rFonts w:ascii="Arial" w:hAnsi="Arial" w:cs="Arial"/>
          <w:sz w:val="22"/>
          <w:szCs w:val="22"/>
          <w:lang w:eastAsia="en-US"/>
        </w:rPr>
      </w:pPr>
      <w:r>
        <w:rPr>
          <w:rFonts w:ascii="Arial" w:hAnsi="Arial" w:cs="Arial"/>
          <w:sz w:val="22"/>
          <w:szCs w:val="22"/>
          <w:lang w:eastAsia="en-US"/>
        </w:rPr>
        <w:br w:type="page"/>
      </w:r>
      <w:r w:rsidR="00DF5F60">
        <w:rPr>
          <w:rFonts w:ascii="Arial" w:hAnsi="Arial" w:cs="Arial"/>
          <w:sz w:val="22"/>
          <w:szCs w:val="22"/>
          <w:lang w:eastAsia="en-US"/>
        </w:rPr>
        <w:lastRenderedPageBreak/>
        <w:t xml:space="preserve">That said, the processes and propositions are evolving, and there are a growing number of </w:t>
      </w:r>
      <w:r w:rsidR="00DF5F60" w:rsidRPr="00F01889">
        <w:rPr>
          <w:rFonts w:ascii="Arial" w:hAnsi="Arial" w:cs="Arial"/>
          <w:sz w:val="22"/>
          <w:szCs w:val="22"/>
          <w:lang w:eastAsia="en-US"/>
        </w:rPr>
        <w:t>corporates</w:t>
      </w:r>
      <w:r w:rsidR="00DF5F60">
        <w:rPr>
          <w:rFonts w:ascii="Arial" w:hAnsi="Arial" w:cs="Arial"/>
          <w:sz w:val="22"/>
          <w:szCs w:val="22"/>
          <w:lang w:eastAsia="en-US"/>
        </w:rPr>
        <w:t xml:space="preserve"> prepared to offer such programs: one US-based corporate embarking on the setup of a </w:t>
      </w:r>
      <w:r w:rsidR="001A0489">
        <w:rPr>
          <w:rFonts w:ascii="Arial" w:hAnsi="Arial" w:cs="Arial"/>
          <w:sz w:val="22"/>
          <w:szCs w:val="22"/>
          <w:lang w:eastAsia="en-US"/>
        </w:rPr>
        <w:t>Supply Chain Finance</w:t>
      </w:r>
      <w:r w:rsidR="00DF5F60">
        <w:rPr>
          <w:rFonts w:ascii="Arial" w:hAnsi="Arial" w:cs="Arial"/>
          <w:sz w:val="22"/>
          <w:szCs w:val="22"/>
          <w:lang w:eastAsia="en-US"/>
        </w:rPr>
        <w:t xml:space="preserve"> program </w:t>
      </w:r>
      <w:r w:rsidR="00FE680B">
        <w:rPr>
          <w:rFonts w:ascii="Arial" w:hAnsi="Arial" w:cs="Arial"/>
          <w:sz w:val="22"/>
          <w:szCs w:val="22"/>
          <w:lang w:eastAsia="en-US"/>
        </w:rPr>
        <w:t xml:space="preserve">even </w:t>
      </w:r>
      <w:r w:rsidR="00DF5F60">
        <w:rPr>
          <w:rFonts w:ascii="Arial" w:hAnsi="Arial" w:cs="Arial"/>
          <w:sz w:val="22"/>
          <w:szCs w:val="22"/>
          <w:lang w:eastAsia="en-US"/>
        </w:rPr>
        <w:t>refers to it as a ‘</w:t>
      </w:r>
      <w:r w:rsidR="00DF5F60" w:rsidRPr="00236ED1">
        <w:rPr>
          <w:rFonts w:ascii="Arial" w:hAnsi="Arial" w:cs="Arial"/>
          <w:i/>
          <w:sz w:val="22"/>
          <w:szCs w:val="22"/>
          <w:lang w:eastAsia="en-US"/>
        </w:rPr>
        <w:t>supplier wellness program</w:t>
      </w:r>
      <w:r w:rsidR="00DF5F60">
        <w:rPr>
          <w:rFonts w:ascii="Arial" w:hAnsi="Arial" w:cs="Arial"/>
          <w:sz w:val="22"/>
          <w:szCs w:val="22"/>
          <w:lang w:eastAsia="en-US"/>
        </w:rPr>
        <w:t>.’</w:t>
      </w:r>
      <w:r w:rsidR="00AA5113">
        <w:rPr>
          <w:rFonts w:ascii="Arial" w:hAnsi="Arial" w:cs="Arial"/>
          <w:sz w:val="22"/>
          <w:szCs w:val="22"/>
          <w:lang w:eastAsia="en-US"/>
        </w:rPr>
        <w:t xml:space="preserve"> </w:t>
      </w:r>
    </w:p>
    <w:p w14:paraId="6E56B0DA" w14:textId="77777777" w:rsidR="00A95271" w:rsidRDefault="00A95271" w:rsidP="00FF2214">
      <w:pPr>
        <w:rPr>
          <w:rFonts w:ascii="Arial" w:hAnsi="Arial" w:cs="Arial"/>
          <w:sz w:val="22"/>
          <w:szCs w:val="22"/>
          <w:lang w:eastAsia="en-US"/>
        </w:rPr>
      </w:pPr>
    </w:p>
    <w:p w14:paraId="0ECB7D81" w14:textId="77777777" w:rsidR="00A95271" w:rsidRPr="00DC09B4" w:rsidRDefault="001A0489" w:rsidP="00DC09B4">
      <w:pPr>
        <w:pBdr>
          <w:top w:val="single" w:sz="4" w:space="1" w:color="auto"/>
          <w:bottom w:val="single" w:sz="4" w:space="1" w:color="auto"/>
        </w:pBdr>
        <w:jc w:val="both"/>
        <w:rPr>
          <w:rFonts w:ascii="Arial" w:hAnsi="Arial" w:cs="Arial"/>
          <w:i/>
          <w:sz w:val="22"/>
          <w:szCs w:val="22"/>
          <w:lang w:eastAsia="en-US"/>
        </w:rPr>
      </w:pPr>
      <w:r>
        <w:rPr>
          <w:rFonts w:ascii="Arial" w:hAnsi="Arial" w:cs="Arial"/>
          <w:i/>
          <w:sz w:val="22"/>
          <w:szCs w:val="22"/>
          <w:lang w:eastAsia="en-US"/>
        </w:rPr>
        <w:t>Supply Chain Finance</w:t>
      </w:r>
      <w:r w:rsidR="00DC09B4" w:rsidRPr="00DC09B4">
        <w:rPr>
          <w:rFonts w:ascii="Arial" w:hAnsi="Arial" w:cs="Arial"/>
          <w:i/>
          <w:sz w:val="22"/>
          <w:szCs w:val="22"/>
          <w:lang w:eastAsia="en-US"/>
        </w:rPr>
        <w:t xml:space="preserve"> programs allow buyers to extend payment terms from 60 to 120 days while providing suppliers access to better financing rates (e.g., 120 days at 100 bps</w:t>
      </w:r>
      <w:r w:rsidR="00FE680B">
        <w:rPr>
          <w:rStyle w:val="FootnoteReference"/>
          <w:rFonts w:ascii="Arial" w:hAnsi="Arial" w:cs="Arial"/>
          <w:i/>
          <w:sz w:val="22"/>
          <w:szCs w:val="22"/>
          <w:lang w:eastAsia="en-US"/>
        </w:rPr>
        <w:footnoteReference w:id="7"/>
      </w:r>
      <w:r w:rsidR="00DC09B4" w:rsidRPr="00DC09B4">
        <w:rPr>
          <w:rFonts w:ascii="Arial" w:hAnsi="Arial" w:cs="Arial"/>
          <w:i/>
          <w:sz w:val="22"/>
          <w:szCs w:val="22"/>
          <w:lang w:eastAsia="en-US"/>
        </w:rPr>
        <w:t xml:space="preserve"> instead of 60 days at 500 bps). According to </w:t>
      </w:r>
      <w:r w:rsidR="00DC09B4" w:rsidRPr="00F01889">
        <w:rPr>
          <w:rFonts w:ascii="Arial" w:hAnsi="Arial" w:cs="Arial"/>
          <w:i/>
          <w:sz w:val="22"/>
          <w:szCs w:val="22"/>
          <w:lang w:eastAsia="en-US"/>
        </w:rPr>
        <w:t>industry</w:t>
      </w:r>
      <w:r w:rsidR="00DC09B4" w:rsidRPr="00DC09B4">
        <w:rPr>
          <w:rFonts w:ascii="Arial" w:hAnsi="Arial" w:cs="Arial"/>
          <w:i/>
          <w:sz w:val="22"/>
          <w:szCs w:val="22"/>
          <w:lang w:eastAsia="en-US"/>
        </w:rPr>
        <w:t xml:space="preserve"> sources, </w:t>
      </w:r>
      <w:r>
        <w:rPr>
          <w:rFonts w:ascii="Arial" w:hAnsi="Arial" w:cs="Arial"/>
          <w:i/>
          <w:sz w:val="22"/>
          <w:szCs w:val="22"/>
          <w:lang w:eastAsia="en-US"/>
        </w:rPr>
        <w:t>Supply Chain Finance</w:t>
      </w:r>
      <w:r w:rsidR="00DC09B4" w:rsidRPr="00DC09B4">
        <w:rPr>
          <w:rFonts w:ascii="Arial" w:hAnsi="Arial" w:cs="Arial"/>
          <w:i/>
          <w:sz w:val="22"/>
          <w:szCs w:val="22"/>
          <w:lang w:eastAsia="en-US"/>
        </w:rPr>
        <w:t xml:space="preserve"> could unlock $100 billion to $500 billion of liquidity by accelerating the cash conversion cycle for suppliers and extending </w:t>
      </w:r>
      <w:proofErr w:type="gramStart"/>
      <w:r w:rsidR="00DC09B4" w:rsidRPr="00DC09B4">
        <w:rPr>
          <w:rFonts w:ascii="Arial" w:hAnsi="Arial" w:cs="Arial"/>
          <w:i/>
          <w:sz w:val="22"/>
          <w:szCs w:val="22"/>
          <w:lang w:eastAsia="en-US"/>
        </w:rPr>
        <w:t>days</w:t>
      </w:r>
      <w:proofErr w:type="gramEnd"/>
      <w:r w:rsidR="00DC09B4" w:rsidRPr="00DC09B4">
        <w:rPr>
          <w:rFonts w:ascii="Arial" w:hAnsi="Arial" w:cs="Arial"/>
          <w:i/>
          <w:sz w:val="22"/>
          <w:szCs w:val="22"/>
          <w:lang w:eastAsia="en-US"/>
        </w:rPr>
        <w:t xml:space="preserve"> payables outstanding for buyers.</w:t>
      </w:r>
    </w:p>
    <w:p w14:paraId="2F9A7D54" w14:textId="77777777" w:rsidR="00A95271" w:rsidRPr="006F1B07" w:rsidRDefault="00DC09B4" w:rsidP="00FF2214">
      <w:pPr>
        <w:rPr>
          <w:rStyle w:val="Emphasis"/>
        </w:rPr>
      </w:pPr>
      <w:r w:rsidRPr="006F1B07">
        <w:rPr>
          <w:rStyle w:val="Emphasis"/>
        </w:rPr>
        <w:t xml:space="preserve">Source: McKinsey &amp; Co., </w:t>
      </w:r>
      <w:r w:rsidR="001A0489" w:rsidRPr="006F1B07">
        <w:rPr>
          <w:rStyle w:val="Emphasis"/>
        </w:rPr>
        <w:t>Supply Chain Finance</w:t>
      </w:r>
      <w:r w:rsidRPr="006F1B07">
        <w:rPr>
          <w:rStyle w:val="Emphasis"/>
        </w:rPr>
        <w:t xml:space="preserve"> Form Myth to Reality, 2010</w:t>
      </w:r>
    </w:p>
    <w:p w14:paraId="54C6D396" w14:textId="77777777" w:rsidR="00A95271" w:rsidRDefault="00A95271" w:rsidP="00FF2214">
      <w:pPr>
        <w:rPr>
          <w:rFonts w:ascii="Arial" w:hAnsi="Arial" w:cs="Arial"/>
          <w:sz w:val="22"/>
          <w:szCs w:val="22"/>
          <w:lang w:eastAsia="en-US"/>
        </w:rPr>
      </w:pPr>
    </w:p>
    <w:p w14:paraId="6AAFF3B0" w14:textId="77777777" w:rsidR="00E750C9" w:rsidRDefault="00E750C9" w:rsidP="004146CB">
      <w:pPr>
        <w:jc w:val="both"/>
        <w:rPr>
          <w:rFonts w:ascii="Arial" w:hAnsi="Arial" w:cs="Arial"/>
          <w:sz w:val="22"/>
          <w:szCs w:val="22"/>
          <w:lang w:eastAsia="en-US"/>
        </w:rPr>
      </w:pPr>
      <w:r>
        <w:rPr>
          <w:rFonts w:ascii="Arial" w:hAnsi="Arial" w:cs="Arial"/>
          <w:sz w:val="22"/>
          <w:szCs w:val="22"/>
          <w:lang w:eastAsia="en-US"/>
        </w:rPr>
        <w:t>Suppliers, many located in developing and emerging markets</w:t>
      </w:r>
      <w:r w:rsidR="00624CB4">
        <w:rPr>
          <w:rFonts w:ascii="Arial" w:hAnsi="Arial" w:cs="Arial"/>
          <w:sz w:val="22"/>
          <w:szCs w:val="22"/>
          <w:lang w:eastAsia="en-US"/>
        </w:rPr>
        <w:t>,</w:t>
      </w:r>
      <w:r>
        <w:rPr>
          <w:rFonts w:ascii="Arial" w:hAnsi="Arial" w:cs="Arial"/>
          <w:sz w:val="22"/>
          <w:szCs w:val="22"/>
          <w:lang w:eastAsia="en-US"/>
        </w:rPr>
        <w:t xml:space="preserve"> given prevailing commercial practices and sourcing patterns ultimately see value in these </w:t>
      </w:r>
      <w:r w:rsidR="001A0489">
        <w:rPr>
          <w:rFonts w:ascii="Arial" w:hAnsi="Arial" w:cs="Arial"/>
          <w:sz w:val="22"/>
          <w:szCs w:val="22"/>
          <w:lang w:eastAsia="en-US"/>
        </w:rPr>
        <w:t>Supply Chain Finance</w:t>
      </w:r>
      <w:r>
        <w:rPr>
          <w:rFonts w:ascii="Arial" w:hAnsi="Arial" w:cs="Arial"/>
          <w:sz w:val="22"/>
          <w:szCs w:val="22"/>
          <w:lang w:eastAsia="en-US"/>
        </w:rPr>
        <w:t xml:space="preserve"> programs as a means of accessing affordable liquidity through a channel that does not impact their (limited) borrowing capacity, </w:t>
      </w:r>
      <w:r w:rsidR="00F01889">
        <w:rPr>
          <w:rFonts w:ascii="Arial" w:hAnsi="Arial" w:cs="Arial"/>
          <w:sz w:val="22"/>
          <w:szCs w:val="22"/>
          <w:lang w:eastAsia="en-US"/>
        </w:rPr>
        <w:t xml:space="preserve">balance sheet, </w:t>
      </w:r>
      <w:r>
        <w:rPr>
          <w:rFonts w:ascii="Arial" w:hAnsi="Arial" w:cs="Arial"/>
          <w:sz w:val="22"/>
          <w:szCs w:val="22"/>
          <w:lang w:eastAsia="en-US"/>
        </w:rPr>
        <w:t>or even require them to be ‘bankable’, or technically capable of putting together a loan proposal to a local lender.</w:t>
      </w:r>
      <w:r w:rsidR="00F01889">
        <w:rPr>
          <w:rFonts w:ascii="Arial" w:hAnsi="Arial" w:cs="Arial"/>
          <w:sz w:val="22"/>
          <w:szCs w:val="22"/>
          <w:lang w:eastAsia="en-US"/>
        </w:rPr>
        <w:t xml:space="preserve"> </w:t>
      </w:r>
    </w:p>
    <w:p w14:paraId="7B248ABD" w14:textId="77777777" w:rsidR="00E750C9" w:rsidRDefault="00E750C9" w:rsidP="004146CB">
      <w:pPr>
        <w:jc w:val="both"/>
        <w:rPr>
          <w:rFonts w:ascii="Arial" w:hAnsi="Arial" w:cs="Arial"/>
          <w:sz w:val="22"/>
          <w:szCs w:val="22"/>
          <w:lang w:eastAsia="en-US"/>
        </w:rPr>
      </w:pPr>
    </w:p>
    <w:p w14:paraId="43EB72C4" w14:textId="77777777" w:rsidR="00E750C9" w:rsidRDefault="00E750C9" w:rsidP="004146CB">
      <w:pPr>
        <w:jc w:val="both"/>
        <w:rPr>
          <w:rFonts w:ascii="Arial" w:hAnsi="Arial" w:cs="Arial"/>
          <w:sz w:val="22"/>
          <w:szCs w:val="22"/>
          <w:lang w:eastAsia="en-US"/>
        </w:rPr>
      </w:pPr>
      <w:r w:rsidRPr="00F01889">
        <w:rPr>
          <w:rFonts w:ascii="Arial" w:hAnsi="Arial" w:cs="Arial"/>
          <w:sz w:val="22"/>
          <w:szCs w:val="22"/>
          <w:lang w:eastAsia="en-US"/>
        </w:rPr>
        <w:t>Buyer</w:t>
      </w:r>
      <w:r>
        <w:rPr>
          <w:rFonts w:ascii="Arial" w:hAnsi="Arial" w:cs="Arial"/>
          <w:sz w:val="22"/>
          <w:szCs w:val="22"/>
          <w:lang w:eastAsia="en-US"/>
        </w:rPr>
        <w:t xml:space="preserve">-led </w:t>
      </w:r>
      <w:r w:rsidR="001A0489">
        <w:rPr>
          <w:rFonts w:ascii="Arial" w:hAnsi="Arial" w:cs="Arial"/>
          <w:sz w:val="22"/>
          <w:szCs w:val="22"/>
          <w:lang w:eastAsia="en-US"/>
        </w:rPr>
        <w:t>Supply Chain Finance</w:t>
      </w:r>
      <w:r>
        <w:rPr>
          <w:rFonts w:ascii="Arial" w:hAnsi="Arial" w:cs="Arial"/>
          <w:sz w:val="22"/>
          <w:szCs w:val="22"/>
          <w:lang w:eastAsia="en-US"/>
        </w:rPr>
        <w:t xml:space="preserve"> programs provide value to a </w:t>
      </w:r>
      <w:r w:rsidR="00313782">
        <w:rPr>
          <w:rFonts w:ascii="Arial" w:hAnsi="Arial" w:cs="Arial"/>
          <w:sz w:val="22"/>
          <w:szCs w:val="22"/>
          <w:lang w:eastAsia="en-US"/>
        </w:rPr>
        <w:t>buyer</w:t>
      </w:r>
      <w:r>
        <w:rPr>
          <w:rFonts w:ascii="Arial" w:hAnsi="Arial" w:cs="Arial"/>
          <w:sz w:val="22"/>
          <w:szCs w:val="22"/>
          <w:lang w:eastAsia="en-US"/>
        </w:rPr>
        <w:t xml:space="preserve"> a</w:t>
      </w:r>
      <w:r w:rsidR="003B1381">
        <w:rPr>
          <w:rFonts w:ascii="Arial" w:hAnsi="Arial" w:cs="Arial"/>
          <w:sz w:val="22"/>
          <w:szCs w:val="22"/>
          <w:lang w:eastAsia="en-US"/>
        </w:rPr>
        <w:t xml:space="preserve">s well as </w:t>
      </w:r>
      <w:r w:rsidR="00624CB4">
        <w:rPr>
          <w:rFonts w:ascii="Arial" w:hAnsi="Arial" w:cs="Arial"/>
          <w:sz w:val="22"/>
          <w:szCs w:val="22"/>
          <w:lang w:eastAsia="en-US"/>
        </w:rPr>
        <w:t xml:space="preserve">to </w:t>
      </w:r>
      <w:r w:rsidR="003B1381">
        <w:rPr>
          <w:rFonts w:ascii="Arial" w:hAnsi="Arial" w:cs="Arial"/>
          <w:sz w:val="22"/>
          <w:szCs w:val="22"/>
          <w:lang w:eastAsia="en-US"/>
        </w:rPr>
        <w:t>t</w:t>
      </w:r>
      <w:r>
        <w:rPr>
          <w:rFonts w:ascii="Arial" w:hAnsi="Arial" w:cs="Arial"/>
          <w:sz w:val="22"/>
          <w:szCs w:val="22"/>
          <w:lang w:eastAsia="en-US"/>
        </w:rPr>
        <w:t xml:space="preserve">he </w:t>
      </w:r>
      <w:r w:rsidR="00313782">
        <w:rPr>
          <w:rFonts w:ascii="Arial" w:hAnsi="Arial" w:cs="Arial"/>
          <w:sz w:val="22"/>
          <w:szCs w:val="22"/>
          <w:lang w:eastAsia="en-US"/>
        </w:rPr>
        <w:t>buyer</w:t>
      </w:r>
      <w:r>
        <w:rPr>
          <w:rFonts w:ascii="Arial" w:hAnsi="Arial" w:cs="Arial"/>
          <w:sz w:val="22"/>
          <w:szCs w:val="22"/>
          <w:lang w:eastAsia="en-US"/>
        </w:rPr>
        <w:t>’s sometimes very large supplier community</w:t>
      </w:r>
      <w:r w:rsidR="003B1381">
        <w:rPr>
          <w:rFonts w:ascii="Arial" w:hAnsi="Arial" w:cs="Arial"/>
          <w:sz w:val="22"/>
          <w:szCs w:val="22"/>
          <w:lang w:eastAsia="en-US"/>
        </w:rPr>
        <w:t>. Additionally</w:t>
      </w:r>
      <w:r>
        <w:rPr>
          <w:rFonts w:ascii="Arial" w:hAnsi="Arial" w:cs="Arial"/>
          <w:sz w:val="22"/>
          <w:szCs w:val="22"/>
          <w:lang w:eastAsia="en-US"/>
        </w:rPr>
        <w:t xml:space="preserve">, </w:t>
      </w:r>
      <w:r w:rsidR="003B1381">
        <w:rPr>
          <w:rFonts w:ascii="Arial" w:hAnsi="Arial" w:cs="Arial"/>
          <w:sz w:val="22"/>
          <w:szCs w:val="22"/>
          <w:lang w:eastAsia="en-US"/>
        </w:rPr>
        <w:t>such a program provid</w:t>
      </w:r>
      <w:r>
        <w:rPr>
          <w:rFonts w:ascii="Arial" w:hAnsi="Arial" w:cs="Arial"/>
          <w:sz w:val="22"/>
          <w:szCs w:val="22"/>
          <w:lang w:eastAsia="en-US"/>
        </w:rPr>
        <w:t>e</w:t>
      </w:r>
      <w:r w:rsidR="003B1381">
        <w:rPr>
          <w:rFonts w:ascii="Arial" w:hAnsi="Arial" w:cs="Arial"/>
          <w:sz w:val="22"/>
          <w:szCs w:val="22"/>
          <w:lang w:eastAsia="en-US"/>
        </w:rPr>
        <w:t>s</w:t>
      </w:r>
      <w:r>
        <w:rPr>
          <w:rFonts w:ascii="Arial" w:hAnsi="Arial" w:cs="Arial"/>
          <w:sz w:val="22"/>
          <w:szCs w:val="22"/>
          <w:lang w:eastAsia="en-US"/>
        </w:rPr>
        <w:t xml:space="preserve"> a clear </w:t>
      </w:r>
      <w:r w:rsidR="003B1381">
        <w:rPr>
          <w:rFonts w:ascii="Arial" w:hAnsi="Arial" w:cs="Arial"/>
          <w:sz w:val="22"/>
          <w:szCs w:val="22"/>
          <w:lang w:eastAsia="en-US"/>
        </w:rPr>
        <w:t xml:space="preserve">illustration of the </w:t>
      </w:r>
      <w:r w:rsidR="00F01889">
        <w:rPr>
          <w:rFonts w:ascii="Arial" w:hAnsi="Arial" w:cs="Arial"/>
          <w:sz w:val="22"/>
          <w:szCs w:val="22"/>
          <w:lang w:eastAsia="en-US"/>
        </w:rPr>
        <w:t>multi-party</w:t>
      </w:r>
      <w:r w:rsidR="003B1381">
        <w:rPr>
          <w:rFonts w:ascii="Arial" w:hAnsi="Arial" w:cs="Arial"/>
          <w:sz w:val="22"/>
          <w:szCs w:val="22"/>
          <w:lang w:eastAsia="en-US"/>
        </w:rPr>
        <w:t xml:space="preserve"> nature of </w:t>
      </w:r>
      <w:r w:rsidR="001A0489">
        <w:rPr>
          <w:rFonts w:ascii="Arial" w:hAnsi="Arial" w:cs="Arial"/>
          <w:sz w:val="22"/>
          <w:szCs w:val="22"/>
          <w:lang w:eastAsia="en-US"/>
        </w:rPr>
        <w:t>Supply Chain Finance</w:t>
      </w:r>
      <w:r w:rsidR="003B1381">
        <w:rPr>
          <w:rFonts w:ascii="Arial" w:hAnsi="Arial" w:cs="Arial"/>
          <w:sz w:val="22"/>
          <w:szCs w:val="22"/>
          <w:lang w:eastAsia="en-US"/>
        </w:rPr>
        <w:t xml:space="preserve"> programs, in contrast to certain traditional mechanisms that were aimed at meeting the needs of one buyer and one </w:t>
      </w:r>
      <w:r w:rsidR="00936C60">
        <w:rPr>
          <w:rFonts w:ascii="Arial" w:hAnsi="Arial" w:cs="Arial"/>
          <w:sz w:val="22"/>
          <w:szCs w:val="22"/>
          <w:lang w:eastAsia="en-US"/>
        </w:rPr>
        <w:t>supplier</w:t>
      </w:r>
      <w:r w:rsidR="003B1381">
        <w:rPr>
          <w:rFonts w:ascii="Arial" w:hAnsi="Arial" w:cs="Arial"/>
          <w:sz w:val="22"/>
          <w:szCs w:val="22"/>
          <w:lang w:eastAsia="en-US"/>
        </w:rPr>
        <w:t>.</w:t>
      </w:r>
    </w:p>
    <w:p w14:paraId="3A9E97A7" w14:textId="77777777" w:rsidR="004146CB" w:rsidRDefault="004146CB" w:rsidP="004146CB">
      <w:pPr>
        <w:jc w:val="both"/>
        <w:rPr>
          <w:rFonts w:ascii="Arial" w:hAnsi="Arial" w:cs="Arial"/>
          <w:sz w:val="22"/>
          <w:szCs w:val="22"/>
          <w:lang w:eastAsia="en-US"/>
        </w:rPr>
      </w:pPr>
    </w:p>
    <w:p w14:paraId="712CC253" w14:textId="77777777" w:rsidR="003F793C" w:rsidRDefault="004146CB" w:rsidP="003F793C">
      <w:pPr>
        <w:pBdr>
          <w:top w:val="single" w:sz="4" w:space="1" w:color="auto"/>
          <w:bottom w:val="single" w:sz="4" w:space="1" w:color="auto"/>
        </w:pBdr>
        <w:jc w:val="both"/>
        <w:rPr>
          <w:rFonts w:ascii="Arial" w:hAnsi="Arial" w:cs="Arial"/>
          <w:sz w:val="22"/>
          <w:szCs w:val="22"/>
          <w:lang w:eastAsia="en-US"/>
        </w:rPr>
      </w:pPr>
      <w:r>
        <w:rPr>
          <w:rFonts w:ascii="Arial" w:hAnsi="Arial" w:cs="Arial"/>
          <w:sz w:val="22"/>
          <w:szCs w:val="22"/>
          <w:lang w:eastAsia="en-US"/>
        </w:rPr>
        <w:t xml:space="preserve">The growth of </w:t>
      </w:r>
      <w:r w:rsidR="001A0489">
        <w:rPr>
          <w:rFonts w:ascii="Arial" w:hAnsi="Arial" w:cs="Arial"/>
          <w:sz w:val="22"/>
          <w:szCs w:val="22"/>
          <w:lang w:eastAsia="en-US"/>
        </w:rPr>
        <w:t>Supply Chain Finance</w:t>
      </w:r>
      <w:r>
        <w:rPr>
          <w:rFonts w:ascii="Arial" w:hAnsi="Arial" w:cs="Arial"/>
          <w:sz w:val="22"/>
          <w:szCs w:val="22"/>
          <w:lang w:eastAsia="en-US"/>
        </w:rPr>
        <w:t xml:space="preserve"> programs, even in this relatively early stage of development and deployment, can be appreciated by considering that as recently as four or five years ago, successful </w:t>
      </w:r>
      <w:r w:rsidR="001A0489">
        <w:rPr>
          <w:rFonts w:ascii="Arial" w:hAnsi="Arial" w:cs="Arial"/>
          <w:sz w:val="22"/>
          <w:szCs w:val="22"/>
          <w:lang w:eastAsia="en-US"/>
        </w:rPr>
        <w:t>Supply Chain Finance</w:t>
      </w:r>
      <w:r>
        <w:rPr>
          <w:rFonts w:ascii="Arial" w:hAnsi="Arial" w:cs="Arial"/>
          <w:sz w:val="22"/>
          <w:szCs w:val="22"/>
          <w:lang w:eastAsia="en-US"/>
        </w:rPr>
        <w:t xml:space="preserve"> programs were those that exhibited usage rates on their </w:t>
      </w:r>
      <w:r w:rsidRPr="00F01889">
        <w:rPr>
          <w:rFonts w:ascii="Arial" w:hAnsi="Arial" w:cs="Arial"/>
          <w:sz w:val="22"/>
          <w:szCs w:val="22"/>
          <w:lang w:eastAsia="en-US"/>
        </w:rPr>
        <w:t>facilities</w:t>
      </w:r>
      <w:r>
        <w:rPr>
          <w:rFonts w:ascii="Arial" w:hAnsi="Arial" w:cs="Arial"/>
          <w:sz w:val="22"/>
          <w:szCs w:val="22"/>
          <w:lang w:eastAsia="en-US"/>
        </w:rPr>
        <w:t xml:space="preserve">, in the range of 35-40%. More recently, high-performing programs are reported to be utilized at levels approaching 90% or </w:t>
      </w:r>
      <w:r w:rsidR="00FE680B">
        <w:rPr>
          <w:rFonts w:ascii="Arial" w:hAnsi="Arial" w:cs="Arial"/>
          <w:sz w:val="22"/>
          <w:szCs w:val="22"/>
          <w:lang w:eastAsia="en-US"/>
        </w:rPr>
        <w:t xml:space="preserve">even </w:t>
      </w:r>
      <w:r>
        <w:rPr>
          <w:rFonts w:ascii="Arial" w:hAnsi="Arial" w:cs="Arial"/>
          <w:sz w:val="22"/>
          <w:szCs w:val="22"/>
          <w:lang w:eastAsia="en-US"/>
        </w:rPr>
        <w:t>more</w:t>
      </w:r>
    </w:p>
    <w:p w14:paraId="5D27D021" w14:textId="77777777" w:rsidR="00F01889" w:rsidRPr="006F1B07" w:rsidRDefault="00FE680B" w:rsidP="006F1B07">
      <w:pPr>
        <w:rPr>
          <w:rStyle w:val="Emphasis"/>
        </w:rPr>
      </w:pPr>
      <w:r w:rsidRPr="006F1B07">
        <w:rPr>
          <w:rStyle w:val="Emphasis"/>
        </w:rPr>
        <w:t xml:space="preserve">Source: </w:t>
      </w:r>
      <w:r w:rsidR="004146CB" w:rsidRPr="006F1B07">
        <w:rPr>
          <w:rStyle w:val="Emphasis"/>
        </w:rPr>
        <w:t>OPUS Advisory Services International Inc.</w:t>
      </w:r>
    </w:p>
    <w:p w14:paraId="5B686411" w14:textId="77777777" w:rsidR="00F01889" w:rsidRDefault="00F01889" w:rsidP="004146CB">
      <w:pPr>
        <w:jc w:val="both"/>
        <w:rPr>
          <w:rFonts w:ascii="Arial" w:hAnsi="Arial" w:cs="Arial"/>
          <w:sz w:val="22"/>
          <w:szCs w:val="22"/>
          <w:lang w:eastAsia="en-US"/>
        </w:rPr>
      </w:pPr>
    </w:p>
    <w:p w14:paraId="4ED3D776" w14:textId="77777777" w:rsidR="004146CB" w:rsidRDefault="004146CB" w:rsidP="004146CB">
      <w:pPr>
        <w:jc w:val="both"/>
        <w:rPr>
          <w:rFonts w:ascii="Arial" w:hAnsi="Arial" w:cs="Arial"/>
          <w:sz w:val="22"/>
          <w:szCs w:val="22"/>
          <w:lang w:eastAsia="en-US"/>
        </w:rPr>
      </w:pPr>
      <w:r>
        <w:rPr>
          <w:rFonts w:ascii="Arial" w:hAnsi="Arial" w:cs="Arial"/>
          <w:sz w:val="22"/>
          <w:szCs w:val="22"/>
          <w:lang w:eastAsia="en-US"/>
        </w:rPr>
        <w:t xml:space="preserve">The demand for </w:t>
      </w:r>
      <w:r w:rsidR="001A0489">
        <w:rPr>
          <w:rFonts w:ascii="Arial" w:hAnsi="Arial" w:cs="Arial"/>
          <w:sz w:val="22"/>
          <w:szCs w:val="22"/>
          <w:lang w:eastAsia="en-US"/>
        </w:rPr>
        <w:t>Supply Chain Finance</w:t>
      </w:r>
      <w:r>
        <w:rPr>
          <w:rFonts w:ascii="Arial" w:hAnsi="Arial" w:cs="Arial"/>
          <w:sz w:val="22"/>
          <w:szCs w:val="22"/>
          <w:lang w:eastAsia="en-US"/>
        </w:rPr>
        <w:t xml:space="preserve"> </w:t>
      </w:r>
      <w:r w:rsidR="003F793C">
        <w:rPr>
          <w:rFonts w:ascii="Arial" w:hAnsi="Arial" w:cs="Arial"/>
          <w:sz w:val="22"/>
          <w:szCs w:val="22"/>
          <w:lang w:eastAsia="en-US"/>
        </w:rPr>
        <w:t>is</w:t>
      </w:r>
      <w:r>
        <w:rPr>
          <w:rFonts w:ascii="Arial" w:hAnsi="Arial" w:cs="Arial"/>
          <w:sz w:val="22"/>
          <w:szCs w:val="22"/>
          <w:lang w:eastAsia="en-US"/>
        </w:rPr>
        <w:t xml:space="preserve"> growing significantly, both through the increasing engagement of banks, export credit agencies</w:t>
      </w:r>
      <w:r w:rsidR="00FE680B">
        <w:rPr>
          <w:rStyle w:val="FootnoteReference"/>
          <w:rFonts w:ascii="Arial" w:hAnsi="Arial" w:cs="Arial"/>
          <w:sz w:val="22"/>
          <w:szCs w:val="22"/>
          <w:lang w:eastAsia="en-US"/>
        </w:rPr>
        <w:footnoteReference w:id="8"/>
      </w:r>
      <w:r>
        <w:rPr>
          <w:rFonts w:ascii="Arial" w:hAnsi="Arial" w:cs="Arial"/>
          <w:sz w:val="22"/>
          <w:szCs w:val="22"/>
          <w:lang w:eastAsia="en-US"/>
        </w:rPr>
        <w:t xml:space="preserve"> and international institutions, as well as through market entry by non-bank providers.</w:t>
      </w:r>
    </w:p>
    <w:p w14:paraId="2FFDAA4D" w14:textId="77777777" w:rsidR="006F1B07" w:rsidRDefault="006F1B07">
      <w:pPr>
        <w:rPr>
          <w:rFonts w:ascii="Arial" w:hAnsi="Arial" w:cs="Arial"/>
          <w:sz w:val="22"/>
          <w:szCs w:val="22"/>
          <w:lang w:eastAsia="en-US"/>
        </w:rPr>
      </w:pPr>
      <w:r>
        <w:rPr>
          <w:rFonts w:ascii="Arial" w:hAnsi="Arial" w:cs="Arial"/>
          <w:sz w:val="22"/>
          <w:szCs w:val="22"/>
          <w:lang w:eastAsia="en-US"/>
        </w:rPr>
        <w:br w:type="page"/>
      </w:r>
    </w:p>
    <w:p w14:paraId="317B1D0C" w14:textId="77777777" w:rsidR="003F793C" w:rsidRDefault="006F1B07" w:rsidP="006F1B07">
      <w:pPr>
        <w:pStyle w:val="Caption"/>
        <w:rPr>
          <w:rFonts w:ascii="Arial" w:hAnsi="Arial" w:cs="Arial"/>
          <w:sz w:val="22"/>
          <w:szCs w:val="22"/>
          <w:lang w:eastAsia="en-US"/>
        </w:rPr>
      </w:pPr>
      <w:bookmarkStart w:id="32" w:name="_Toc436042281"/>
      <w:r>
        <w:lastRenderedPageBreak/>
        <w:t xml:space="preserve">Figure </w:t>
      </w:r>
      <w:r>
        <w:fldChar w:fldCharType="begin"/>
      </w:r>
      <w:r>
        <w:instrText xml:space="preserve"> SEQ Figure \* ARABIC </w:instrText>
      </w:r>
      <w:r>
        <w:fldChar w:fldCharType="separate"/>
      </w:r>
      <w:r w:rsidR="00A73BD5">
        <w:rPr>
          <w:noProof/>
        </w:rPr>
        <w:t>17</w:t>
      </w:r>
      <w:r>
        <w:fldChar w:fldCharType="end"/>
      </w:r>
      <w:r>
        <w:t xml:space="preserve">: </w:t>
      </w:r>
      <w:r w:rsidRPr="006F1B07">
        <w:t>Growth in Export Trade Financing (Traditional and SCF)</w:t>
      </w:r>
      <w:bookmarkEnd w:id="32"/>
    </w:p>
    <w:p w14:paraId="5B161D5D" w14:textId="77777777" w:rsidR="003F793C" w:rsidRDefault="003F793C" w:rsidP="003F793C">
      <w:pPr>
        <w:jc w:val="center"/>
        <w:rPr>
          <w:rFonts w:ascii="Arial" w:hAnsi="Arial" w:cs="Arial"/>
          <w:sz w:val="22"/>
          <w:szCs w:val="22"/>
          <w:lang w:eastAsia="en-US"/>
        </w:rPr>
      </w:pPr>
      <w:r w:rsidRPr="003F793C">
        <w:rPr>
          <w:noProof/>
          <w:lang w:val="en-GB" w:eastAsia="en-GB"/>
        </w:rPr>
        <w:drawing>
          <wp:inline distT="0" distB="0" distL="0" distR="0" wp14:anchorId="1B188778" wp14:editId="1711B6C7">
            <wp:extent cx="4091940" cy="2778379"/>
            <wp:effectExtent l="19050" t="19050" r="381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1940" cy="2778379"/>
                    </a:xfrm>
                    <a:prstGeom prst="rect">
                      <a:avLst/>
                    </a:prstGeom>
                    <a:noFill/>
                    <a:ln>
                      <a:solidFill>
                        <a:schemeClr val="accent1"/>
                      </a:solidFill>
                    </a:ln>
                  </pic:spPr>
                </pic:pic>
              </a:graphicData>
            </a:graphic>
          </wp:inline>
        </w:drawing>
      </w:r>
    </w:p>
    <w:p w14:paraId="7A7167FA" w14:textId="77777777" w:rsidR="004146CB" w:rsidRPr="006F1B07" w:rsidRDefault="00FB6AA0" w:rsidP="006F1B07">
      <w:pPr>
        <w:rPr>
          <w:rStyle w:val="Emphasis"/>
        </w:rPr>
      </w:pPr>
      <w:r w:rsidRPr="006F1B07">
        <w:rPr>
          <w:rStyle w:val="Emphasis"/>
        </w:rPr>
        <w:t>Source: ICC Rethinking Trade and Trade Finance, 2015</w:t>
      </w:r>
    </w:p>
    <w:p w14:paraId="6BAED0F0" w14:textId="77777777" w:rsidR="00FB6AA0" w:rsidRDefault="00FB6AA0" w:rsidP="004146CB">
      <w:pPr>
        <w:jc w:val="both"/>
        <w:rPr>
          <w:rFonts w:ascii="Arial" w:hAnsi="Arial" w:cs="Arial"/>
          <w:sz w:val="22"/>
          <w:szCs w:val="22"/>
          <w:lang w:eastAsia="en-US"/>
        </w:rPr>
      </w:pPr>
    </w:p>
    <w:p w14:paraId="2C926F6A" w14:textId="77777777" w:rsidR="004146CB" w:rsidRPr="00553221" w:rsidRDefault="004146CB" w:rsidP="004146CB">
      <w:pPr>
        <w:jc w:val="both"/>
        <w:rPr>
          <w:rFonts w:ascii="Arial" w:hAnsi="Arial" w:cs="Arial"/>
          <w:sz w:val="22"/>
          <w:szCs w:val="22"/>
          <w:lang w:eastAsia="en-US"/>
        </w:rPr>
      </w:pPr>
      <w:r w:rsidRPr="00553221">
        <w:rPr>
          <w:rFonts w:ascii="Arial" w:hAnsi="Arial" w:cs="Arial"/>
          <w:sz w:val="22"/>
          <w:szCs w:val="22"/>
          <w:lang w:eastAsia="en-US"/>
        </w:rPr>
        <w:t xml:space="preserve">The opportunity to integrate </w:t>
      </w:r>
      <w:r w:rsidR="00F01889" w:rsidRPr="00553221">
        <w:rPr>
          <w:rFonts w:ascii="Arial" w:hAnsi="Arial" w:cs="Arial"/>
          <w:sz w:val="22"/>
          <w:szCs w:val="22"/>
          <w:lang w:eastAsia="en-US"/>
        </w:rPr>
        <w:t xml:space="preserve">classical </w:t>
      </w:r>
      <w:r w:rsidR="00FE680B" w:rsidRPr="00553221">
        <w:rPr>
          <w:rFonts w:ascii="Arial" w:hAnsi="Arial" w:cs="Arial"/>
          <w:sz w:val="22"/>
          <w:szCs w:val="22"/>
          <w:lang w:eastAsia="en-US"/>
        </w:rPr>
        <w:t>Trade F</w:t>
      </w:r>
      <w:r w:rsidRPr="00553221">
        <w:rPr>
          <w:rFonts w:ascii="Arial" w:hAnsi="Arial" w:cs="Arial"/>
          <w:sz w:val="22"/>
          <w:szCs w:val="22"/>
          <w:lang w:eastAsia="en-US"/>
        </w:rPr>
        <w:t xml:space="preserve">inance </w:t>
      </w:r>
      <w:r w:rsidR="00F01889" w:rsidRPr="00553221">
        <w:rPr>
          <w:rFonts w:ascii="Arial" w:hAnsi="Arial" w:cs="Arial"/>
          <w:sz w:val="22"/>
          <w:szCs w:val="22"/>
          <w:lang w:eastAsia="en-US"/>
        </w:rPr>
        <w:t xml:space="preserve">and </w:t>
      </w:r>
      <w:r w:rsidR="00FE680B" w:rsidRPr="00553221">
        <w:rPr>
          <w:rFonts w:ascii="Arial" w:hAnsi="Arial" w:cs="Arial"/>
          <w:sz w:val="22"/>
          <w:szCs w:val="22"/>
          <w:lang w:eastAsia="en-US"/>
        </w:rPr>
        <w:t>S</w:t>
      </w:r>
      <w:r w:rsidR="00F01889" w:rsidRPr="00553221">
        <w:rPr>
          <w:rFonts w:ascii="Arial" w:hAnsi="Arial" w:cs="Arial"/>
          <w:sz w:val="22"/>
          <w:szCs w:val="22"/>
          <w:lang w:eastAsia="en-US"/>
        </w:rPr>
        <w:t xml:space="preserve">upply </w:t>
      </w:r>
      <w:r w:rsidR="00FE680B" w:rsidRPr="00553221">
        <w:rPr>
          <w:rFonts w:ascii="Arial" w:hAnsi="Arial" w:cs="Arial"/>
          <w:sz w:val="22"/>
          <w:szCs w:val="22"/>
          <w:lang w:eastAsia="en-US"/>
        </w:rPr>
        <w:t>C</w:t>
      </w:r>
      <w:r w:rsidR="00F01889" w:rsidRPr="00553221">
        <w:rPr>
          <w:rFonts w:ascii="Arial" w:hAnsi="Arial" w:cs="Arial"/>
          <w:sz w:val="22"/>
          <w:szCs w:val="22"/>
          <w:lang w:eastAsia="en-US"/>
        </w:rPr>
        <w:t xml:space="preserve">hain </w:t>
      </w:r>
      <w:r w:rsidR="00FE680B" w:rsidRPr="00553221">
        <w:rPr>
          <w:rFonts w:ascii="Arial" w:hAnsi="Arial" w:cs="Arial"/>
          <w:sz w:val="22"/>
          <w:szCs w:val="22"/>
          <w:lang w:eastAsia="en-US"/>
        </w:rPr>
        <w:t>F</w:t>
      </w:r>
      <w:r w:rsidR="00F01889" w:rsidRPr="00553221">
        <w:rPr>
          <w:rFonts w:ascii="Arial" w:hAnsi="Arial" w:cs="Arial"/>
          <w:sz w:val="22"/>
          <w:szCs w:val="22"/>
          <w:lang w:eastAsia="en-US"/>
        </w:rPr>
        <w:t xml:space="preserve">inance </w:t>
      </w:r>
      <w:r w:rsidRPr="00553221">
        <w:rPr>
          <w:rFonts w:ascii="Arial" w:hAnsi="Arial" w:cs="Arial"/>
          <w:sz w:val="22"/>
          <w:szCs w:val="22"/>
          <w:lang w:eastAsia="en-US"/>
        </w:rPr>
        <w:t xml:space="preserve">processes and solutions into </w:t>
      </w:r>
      <w:r w:rsidR="00FE680B" w:rsidRPr="00553221">
        <w:rPr>
          <w:rFonts w:ascii="Arial" w:hAnsi="Arial" w:cs="Arial"/>
          <w:sz w:val="22"/>
          <w:szCs w:val="22"/>
          <w:lang w:eastAsia="en-US"/>
        </w:rPr>
        <w:t>T</w:t>
      </w:r>
      <w:r w:rsidRPr="00553221">
        <w:rPr>
          <w:rFonts w:ascii="Arial" w:hAnsi="Arial" w:cs="Arial"/>
          <w:sz w:val="22"/>
          <w:szCs w:val="22"/>
          <w:lang w:eastAsia="en-US"/>
        </w:rPr>
        <w:t xml:space="preserve">rade </w:t>
      </w:r>
      <w:r w:rsidR="00FE680B" w:rsidRPr="00553221">
        <w:rPr>
          <w:rFonts w:ascii="Arial" w:hAnsi="Arial" w:cs="Arial"/>
          <w:sz w:val="22"/>
          <w:szCs w:val="22"/>
          <w:lang w:eastAsia="en-US"/>
        </w:rPr>
        <w:t>F</w:t>
      </w:r>
      <w:r w:rsidRPr="00553221">
        <w:rPr>
          <w:rFonts w:ascii="Arial" w:hAnsi="Arial" w:cs="Arial"/>
          <w:sz w:val="22"/>
          <w:szCs w:val="22"/>
          <w:lang w:eastAsia="en-US"/>
        </w:rPr>
        <w:t>acilitation activities, including Single Window market access programs, is clearly there, and can be pursued through a range of industry players active in financing international commerce.</w:t>
      </w:r>
    </w:p>
    <w:p w14:paraId="08C90276" w14:textId="77777777" w:rsidR="00F01889" w:rsidRPr="00553221" w:rsidRDefault="00F01889" w:rsidP="004146CB">
      <w:pPr>
        <w:jc w:val="both"/>
        <w:rPr>
          <w:rFonts w:ascii="Arial" w:hAnsi="Arial" w:cs="Arial"/>
          <w:sz w:val="22"/>
          <w:szCs w:val="22"/>
          <w:lang w:eastAsia="en-US"/>
        </w:rPr>
      </w:pPr>
    </w:p>
    <w:p w14:paraId="22703140" w14:textId="77777777" w:rsidR="00F01889" w:rsidRDefault="00F01889" w:rsidP="004146CB">
      <w:pPr>
        <w:jc w:val="both"/>
        <w:rPr>
          <w:rFonts w:ascii="Arial" w:hAnsi="Arial" w:cs="Arial"/>
          <w:sz w:val="22"/>
          <w:szCs w:val="22"/>
          <w:lang w:eastAsia="en-US"/>
        </w:rPr>
      </w:pPr>
      <w:r w:rsidRPr="00553221">
        <w:rPr>
          <w:rFonts w:ascii="Arial" w:hAnsi="Arial" w:cs="Arial"/>
          <w:sz w:val="22"/>
          <w:szCs w:val="22"/>
          <w:lang w:eastAsia="en-US"/>
        </w:rPr>
        <w:t xml:space="preserve">It is the purpose of the UN/CEFACT-led project informed by the background paper, to further develop this notion and some specific analysis related to the integration of </w:t>
      </w:r>
      <w:r w:rsidR="00FE680B" w:rsidRPr="00553221">
        <w:rPr>
          <w:rFonts w:ascii="Arial" w:hAnsi="Arial" w:cs="Arial"/>
          <w:sz w:val="22"/>
          <w:szCs w:val="22"/>
          <w:lang w:eastAsia="en-US"/>
        </w:rPr>
        <w:t>T</w:t>
      </w:r>
      <w:r w:rsidRPr="00553221">
        <w:rPr>
          <w:rFonts w:ascii="Arial" w:hAnsi="Arial" w:cs="Arial"/>
          <w:sz w:val="22"/>
          <w:szCs w:val="22"/>
          <w:lang w:eastAsia="en-US"/>
        </w:rPr>
        <w:t xml:space="preserve">rade </w:t>
      </w:r>
      <w:r w:rsidR="00FE680B" w:rsidRPr="00553221">
        <w:rPr>
          <w:rFonts w:ascii="Arial" w:hAnsi="Arial" w:cs="Arial"/>
          <w:sz w:val="22"/>
          <w:szCs w:val="22"/>
          <w:lang w:eastAsia="en-US"/>
        </w:rPr>
        <w:t>F</w:t>
      </w:r>
      <w:r w:rsidRPr="00553221">
        <w:rPr>
          <w:rFonts w:ascii="Arial" w:hAnsi="Arial" w:cs="Arial"/>
          <w:sz w:val="22"/>
          <w:szCs w:val="22"/>
          <w:lang w:eastAsia="en-US"/>
        </w:rPr>
        <w:t xml:space="preserve">inance and </w:t>
      </w:r>
      <w:r w:rsidR="00FE680B" w:rsidRPr="00553221">
        <w:rPr>
          <w:rFonts w:ascii="Arial" w:hAnsi="Arial" w:cs="Arial"/>
          <w:sz w:val="22"/>
          <w:szCs w:val="22"/>
          <w:lang w:eastAsia="en-US"/>
        </w:rPr>
        <w:t>S</w:t>
      </w:r>
      <w:r w:rsidRPr="00553221">
        <w:rPr>
          <w:rFonts w:ascii="Arial" w:hAnsi="Arial" w:cs="Arial"/>
          <w:sz w:val="22"/>
          <w:szCs w:val="22"/>
          <w:lang w:eastAsia="en-US"/>
        </w:rPr>
        <w:t xml:space="preserve">upply </w:t>
      </w:r>
      <w:r w:rsidR="00FE680B" w:rsidRPr="00553221">
        <w:rPr>
          <w:rFonts w:ascii="Arial" w:hAnsi="Arial" w:cs="Arial"/>
          <w:sz w:val="22"/>
          <w:szCs w:val="22"/>
          <w:lang w:eastAsia="en-US"/>
        </w:rPr>
        <w:t>C</w:t>
      </w:r>
      <w:r w:rsidRPr="00553221">
        <w:rPr>
          <w:rFonts w:ascii="Arial" w:hAnsi="Arial" w:cs="Arial"/>
          <w:sz w:val="22"/>
          <w:szCs w:val="22"/>
          <w:lang w:eastAsia="en-US"/>
        </w:rPr>
        <w:t xml:space="preserve">hain </w:t>
      </w:r>
      <w:r w:rsidR="00FE680B" w:rsidRPr="00553221">
        <w:rPr>
          <w:rFonts w:ascii="Arial" w:hAnsi="Arial" w:cs="Arial"/>
          <w:sz w:val="22"/>
          <w:szCs w:val="22"/>
          <w:lang w:eastAsia="en-US"/>
        </w:rPr>
        <w:t>F</w:t>
      </w:r>
      <w:r w:rsidRPr="00553221">
        <w:rPr>
          <w:rFonts w:ascii="Arial" w:hAnsi="Arial" w:cs="Arial"/>
          <w:sz w:val="22"/>
          <w:szCs w:val="22"/>
          <w:lang w:eastAsia="en-US"/>
        </w:rPr>
        <w:t xml:space="preserve">inance into </w:t>
      </w:r>
      <w:r w:rsidR="00886184">
        <w:rPr>
          <w:rFonts w:ascii="Arial" w:hAnsi="Arial" w:cs="Arial"/>
          <w:sz w:val="22"/>
          <w:szCs w:val="22"/>
          <w:lang w:eastAsia="en-US"/>
        </w:rPr>
        <w:t>T</w:t>
      </w:r>
      <w:r w:rsidRPr="00553221">
        <w:rPr>
          <w:rFonts w:ascii="Arial" w:hAnsi="Arial" w:cs="Arial"/>
          <w:sz w:val="22"/>
          <w:szCs w:val="22"/>
          <w:lang w:eastAsia="en-US"/>
        </w:rPr>
        <w:t xml:space="preserve">rade </w:t>
      </w:r>
      <w:r w:rsidR="00886184">
        <w:rPr>
          <w:rFonts w:ascii="Arial" w:hAnsi="Arial" w:cs="Arial"/>
          <w:sz w:val="22"/>
          <w:szCs w:val="22"/>
          <w:lang w:eastAsia="en-US"/>
        </w:rPr>
        <w:t>F</w:t>
      </w:r>
      <w:r w:rsidRPr="00553221">
        <w:rPr>
          <w:rFonts w:ascii="Arial" w:hAnsi="Arial" w:cs="Arial"/>
          <w:sz w:val="22"/>
          <w:szCs w:val="22"/>
          <w:lang w:eastAsia="en-US"/>
        </w:rPr>
        <w:t>acilitation practices.</w:t>
      </w:r>
    </w:p>
    <w:p w14:paraId="451E298F" w14:textId="77777777" w:rsidR="00B66840" w:rsidRDefault="00B66840" w:rsidP="004146CB">
      <w:pPr>
        <w:jc w:val="both"/>
        <w:rPr>
          <w:rFonts w:ascii="Arial" w:hAnsi="Arial" w:cs="Arial"/>
          <w:sz w:val="22"/>
          <w:szCs w:val="22"/>
          <w:lang w:eastAsia="en-US"/>
        </w:rPr>
      </w:pPr>
    </w:p>
    <w:p w14:paraId="312D2D77" w14:textId="77777777" w:rsidR="00B66840" w:rsidRDefault="00B66840">
      <w:pPr>
        <w:rPr>
          <w:rFonts w:ascii="Arial" w:hAnsi="Arial" w:cs="Arial"/>
          <w:b/>
          <w:color w:val="000080"/>
          <w:sz w:val="22"/>
          <w:szCs w:val="22"/>
          <w:lang w:eastAsia="en-US"/>
        </w:rPr>
      </w:pPr>
      <w:r>
        <w:rPr>
          <w:rFonts w:ascii="Arial" w:hAnsi="Arial" w:cs="Arial"/>
          <w:b/>
          <w:color w:val="000080"/>
        </w:rPr>
        <w:br w:type="page"/>
      </w:r>
    </w:p>
    <w:p w14:paraId="2D35F1E4" w14:textId="77777777" w:rsidR="000F24AC" w:rsidRPr="008D15CA" w:rsidRDefault="00971237" w:rsidP="00553221">
      <w:pPr>
        <w:pStyle w:val="Heading1"/>
      </w:pPr>
      <w:bookmarkStart w:id="33" w:name="_Toc441728567"/>
      <w:r>
        <w:lastRenderedPageBreak/>
        <w:t>FINANC</w:t>
      </w:r>
      <w:r w:rsidR="00AF7EBD">
        <w:t xml:space="preserve">ING TRADE FACILITATION </w:t>
      </w:r>
      <w:r>
        <w:t>IN CONTEXT</w:t>
      </w:r>
      <w:bookmarkEnd w:id="33"/>
    </w:p>
    <w:p w14:paraId="098D927F" w14:textId="77777777" w:rsidR="00444A2B" w:rsidRPr="00E42F20" w:rsidRDefault="00971237" w:rsidP="00444A2B">
      <w:pPr>
        <w:pStyle w:val="Heading2"/>
        <w:rPr>
          <w:sz w:val="22"/>
          <w:szCs w:val="22"/>
        </w:rPr>
      </w:pPr>
      <w:bookmarkStart w:id="34" w:name="_Toc436042207"/>
      <w:bookmarkStart w:id="35" w:name="_Toc441728568"/>
      <w:r>
        <w:rPr>
          <w:sz w:val="22"/>
          <w:szCs w:val="22"/>
        </w:rPr>
        <w:t>Trade, Finance and Development</w:t>
      </w:r>
      <w:bookmarkEnd w:id="34"/>
      <w:bookmarkEnd w:id="35"/>
    </w:p>
    <w:p w14:paraId="1739BD60" w14:textId="77777777" w:rsidR="004F7C4A" w:rsidRDefault="007718CC" w:rsidP="00971237">
      <w:pPr>
        <w:jc w:val="both"/>
        <w:rPr>
          <w:rFonts w:ascii="Arial" w:hAnsi="Arial" w:cs="Arial"/>
          <w:sz w:val="22"/>
          <w:szCs w:val="22"/>
          <w:lang w:val="en-CA"/>
        </w:rPr>
      </w:pPr>
      <w:r>
        <w:rPr>
          <w:rFonts w:ascii="Arial" w:hAnsi="Arial" w:cs="Arial"/>
          <w:sz w:val="22"/>
          <w:szCs w:val="22"/>
          <w:lang w:val="en-CA"/>
        </w:rPr>
        <w:t xml:space="preserve">The peak of the global financial and economic crisis brought sharply into focus the critical linkages between international trade, </w:t>
      </w:r>
      <w:r w:rsidR="00872981">
        <w:rPr>
          <w:rFonts w:ascii="Arial" w:hAnsi="Arial" w:cs="Arial"/>
          <w:sz w:val="22"/>
          <w:szCs w:val="22"/>
          <w:lang w:val="en-CA"/>
        </w:rPr>
        <w:t xml:space="preserve">its </w:t>
      </w:r>
      <w:r>
        <w:rPr>
          <w:rFonts w:ascii="Arial" w:hAnsi="Arial" w:cs="Arial"/>
          <w:sz w:val="22"/>
          <w:szCs w:val="22"/>
          <w:lang w:val="en-CA"/>
        </w:rPr>
        <w:t xml:space="preserve">development and </w:t>
      </w:r>
      <w:r w:rsidR="00872981">
        <w:rPr>
          <w:rFonts w:ascii="Arial" w:hAnsi="Arial" w:cs="Arial"/>
          <w:sz w:val="22"/>
          <w:szCs w:val="22"/>
          <w:lang w:val="en-CA"/>
        </w:rPr>
        <w:t>T</w:t>
      </w:r>
      <w:r>
        <w:rPr>
          <w:rFonts w:ascii="Arial" w:hAnsi="Arial" w:cs="Arial"/>
          <w:sz w:val="22"/>
          <w:szCs w:val="22"/>
          <w:lang w:val="en-CA"/>
        </w:rPr>
        <w:t>rade</w:t>
      </w:r>
      <w:r w:rsidR="00F01889">
        <w:rPr>
          <w:rFonts w:ascii="Arial" w:hAnsi="Arial" w:cs="Arial"/>
          <w:sz w:val="22"/>
          <w:szCs w:val="22"/>
          <w:lang w:val="en-CA"/>
        </w:rPr>
        <w:t xml:space="preserve"> </w:t>
      </w:r>
      <w:r w:rsidR="00872981">
        <w:rPr>
          <w:rFonts w:ascii="Arial" w:hAnsi="Arial" w:cs="Arial"/>
          <w:sz w:val="22"/>
          <w:szCs w:val="22"/>
          <w:lang w:val="en-CA"/>
        </w:rPr>
        <w:t>F</w:t>
      </w:r>
      <w:r w:rsidR="00F01889">
        <w:rPr>
          <w:rFonts w:ascii="Arial" w:hAnsi="Arial" w:cs="Arial"/>
          <w:sz w:val="22"/>
          <w:szCs w:val="22"/>
          <w:lang w:val="en-CA"/>
        </w:rPr>
        <w:t>inance</w:t>
      </w:r>
      <w:r>
        <w:rPr>
          <w:rFonts w:ascii="Arial" w:hAnsi="Arial" w:cs="Arial"/>
          <w:sz w:val="22"/>
          <w:szCs w:val="22"/>
          <w:lang w:val="en-CA"/>
        </w:rPr>
        <w:t>/</w:t>
      </w:r>
      <w:r w:rsidR="00872981">
        <w:rPr>
          <w:rFonts w:ascii="Arial" w:hAnsi="Arial" w:cs="Arial"/>
          <w:sz w:val="22"/>
          <w:szCs w:val="22"/>
          <w:lang w:val="en-CA"/>
        </w:rPr>
        <w:t>S</w:t>
      </w:r>
      <w:r>
        <w:rPr>
          <w:rFonts w:ascii="Arial" w:hAnsi="Arial" w:cs="Arial"/>
          <w:sz w:val="22"/>
          <w:szCs w:val="22"/>
          <w:lang w:val="en-CA"/>
        </w:rPr>
        <w:t xml:space="preserve">upply </w:t>
      </w:r>
      <w:r w:rsidR="00872981">
        <w:rPr>
          <w:rFonts w:ascii="Arial" w:hAnsi="Arial" w:cs="Arial"/>
          <w:sz w:val="22"/>
          <w:szCs w:val="22"/>
          <w:lang w:val="en-CA"/>
        </w:rPr>
        <w:t>C</w:t>
      </w:r>
      <w:r>
        <w:rPr>
          <w:rFonts w:ascii="Arial" w:hAnsi="Arial" w:cs="Arial"/>
          <w:sz w:val="22"/>
          <w:szCs w:val="22"/>
          <w:lang w:val="en-CA"/>
        </w:rPr>
        <w:t xml:space="preserve">hain </w:t>
      </w:r>
      <w:r w:rsidR="00872981">
        <w:rPr>
          <w:rFonts w:ascii="Arial" w:hAnsi="Arial" w:cs="Arial"/>
          <w:sz w:val="22"/>
          <w:szCs w:val="22"/>
          <w:lang w:val="en-CA"/>
        </w:rPr>
        <w:t>F</w:t>
      </w:r>
      <w:r>
        <w:rPr>
          <w:rFonts w:ascii="Arial" w:hAnsi="Arial" w:cs="Arial"/>
          <w:sz w:val="22"/>
          <w:szCs w:val="22"/>
          <w:lang w:val="en-CA"/>
        </w:rPr>
        <w:t>inanc</w:t>
      </w:r>
      <w:r w:rsidR="00F01889">
        <w:rPr>
          <w:rFonts w:ascii="Arial" w:hAnsi="Arial" w:cs="Arial"/>
          <w:sz w:val="22"/>
          <w:szCs w:val="22"/>
          <w:lang w:val="en-CA"/>
        </w:rPr>
        <w:t>e</w:t>
      </w:r>
      <w:r>
        <w:rPr>
          <w:rFonts w:ascii="Arial" w:hAnsi="Arial" w:cs="Arial"/>
          <w:sz w:val="22"/>
          <w:szCs w:val="22"/>
          <w:lang w:val="en-CA"/>
        </w:rPr>
        <w:t>.</w:t>
      </w:r>
    </w:p>
    <w:p w14:paraId="1D22B7EF" w14:textId="77777777" w:rsidR="007718CC" w:rsidRDefault="007718CC" w:rsidP="00971237">
      <w:pPr>
        <w:jc w:val="both"/>
        <w:rPr>
          <w:rFonts w:ascii="Arial" w:hAnsi="Arial" w:cs="Arial"/>
          <w:sz w:val="22"/>
          <w:szCs w:val="22"/>
          <w:lang w:val="en-CA"/>
        </w:rPr>
      </w:pPr>
    </w:p>
    <w:p w14:paraId="57F71E2B" w14:textId="77777777" w:rsidR="007718CC" w:rsidRDefault="00881471" w:rsidP="00971237">
      <w:pPr>
        <w:jc w:val="both"/>
        <w:rPr>
          <w:rFonts w:ascii="Arial" w:hAnsi="Arial" w:cs="Arial"/>
          <w:sz w:val="22"/>
          <w:szCs w:val="22"/>
          <w:lang w:val="en-CA"/>
        </w:rPr>
      </w:pPr>
      <w:r>
        <w:rPr>
          <w:rFonts w:ascii="Arial" w:hAnsi="Arial" w:cs="Arial"/>
          <w:sz w:val="22"/>
          <w:szCs w:val="22"/>
          <w:lang w:val="en-CA"/>
        </w:rPr>
        <w:t xml:space="preserve">Financing, in some form, supports the vast majority of </w:t>
      </w:r>
      <w:r w:rsidRPr="00F01889">
        <w:rPr>
          <w:rFonts w:ascii="Arial" w:hAnsi="Arial" w:cs="Arial"/>
          <w:sz w:val="22"/>
          <w:szCs w:val="22"/>
          <w:lang w:val="en-CA"/>
        </w:rPr>
        <w:t>merchandise</w:t>
      </w:r>
      <w:r>
        <w:rPr>
          <w:rFonts w:ascii="Arial" w:hAnsi="Arial" w:cs="Arial"/>
          <w:sz w:val="22"/>
          <w:szCs w:val="22"/>
          <w:lang w:val="en-CA"/>
        </w:rPr>
        <w:t xml:space="preserve"> trade flows and is increasingly important to the flow of service sector trade activity. Relatedly, financing (specifically, lack of it) has been identified almost globally as a serious obstacle to growth and sustainability of small and medium-sized enterprises in particular.</w:t>
      </w:r>
    </w:p>
    <w:p w14:paraId="3E4D495D" w14:textId="77777777" w:rsidR="003E4B53" w:rsidRDefault="003E4B53" w:rsidP="00971237">
      <w:pPr>
        <w:jc w:val="both"/>
        <w:rPr>
          <w:rFonts w:ascii="Arial" w:hAnsi="Arial" w:cs="Arial"/>
          <w:sz w:val="22"/>
          <w:szCs w:val="22"/>
          <w:lang w:val="en-CA"/>
        </w:rPr>
      </w:pPr>
    </w:p>
    <w:p w14:paraId="36044449" w14:textId="77777777" w:rsidR="003E4B53" w:rsidRDefault="003E4B53" w:rsidP="003E4B53">
      <w:pPr>
        <w:pStyle w:val="Caption"/>
        <w:rPr>
          <w:rFonts w:ascii="Arial" w:hAnsi="Arial" w:cs="Arial"/>
          <w:sz w:val="22"/>
          <w:szCs w:val="22"/>
          <w:lang w:val="en-CA"/>
        </w:rPr>
      </w:pPr>
      <w:bookmarkStart w:id="36" w:name="_Toc436042282"/>
      <w:r>
        <w:t xml:space="preserve">Figure </w:t>
      </w:r>
      <w:r>
        <w:fldChar w:fldCharType="begin"/>
      </w:r>
      <w:r>
        <w:instrText xml:space="preserve"> SEQ Figure \* ARABIC </w:instrText>
      </w:r>
      <w:r>
        <w:fldChar w:fldCharType="separate"/>
      </w:r>
      <w:r w:rsidR="00A73BD5">
        <w:rPr>
          <w:noProof/>
        </w:rPr>
        <w:t>18</w:t>
      </w:r>
      <w:r>
        <w:fldChar w:fldCharType="end"/>
      </w:r>
      <w:r>
        <w:t>: Trade Facilitation Practices Help to Reduce Poverty</w:t>
      </w:r>
      <w:bookmarkEnd w:id="36"/>
    </w:p>
    <w:p w14:paraId="5CBC73A4" w14:textId="77777777" w:rsidR="003069FB" w:rsidRDefault="003069FB" w:rsidP="003069FB">
      <w:pPr>
        <w:jc w:val="center"/>
        <w:rPr>
          <w:rFonts w:ascii="Arial" w:hAnsi="Arial" w:cs="Arial"/>
          <w:sz w:val="22"/>
          <w:szCs w:val="22"/>
          <w:lang w:val="en-CA"/>
        </w:rPr>
      </w:pPr>
      <w:r w:rsidRPr="003069FB">
        <w:rPr>
          <w:noProof/>
          <w:lang w:val="en-GB" w:eastAsia="en-GB"/>
        </w:rPr>
        <w:drawing>
          <wp:inline distT="0" distB="0" distL="0" distR="0" wp14:anchorId="1D9D9BE7" wp14:editId="4272BBD1">
            <wp:extent cx="4590115" cy="5078641"/>
            <wp:effectExtent l="19050" t="19050" r="2032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19" cy="5079641"/>
                    </a:xfrm>
                    <a:prstGeom prst="rect">
                      <a:avLst/>
                    </a:prstGeom>
                    <a:noFill/>
                    <a:ln>
                      <a:solidFill>
                        <a:schemeClr val="accent1"/>
                      </a:solidFill>
                    </a:ln>
                  </pic:spPr>
                </pic:pic>
              </a:graphicData>
            </a:graphic>
          </wp:inline>
        </w:drawing>
      </w:r>
    </w:p>
    <w:p w14:paraId="44AD5396" w14:textId="77777777" w:rsidR="003069FB" w:rsidRPr="003E4B53" w:rsidRDefault="003069FB" w:rsidP="003E4B53">
      <w:pPr>
        <w:rPr>
          <w:rStyle w:val="Emphasis"/>
        </w:rPr>
      </w:pPr>
      <w:r w:rsidRPr="003E4B53">
        <w:rPr>
          <w:rStyle w:val="Emphasis"/>
        </w:rPr>
        <w:t>Source: WTO Trade Facilitation Agreement:</w:t>
      </w:r>
      <w:r w:rsidR="003E4B53">
        <w:rPr>
          <w:rStyle w:val="Emphasis"/>
        </w:rPr>
        <w:t xml:space="preserve"> </w:t>
      </w:r>
      <w:r w:rsidRPr="003E4B53">
        <w:rPr>
          <w:rStyle w:val="Emphasis"/>
        </w:rPr>
        <w:t>A Business Guide for Developing Countries, ITC</w:t>
      </w:r>
    </w:p>
    <w:p w14:paraId="486C88BE" w14:textId="77777777" w:rsidR="003E4B53" w:rsidRPr="003E4B53" w:rsidRDefault="003E4B53" w:rsidP="00971237">
      <w:pPr>
        <w:jc w:val="both"/>
        <w:rPr>
          <w:rFonts w:ascii="Arial" w:hAnsi="Arial" w:cs="Arial"/>
          <w:sz w:val="22"/>
          <w:szCs w:val="22"/>
        </w:rPr>
      </w:pPr>
    </w:p>
    <w:p w14:paraId="06C6C668" w14:textId="77777777" w:rsidR="00881471" w:rsidRDefault="00881471" w:rsidP="00971237">
      <w:pPr>
        <w:jc w:val="both"/>
        <w:rPr>
          <w:rFonts w:ascii="Arial" w:hAnsi="Arial" w:cs="Arial"/>
          <w:sz w:val="22"/>
          <w:szCs w:val="22"/>
          <w:lang w:val="en-CA"/>
        </w:rPr>
      </w:pPr>
      <w:r w:rsidRPr="0039084A">
        <w:rPr>
          <w:rFonts w:ascii="Arial" w:hAnsi="Arial" w:cs="Arial"/>
          <w:sz w:val="22"/>
          <w:szCs w:val="22"/>
          <w:lang w:val="en-CA"/>
        </w:rPr>
        <w:lastRenderedPageBreak/>
        <w:t>Suppliers linked in to cross-border and international supply chains are often based in d</w:t>
      </w:r>
      <w:r w:rsidR="004146CB">
        <w:rPr>
          <w:rFonts w:ascii="Arial" w:hAnsi="Arial" w:cs="Arial"/>
          <w:sz w:val="22"/>
          <w:szCs w:val="22"/>
          <w:lang w:val="en-CA"/>
        </w:rPr>
        <w:t>eveloping</w:t>
      </w:r>
      <w:r w:rsidRPr="0039084A">
        <w:rPr>
          <w:rFonts w:ascii="Arial" w:hAnsi="Arial" w:cs="Arial"/>
          <w:sz w:val="22"/>
          <w:szCs w:val="22"/>
          <w:lang w:val="en-CA"/>
        </w:rPr>
        <w:t xml:space="preserve"> and emerging markets, where the challenges of accessing affordable financing are further complicated.</w:t>
      </w:r>
      <w:r>
        <w:rPr>
          <w:rFonts w:ascii="Arial" w:hAnsi="Arial" w:cs="Arial"/>
          <w:sz w:val="22"/>
          <w:szCs w:val="22"/>
          <w:lang w:val="en-CA"/>
        </w:rPr>
        <w:t xml:space="preserve"> </w:t>
      </w:r>
      <w:r w:rsidR="008C6179">
        <w:rPr>
          <w:rFonts w:ascii="Arial" w:hAnsi="Arial" w:cs="Arial"/>
          <w:sz w:val="22"/>
          <w:szCs w:val="22"/>
          <w:lang w:val="en-CA"/>
        </w:rPr>
        <w:t>I</w:t>
      </w:r>
      <w:r w:rsidR="00F01889">
        <w:rPr>
          <w:rFonts w:ascii="Arial" w:hAnsi="Arial" w:cs="Arial"/>
          <w:sz w:val="22"/>
          <w:szCs w:val="22"/>
          <w:lang w:val="en-CA"/>
        </w:rPr>
        <w:t>t is often the case that financing available locally in developing markets is simply too expensive for SMEs to take advantage of, thus the challenge is about access to finance, but also about the affordability of financing for SMEs.</w:t>
      </w:r>
    </w:p>
    <w:p w14:paraId="12B62E0B" w14:textId="77777777" w:rsidR="0039084A" w:rsidRDefault="0039084A" w:rsidP="00971237">
      <w:pPr>
        <w:jc w:val="both"/>
        <w:rPr>
          <w:rFonts w:ascii="Arial" w:hAnsi="Arial" w:cs="Arial"/>
          <w:sz w:val="22"/>
          <w:szCs w:val="22"/>
          <w:lang w:val="en-CA"/>
        </w:rPr>
      </w:pPr>
    </w:p>
    <w:p w14:paraId="7211208E" w14:textId="77777777" w:rsidR="0039084A" w:rsidRDefault="0039084A" w:rsidP="00971237">
      <w:pPr>
        <w:jc w:val="both"/>
        <w:rPr>
          <w:rFonts w:ascii="Arial" w:hAnsi="Arial" w:cs="Arial"/>
          <w:sz w:val="22"/>
          <w:szCs w:val="22"/>
          <w:lang w:val="en-CA"/>
        </w:rPr>
      </w:pPr>
      <w:r>
        <w:rPr>
          <w:rFonts w:ascii="Arial" w:hAnsi="Arial" w:cs="Arial"/>
          <w:sz w:val="22"/>
          <w:szCs w:val="22"/>
          <w:lang w:val="en-CA"/>
        </w:rPr>
        <w:t xml:space="preserve">Challenges and complexities of access aside, it remains clear that there is a direct connection between cross-border trade and international development. </w:t>
      </w:r>
      <w:r w:rsidR="003571CE">
        <w:rPr>
          <w:rFonts w:ascii="Arial" w:hAnsi="Arial" w:cs="Arial"/>
          <w:sz w:val="22"/>
          <w:szCs w:val="22"/>
          <w:lang w:val="en-CA"/>
        </w:rPr>
        <w:t>I</w:t>
      </w:r>
      <w:r>
        <w:rPr>
          <w:rFonts w:ascii="Arial" w:hAnsi="Arial" w:cs="Arial"/>
          <w:sz w:val="22"/>
          <w:szCs w:val="22"/>
          <w:lang w:val="en-CA"/>
        </w:rPr>
        <w:t xml:space="preserve">t is well-recognized that trade creates economic value and that trade can be an effective contributor to development and poverty-reduction. The success of </w:t>
      </w:r>
      <w:r w:rsidR="003571CE">
        <w:rPr>
          <w:rFonts w:ascii="Arial" w:hAnsi="Arial" w:cs="Arial"/>
          <w:sz w:val="22"/>
          <w:szCs w:val="22"/>
          <w:lang w:val="en-CA"/>
        </w:rPr>
        <w:t xml:space="preserve">Trade Facilitation and Development </w:t>
      </w:r>
      <w:r>
        <w:rPr>
          <w:rFonts w:ascii="Arial" w:hAnsi="Arial" w:cs="Arial"/>
          <w:sz w:val="22"/>
          <w:szCs w:val="22"/>
          <w:lang w:val="en-CA"/>
        </w:rPr>
        <w:t xml:space="preserve">practitioners in promoting trade as a driver of development has been such, that numerous jurisdictions have incorporated trade-enabling public policy as a pillar of their development </w:t>
      </w:r>
      <w:r w:rsidR="00F01889">
        <w:rPr>
          <w:rFonts w:ascii="Arial" w:hAnsi="Arial" w:cs="Arial"/>
          <w:sz w:val="22"/>
          <w:szCs w:val="22"/>
          <w:lang w:val="en-CA"/>
        </w:rPr>
        <w:t xml:space="preserve">and poverty-reduction </w:t>
      </w:r>
      <w:r>
        <w:rPr>
          <w:rFonts w:ascii="Arial" w:hAnsi="Arial" w:cs="Arial"/>
          <w:sz w:val="22"/>
          <w:szCs w:val="22"/>
          <w:lang w:val="en-CA"/>
        </w:rPr>
        <w:t>strategies.</w:t>
      </w:r>
    </w:p>
    <w:p w14:paraId="161AC925" w14:textId="77777777" w:rsidR="005333B5" w:rsidRDefault="005333B5" w:rsidP="00971237">
      <w:pPr>
        <w:jc w:val="both"/>
        <w:rPr>
          <w:rFonts w:ascii="Arial" w:hAnsi="Arial" w:cs="Arial"/>
          <w:sz w:val="22"/>
          <w:szCs w:val="22"/>
          <w:lang w:val="en-CA"/>
        </w:rPr>
      </w:pPr>
    </w:p>
    <w:p w14:paraId="1CA3571A" w14:textId="77777777" w:rsidR="005333B5" w:rsidRDefault="005333B5" w:rsidP="00971237">
      <w:pPr>
        <w:jc w:val="both"/>
        <w:rPr>
          <w:rFonts w:ascii="Arial" w:hAnsi="Arial" w:cs="Arial"/>
          <w:sz w:val="22"/>
          <w:szCs w:val="22"/>
          <w:lang w:val="en-CA"/>
        </w:rPr>
      </w:pPr>
      <w:r>
        <w:rPr>
          <w:rFonts w:ascii="Arial" w:hAnsi="Arial" w:cs="Arial"/>
          <w:sz w:val="22"/>
          <w:szCs w:val="22"/>
          <w:lang w:val="en-CA"/>
        </w:rPr>
        <w:t xml:space="preserve">As illustrated in the above graphic from a document prepared by the International Trade Centre, specific </w:t>
      </w:r>
      <w:r w:rsidR="00872981">
        <w:rPr>
          <w:rFonts w:ascii="Arial" w:hAnsi="Arial" w:cs="Arial"/>
          <w:sz w:val="22"/>
          <w:szCs w:val="22"/>
          <w:lang w:val="en-CA"/>
        </w:rPr>
        <w:t>Trade F</w:t>
      </w:r>
      <w:r>
        <w:rPr>
          <w:rFonts w:ascii="Arial" w:hAnsi="Arial" w:cs="Arial"/>
          <w:sz w:val="22"/>
          <w:szCs w:val="22"/>
          <w:lang w:val="en-CA"/>
        </w:rPr>
        <w:t>acilitation initiatives are tied to enhanced export trade, job creation, economic value creation and poverty reduction.</w:t>
      </w:r>
      <w:r w:rsidR="004146CB">
        <w:rPr>
          <w:rFonts w:ascii="Arial" w:hAnsi="Arial" w:cs="Arial"/>
          <w:sz w:val="22"/>
          <w:szCs w:val="22"/>
          <w:lang w:val="en-CA"/>
        </w:rPr>
        <w:t xml:space="preserve"> This includes Single Window market access initiatives, some of the most advanced and successful of which have been deployed in developing markets.</w:t>
      </w:r>
    </w:p>
    <w:p w14:paraId="41513EF0" w14:textId="77777777" w:rsidR="005333B5" w:rsidRDefault="005333B5" w:rsidP="00971237">
      <w:pPr>
        <w:jc w:val="both"/>
        <w:rPr>
          <w:rFonts w:ascii="Arial" w:hAnsi="Arial" w:cs="Arial"/>
          <w:sz w:val="22"/>
          <w:szCs w:val="22"/>
          <w:lang w:val="en-CA"/>
        </w:rPr>
      </w:pPr>
    </w:p>
    <w:p w14:paraId="64E84365" w14:textId="77777777" w:rsidR="005333B5" w:rsidRDefault="005333B5" w:rsidP="00971237">
      <w:pPr>
        <w:jc w:val="both"/>
        <w:rPr>
          <w:rFonts w:ascii="Arial" w:hAnsi="Arial" w:cs="Arial"/>
          <w:sz w:val="22"/>
          <w:szCs w:val="22"/>
          <w:lang w:val="en-CA"/>
        </w:rPr>
      </w:pPr>
      <w:r>
        <w:rPr>
          <w:rFonts w:ascii="Arial" w:hAnsi="Arial" w:cs="Arial"/>
          <w:sz w:val="22"/>
          <w:szCs w:val="22"/>
          <w:lang w:val="en-CA"/>
        </w:rPr>
        <w:t xml:space="preserve">Export performance, </w:t>
      </w:r>
      <w:r w:rsidR="00971831">
        <w:rPr>
          <w:rFonts w:ascii="Arial" w:hAnsi="Arial" w:cs="Arial"/>
          <w:sz w:val="22"/>
          <w:szCs w:val="22"/>
          <w:lang w:val="en-CA"/>
        </w:rPr>
        <w:t>especially</w:t>
      </w:r>
      <w:r>
        <w:rPr>
          <w:rFonts w:ascii="Arial" w:hAnsi="Arial" w:cs="Arial"/>
          <w:sz w:val="22"/>
          <w:szCs w:val="22"/>
          <w:lang w:val="en-CA"/>
        </w:rPr>
        <w:t xml:space="preserve"> when it involves the SME sector in a particular jurisdiction, has been clearly linked to the availability of </w:t>
      </w:r>
      <w:r w:rsidR="00872981">
        <w:rPr>
          <w:rFonts w:ascii="Arial" w:hAnsi="Arial" w:cs="Arial"/>
          <w:sz w:val="22"/>
          <w:szCs w:val="22"/>
          <w:lang w:val="en-CA"/>
        </w:rPr>
        <w:t>T</w:t>
      </w:r>
      <w:r>
        <w:rPr>
          <w:rFonts w:ascii="Arial" w:hAnsi="Arial" w:cs="Arial"/>
          <w:sz w:val="22"/>
          <w:szCs w:val="22"/>
          <w:lang w:val="en-CA"/>
        </w:rPr>
        <w:t xml:space="preserve">rade </w:t>
      </w:r>
      <w:r w:rsidR="00872981">
        <w:rPr>
          <w:rFonts w:ascii="Arial" w:hAnsi="Arial" w:cs="Arial"/>
          <w:sz w:val="22"/>
          <w:szCs w:val="22"/>
          <w:lang w:val="en-CA"/>
        </w:rPr>
        <w:t>F</w:t>
      </w:r>
      <w:r>
        <w:rPr>
          <w:rFonts w:ascii="Arial" w:hAnsi="Arial" w:cs="Arial"/>
          <w:sz w:val="22"/>
          <w:szCs w:val="22"/>
          <w:lang w:val="en-CA"/>
        </w:rPr>
        <w:t xml:space="preserve">inance, including pre-shipment or pre-export finance, which can be critical in enabling SME </w:t>
      </w:r>
      <w:r w:rsidR="00936C60">
        <w:rPr>
          <w:rFonts w:ascii="Arial" w:hAnsi="Arial" w:cs="Arial"/>
          <w:sz w:val="22"/>
          <w:szCs w:val="22"/>
          <w:lang w:val="en-CA"/>
        </w:rPr>
        <w:t>supplier</w:t>
      </w:r>
      <w:r>
        <w:rPr>
          <w:rFonts w:ascii="Arial" w:hAnsi="Arial" w:cs="Arial"/>
          <w:sz w:val="22"/>
          <w:szCs w:val="22"/>
          <w:lang w:val="en-CA"/>
        </w:rPr>
        <w:t xml:space="preserve">s to pursue international sales. In many jurisdictions, from developing markets </w:t>
      </w:r>
      <w:r w:rsidR="00872981">
        <w:rPr>
          <w:rFonts w:ascii="Arial" w:hAnsi="Arial" w:cs="Arial"/>
          <w:sz w:val="22"/>
          <w:szCs w:val="22"/>
          <w:lang w:val="en-CA"/>
        </w:rPr>
        <w:t>(</w:t>
      </w:r>
      <w:r>
        <w:rPr>
          <w:rFonts w:ascii="Arial" w:hAnsi="Arial" w:cs="Arial"/>
          <w:sz w:val="22"/>
          <w:szCs w:val="22"/>
          <w:lang w:val="en-CA"/>
        </w:rPr>
        <w:t>where small and micro-enterprises are central to commercial activity</w:t>
      </w:r>
      <w:r w:rsidR="00872981">
        <w:rPr>
          <w:rFonts w:ascii="Arial" w:hAnsi="Arial" w:cs="Arial"/>
          <w:sz w:val="22"/>
          <w:szCs w:val="22"/>
          <w:lang w:val="en-CA"/>
        </w:rPr>
        <w:t>)</w:t>
      </w:r>
      <w:r>
        <w:rPr>
          <w:rFonts w:ascii="Arial" w:hAnsi="Arial" w:cs="Arial"/>
          <w:sz w:val="22"/>
          <w:szCs w:val="22"/>
          <w:lang w:val="en-CA"/>
        </w:rPr>
        <w:t xml:space="preserve"> to so-called advanced economies like the US, the UK and Germany, SMEs are acknowledged as the ‘backbone’ of economic growth and value-creation.</w:t>
      </w:r>
    </w:p>
    <w:p w14:paraId="3D6E5B19" w14:textId="77777777" w:rsidR="005333B5" w:rsidRDefault="005333B5" w:rsidP="00971237">
      <w:pPr>
        <w:jc w:val="both"/>
        <w:rPr>
          <w:rFonts w:ascii="Arial" w:hAnsi="Arial" w:cs="Arial"/>
          <w:sz w:val="22"/>
          <w:szCs w:val="22"/>
          <w:lang w:val="en-CA"/>
        </w:rPr>
      </w:pPr>
    </w:p>
    <w:p w14:paraId="4DA9AD04" w14:textId="77777777" w:rsidR="005333B5" w:rsidRDefault="005333B5" w:rsidP="00971237">
      <w:pPr>
        <w:jc w:val="both"/>
        <w:rPr>
          <w:rFonts w:ascii="Arial" w:hAnsi="Arial" w:cs="Arial"/>
          <w:sz w:val="22"/>
          <w:szCs w:val="22"/>
          <w:lang w:val="en-CA"/>
        </w:rPr>
      </w:pPr>
      <w:r>
        <w:rPr>
          <w:rFonts w:ascii="Arial" w:hAnsi="Arial" w:cs="Arial"/>
          <w:sz w:val="22"/>
          <w:szCs w:val="22"/>
          <w:lang w:val="en-CA"/>
        </w:rPr>
        <w:t xml:space="preserve">At the peak of the global crisis, as the bank-to-bank lending market </w:t>
      </w:r>
      <w:r w:rsidR="00333247">
        <w:rPr>
          <w:rFonts w:ascii="Arial" w:hAnsi="Arial" w:cs="Arial"/>
          <w:sz w:val="22"/>
          <w:szCs w:val="22"/>
          <w:lang w:val="en-CA"/>
        </w:rPr>
        <w:t xml:space="preserve">ceased to function, and caused a serious shortage of bank-assisted export finance, trade flows from Asia to the Americas and Europe were reported to decrease by about 40%, cargo vessels remained empty and anchored at various ports and maritime cargo rates dropped precipitously by 80-90% or more. </w:t>
      </w:r>
      <w:r>
        <w:rPr>
          <w:rFonts w:ascii="Arial" w:hAnsi="Arial" w:cs="Arial"/>
          <w:sz w:val="22"/>
          <w:szCs w:val="22"/>
          <w:lang w:val="en-CA"/>
        </w:rPr>
        <w:t xml:space="preserve"> </w:t>
      </w:r>
      <w:r w:rsidR="00333247">
        <w:rPr>
          <w:rFonts w:ascii="Arial" w:hAnsi="Arial" w:cs="Arial"/>
          <w:sz w:val="22"/>
          <w:szCs w:val="22"/>
          <w:lang w:val="en-CA"/>
        </w:rPr>
        <w:t>The scenario was all the more critical, as authorities looked to trade to help drive the global economic system to eventual recovery.</w:t>
      </w:r>
    </w:p>
    <w:p w14:paraId="015F519E" w14:textId="77777777" w:rsidR="00333247" w:rsidRDefault="00333247" w:rsidP="00971237">
      <w:pPr>
        <w:jc w:val="both"/>
        <w:rPr>
          <w:rFonts w:ascii="Arial" w:hAnsi="Arial" w:cs="Arial"/>
          <w:sz w:val="22"/>
          <w:szCs w:val="22"/>
          <w:lang w:val="en-CA"/>
        </w:rPr>
      </w:pPr>
    </w:p>
    <w:p w14:paraId="40CAC1BC" w14:textId="77777777" w:rsidR="00333247" w:rsidRDefault="00333247" w:rsidP="00971237">
      <w:pPr>
        <w:jc w:val="both"/>
        <w:rPr>
          <w:rFonts w:ascii="Arial" w:hAnsi="Arial" w:cs="Arial"/>
          <w:sz w:val="22"/>
          <w:szCs w:val="22"/>
          <w:lang w:val="en-CA"/>
        </w:rPr>
      </w:pPr>
      <w:r>
        <w:rPr>
          <w:rFonts w:ascii="Arial" w:hAnsi="Arial" w:cs="Arial"/>
          <w:sz w:val="22"/>
          <w:szCs w:val="22"/>
          <w:lang w:val="en-CA"/>
        </w:rPr>
        <w:t xml:space="preserve">With the link between availability of </w:t>
      </w:r>
      <w:r w:rsidR="0002261E">
        <w:rPr>
          <w:rFonts w:ascii="Arial" w:hAnsi="Arial" w:cs="Arial"/>
          <w:sz w:val="22"/>
          <w:szCs w:val="22"/>
          <w:lang w:val="en-CA"/>
        </w:rPr>
        <w:t>T</w:t>
      </w:r>
      <w:r>
        <w:rPr>
          <w:rFonts w:ascii="Arial" w:hAnsi="Arial" w:cs="Arial"/>
          <w:sz w:val="22"/>
          <w:szCs w:val="22"/>
          <w:lang w:val="en-CA"/>
        </w:rPr>
        <w:t>rade</w:t>
      </w:r>
      <w:r w:rsidR="0002261E">
        <w:rPr>
          <w:rFonts w:ascii="Arial" w:hAnsi="Arial" w:cs="Arial"/>
          <w:sz w:val="22"/>
          <w:szCs w:val="22"/>
          <w:lang w:val="en-CA"/>
        </w:rPr>
        <w:t xml:space="preserve"> Finance</w:t>
      </w:r>
      <w:r>
        <w:rPr>
          <w:rFonts w:ascii="Arial" w:hAnsi="Arial" w:cs="Arial"/>
          <w:sz w:val="22"/>
          <w:szCs w:val="22"/>
          <w:lang w:val="en-CA"/>
        </w:rPr>
        <w:t>/</w:t>
      </w:r>
      <w:r w:rsidR="0002261E">
        <w:rPr>
          <w:rFonts w:ascii="Arial" w:hAnsi="Arial" w:cs="Arial"/>
          <w:sz w:val="22"/>
          <w:szCs w:val="22"/>
          <w:lang w:val="en-CA"/>
        </w:rPr>
        <w:t>S</w:t>
      </w:r>
      <w:r>
        <w:rPr>
          <w:rFonts w:ascii="Arial" w:hAnsi="Arial" w:cs="Arial"/>
          <w:sz w:val="22"/>
          <w:szCs w:val="22"/>
          <w:lang w:val="en-CA"/>
        </w:rPr>
        <w:t xml:space="preserve">upply </w:t>
      </w:r>
      <w:r w:rsidR="0002261E">
        <w:rPr>
          <w:rFonts w:ascii="Arial" w:hAnsi="Arial" w:cs="Arial"/>
          <w:sz w:val="22"/>
          <w:szCs w:val="22"/>
          <w:lang w:val="en-CA"/>
        </w:rPr>
        <w:t>C</w:t>
      </w:r>
      <w:r>
        <w:rPr>
          <w:rFonts w:ascii="Arial" w:hAnsi="Arial" w:cs="Arial"/>
          <w:sz w:val="22"/>
          <w:szCs w:val="22"/>
          <w:lang w:val="en-CA"/>
        </w:rPr>
        <w:t xml:space="preserve">hain </w:t>
      </w:r>
      <w:r w:rsidR="0002261E">
        <w:rPr>
          <w:rFonts w:ascii="Arial" w:hAnsi="Arial" w:cs="Arial"/>
          <w:sz w:val="22"/>
          <w:szCs w:val="22"/>
          <w:lang w:val="en-CA"/>
        </w:rPr>
        <w:t>F</w:t>
      </w:r>
      <w:r>
        <w:rPr>
          <w:rFonts w:ascii="Arial" w:hAnsi="Arial" w:cs="Arial"/>
          <w:sz w:val="22"/>
          <w:szCs w:val="22"/>
          <w:lang w:val="en-CA"/>
        </w:rPr>
        <w:t xml:space="preserve">inance and trade activity firmly established, the further link to </w:t>
      </w:r>
      <w:r w:rsidRPr="00F01889">
        <w:rPr>
          <w:rFonts w:ascii="Arial" w:hAnsi="Arial" w:cs="Arial"/>
          <w:sz w:val="22"/>
          <w:szCs w:val="22"/>
          <w:lang w:val="en-CA"/>
        </w:rPr>
        <w:t>development</w:t>
      </w:r>
      <w:r>
        <w:rPr>
          <w:rFonts w:ascii="Arial" w:hAnsi="Arial" w:cs="Arial"/>
          <w:sz w:val="22"/>
          <w:szCs w:val="22"/>
          <w:lang w:val="en-CA"/>
        </w:rPr>
        <w:t xml:space="preserve"> is logically compelling and carries increasing credibility among </w:t>
      </w:r>
      <w:r w:rsidR="0002261E">
        <w:rPr>
          <w:rFonts w:ascii="Arial" w:hAnsi="Arial" w:cs="Arial"/>
          <w:sz w:val="22"/>
          <w:szCs w:val="22"/>
          <w:lang w:val="en-CA"/>
        </w:rPr>
        <w:t>T</w:t>
      </w:r>
      <w:r>
        <w:rPr>
          <w:rFonts w:ascii="Arial" w:hAnsi="Arial" w:cs="Arial"/>
          <w:sz w:val="22"/>
          <w:szCs w:val="22"/>
          <w:lang w:val="en-CA"/>
        </w:rPr>
        <w:t xml:space="preserve">rade </w:t>
      </w:r>
      <w:r w:rsidR="0002261E">
        <w:rPr>
          <w:rFonts w:ascii="Arial" w:hAnsi="Arial" w:cs="Arial"/>
          <w:sz w:val="22"/>
          <w:szCs w:val="22"/>
          <w:lang w:val="en-CA"/>
        </w:rPr>
        <w:t>F</w:t>
      </w:r>
      <w:r>
        <w:rPr>
          <w:rFonts w:ascii="Arial" w:hAnsi="Arial" w:cs="Arial"/>
          <w:sz w:val="22"/>
          <w:szCs w:val="22"/>
          <w:lang w:val="en-CA"/>
        </w:rPr>
        <w:t xml:space="preserve">acilitation practitioners, policy specialists and government authorities. </w:t>
      </w:r>
    </w:p>
    <w:p w14:paraId="3D773100" w14:textId="77777777" w:rsidR="00BD3A21" w:rsidRDefault="00BD3A21" w:rsidP="00971237">
      <w:pPr>
        <w:jc w:val="both"/>
        <w:rPr>
          <w:rFonts w:ascii="Arial" w:hAnsi="Arial" w:cs="Arial"/>
          <w:sz w:val="22"/>
          <w:szCs w:val="22"/>
          <w:lang w:val="en-CA"/>
        </w:rPr>
      </w:pPr>
    </w:p>
    <w:p w14:paraId="209F9AED" w14:textId="77777777" w:rsidR="00BD3A21" w:rsidRDefault="00BD3A21" w:rsidP="00971237">
      <w:pPr>
        <w:jc w:val="both"/>
        <w:rPr>
          <w:rFonts w:ascii="Arial" w:hAnsi="Arial" w:cs="Arial"/>
          <w:sz w:val="22"/>
          <w:szCs w:val="22"/>
          <w:lang w:val="en-CA"/>
        </w:rPr>
      </w:pPr>
      <w:r>
        <w:rPr>
          <w:rFonts w:ascii="Arial" w:hAnsi="Arial" w:cs="Arial"/>
          <w:sz w:val="22"/>
          <w:szCs w:val="22"/>
          <w:lang w:val="en-CA"/>
        </w:rPr>
        <w:t xml:space="preserve">There is an opportunity to highlight these linkages to communities of </w:t>
      </w:r>
      <w:r w:rsidR="0002261E">
        <w:rPr>
          <w:rFonts w:ascii="Arial" w:hAnsi="Arial" w:cs="Arial"/>
          <w:sz w:val="22"/>
          <w:szCs w:val="22"/>
          <w:lang w:val="en-CA"/>
        </w:rPr>
        <w:t>T</w:t>
      </w:r>
      <w:r>
        <w:rPr>
          <w:rFonts w:ascii="Arial" w:hAnsi="Arial" w:cs="Arial"/>
          <w:sz w:val="22"/>
          <w:szCs w:val="22"/>
          <w:lang w:val="en-CA"/>
        </w:rPr>
        <w:t xml:space="preserve">rade </w:t>
      </w:r>
      <w:r w:rsidR="0002261E">
        <w:rPr>
          <w:rFonts w:ascii="Arial" w:hAnsi="Arial" w:cs="Arial"/>
          <w:sz w:val="22"/>
          <w:szCs w:val="22"/>
          <w:lang w:val="en-CA"/>
        </w:rPr>
        <w:t>F</w:t>
      </w:r>
      <w:r>
        <w:rPr>
          <w:rFonts w:ascii="Arial" w:hAnsi="Arial" w:cs="Arial"/>
          <w:sz w:val="22"/>
          <w:szCs w:val="22"/>
          <w:lang w:val="en-CA"/>
        </w:rPr>
        <w:t>inance practitioners</w:t>
      </w:r>
      <w:r w:rsidR="00F01889">
        <w:rPr>
          <w:rFonts w:ascii="Arial" w:hAnsi="Arial" w:cs="Arial"/>
          <w:sz w:val="22"/>
          <w:szCs w:val="22"/>
          <w:lang w:val="en-CA"/>
        </w:rPr>
        <w:t xml:space="preserve">, </w:t>
      </w:r>
      <w:r w:rsidR="0002261E">
        <w:rPr>
          <w:rFonts w:ascii="Arial" w:hAnsi="Arial" w:cs="Arial"/>
          <w:sz w:val="22"/>
          <w:szCs w:val="22"/>
          <w:lang w:val="en-CA"/>
        </w:rPr>
        <w:t>T</w:t>
      </w:r>
      <w:r>
        <w:rPr>
          <w:rFonts w:ascii="Arial" w:hAnsi="Arial" w:cs="Arial"/>
          <w:sz w:val="22"/>
          <w:szCs w:val="22"/>
          <w:lang w:val="en-CA"/>
        </w:rPr>
        <w:t xml:space="preserve">rade </w:t>
      </w:r>
      <w:r w:rsidR="0002261E">
        <w:rPr>
          <w:rFonts w:ascii="Arial" w:hAnsi="Arial" w:cs="Arial"/>
          <w:sz w:val="22"/>
          <w:szCs w:val="22"/>
          <w:lang w:val="en-CA"/>
        </w:rPr>
        <w:t>F</w:t>
      </w:r>
      <w:r>
        <w:rPr>
          <w:rFonts w:ascii="Arial" w:hAnsi="Arial" w:cs="Arial"/>
          <w:sz w:val="22"/>
          <w:szCs w:val="22"/>
          <w:lang w:val="en-CA"/>
        </w:rPr>
        <w:t>acilitation experts</w:t>
      </w:r>
      <w:r w:rsidR="00F01889">
        <w:rPr>
          <w:rFonts w:ascii="Arial" w:hAnsi="Arial" w:cs="Arial"/>
          <w:sz w:val="22"/>
          <w:szCs w:val="22"/>
          <w:lang w:val="en-CA"/>
        </w:rPr>
        <w:t xml:space="preserve"> and specialists in international development</w:t>
      </w:r>
      <w:r>
        <w:rPr>
          <w:rFonts w:ascii="Arial" w:hAnsi="Arial" w:cs="Arial"/>
          <w:sz w:val="22"/>
          <w:szCs w:val="22"/>
          <w:lang w:val="en-CA"/>
        </w:rPr>
        <w:t xml:space="preserve">, with the ultimate objective of proposing that </w:t>
      </w:r>
      <w:r w:rsidR="0002261E">
        <w:rPr>
          <w:rFonts w:ascii="Arial" w:hAnsi="Arial" w:cs="Arial"/>
          <w:sz w:val="22"/>
          <w:szCs w:val="22"/>
          <w:lang w:val="en-CA"/>
        </w:rPr>
        <w:t>the integration of T</w:t>
      </w:r>
      <w:r>
        <w:rPr>
          <w:rFonts w:ascii="Arial" w:hAnsi="Arial" w:cs="Arial"/>
          <w:sz w:val="22"/>
          <w:szCs w:val="22"/>
          <w:lang w:val="en-CA"/>
        </w:rPr>
        <w:t>rade</w:t>
      </w:r>
      <w:r w:rsidR="00F01889">
        <w:rPr>
          <w:rFonts w:ascii="Arial" w:hAnsi="Arial" w:cs="Arial"/>
          <w:sz w:val="22"/>
          <w:szCs w:val="22"/>
          <w:lang w:val="en-CA"/>
        </w:rPr>
        <w:t xml:space="preserve"> </w:t>
      </w:r>
      <w:r w:rsidR="0002261E">
        <w:rPr>
          <w:rFonts w:ascii="Arial" w:hAnsi="Arial" w:cs="Arial"/>
          <w:sz w:val="22"/>
          <w:szCs w:val="22"/>
          <w:lang w:val="en-CA"/>
        </w:rPr>
        <w:t>F</w:t>
      </w:r>
      <w:r w:rsidR="00F01889">
        <w:rPr>
          <w:rFonts w:ascii="Arial" w:hAnsi="Arial" w:cs="Arial"/>
          <w:sz w:val="22"/>
          <w:szCs w:val="22"/>
          <w:lang w:val="en-CA"/>
        </w:rPr>
        <w:t>inance</w:t>
      </w:r>
      <w:r>
        <w:rPr>
          <w:rFonts w:ascii="Arial" w:hAnsi="Arial" w:cs="Arial"/>
          <w:sz w:val="22"/>
          <w:szCs w:val="22"/>
          <w:lang w:val="en-CA"/>
        </w:rPr>
        <w:t xml:space="preserve"> and </w:t>
      </w:r>
      <w:r w:rsidR="0002261E">
        <w:rPr>
          <w:rFonts w:ascii="Arial" w:hAnsi="Arial" w:cs="Arial"/>
          <w:sz w:val="22"/>
          <w:szCs w:val="22"/>
          <w:lang w:val="en-CA"/>
        </w:rPr>
        <w:t>S</w:t>
      </w:r>
      <w:r>
        <w:rPr>
          <w:rFonts w:ascii="Arial" w:hAnsi="Arial" w:cs="Arial"/>
          <w:sz w:val="22"/>
          <w:szCs w:val="22"/>
          <w:lang w:val="en-CA"/>
        </w:rPr>
        <w:t xml:space="preserve">upply </w:t>
      </w:r>
      <w:r w:rsidR="0002261E">
        <w:rPr>
          <w:rFonts w:ascii="Arial" w:hAnsi="Arial" w:cs="Arial"/>
          <w:sz w:val="22"/>
          <w:szCs w:val="22"/>
          <w:lang w:val="en-CA"/>
        </w:rPr>
        <w:t>C</w:t>
      </w:r>
      <w:r>
        <w:rPr>
          <w:rFonts w:ascii="Arial" w:hAnsi="Arial" w:cs="Arial"/>
          <w:sz w:val="22"/>
          <w:szCs w:val="22"/>
          <w:lang w:val="en-CA"/>
        </w:rPr>
        <w:t xml:space="preserve">hain </w:t>
      </w:r>
      <w:r w:rsidR="0002261E">
        <w:rPr>
          <w:rFonts w:ascii="Arial" w:hAnsi="Arial" w:cs="Arial"/>
          <w:sz w:val="22"/>
          <w:szCs w:val="22"/>
          <w:lang w:val="en-CA"/>
        </w:rPr>
        <w:t>F</w:t>
      </w:r>
      <w:r>
        <w:rPr>
          <w:rFonts w:ascii="Arial" w:hAnsi="Arial" w:cs="Arial"/>
          <w:sz w:val="22"/>
          <w:szCs w:val="22"/>
          <w:lang w:val="en-CA"/>
        </w:rPr>
        <w:t xml:space="preserve">inance into </w:t>
      </w:r>
      <w:r w:rsidR="0002261E">
        <w:rPr>
          <w:rFonts w:ascii="Arial" w:hAnsi="Arial" w:cs="Arial"/>
          <w:sz w:val="22"/>
          <w:szCs w:val="22"/>
          <w:lang w:val="en-CA"/>
        </w:rPr>
        <w:t>T</w:t>
      </w:r>
      <w:r>
        <w:rPr>
          <w:rFonts w:ascii="Arial" w:hAnsi="Arial" w:cs="Arial"/>
          <w:sz w:val="22"/>
          <w:szCs w:val="22"/>
          <w:lang w:val="en-CA"/>
        </w:rPr>
        <w:t xml:space="preserve">rade </w:t>
      </w:r>
      <w:r w:rsidR="0002261E">
        <w:rPr>
          <w:rFonts w:ascii="Arial" w:hAnsi="Arial" w:cs="Arial"/>
          <w:sz w:val="22"/>
          <w:szCs w:val="22"/>
          <w:lang w:val="en-CA"/>
        </w:rPr>
        <w:t>F</w:t>
      </w:r>
      <w:r>
        <w:rPr>
          <w:rFonts w:ascii="Arial" w:hAnsi="Arial" w:cs="Arial"/>
          <w:sz w:val="22"/>
          <w:szCs w:val="22"/>
          <w:lang w:val="en-CA"/>
        </w:rPr>
        <w:t>acilitation practices</w:t>
      </w:r>
      <w:r w:rsidR="0002261E">
        <w:rPr>
          <w:rFonts w:ascii="Arial" w:hAnsi="Arial" w:cs="Arial"/>
          <w:sz w:val="22"/>
          <w:szCs w:val="22"/>
          <w:lang w:val="en-CA"/>
        </w:rPr>
        <w:t xml:space="preserve"> should be fostered</w:t>
      </w:r>
      <w:r>
        <w:rPr>
          <w:rFonts w:ascii="Arial" w:hAnsi="Arial" w:cs="Arial"/>
          <w:sz w:val="22"/>
          <w:szCs w:val="22"/>
          <w:lang w:val="en-CA"/>
        </w:rPr>
        <w:t>.</w:t>
      </w:r>
    </w:p>
    <w:p w14:paraId="26074C58" w14:textId="77777777" w:rsidR="00BD3A21" w:rsidRDefault="00BD3A21" w:rsidP="00971237">
      <w:pPr>
        <w:jc w:val="both"/>
        <w:rPr>
          <w:rFonts w:ascii="Arial" w:hAnsi="Arial" w:cs="Arial"/>
          <w:sz w:val="22"/>
          <w:szCs w:val="22"/>
          <w:lang w:val="en-CA"/>
        </w:rPr>
      </w:pPr>
    </w:p>
    <w:p w14:paraId="01088212" w14:textId="77777777" w:rsidR="00F01889" w:rsidRDefault="00BD3A21" w:rsidP="00971237">
      <w:pPr>
        <w:jc w:val="both"/>
        <w:rPr>
          <w:rFonts w:ascii="Arial" w:hAnsi="Arial" w:cs="Arial"/>
          <w:sz w:val="22"/>
          <w:szCs w:val="22"/>
          <w:lang w:val="en-CA"/>
        </w:rPr>
      </w:pPr>
      <w:r>
        <w:rPr>
          <w:rFonts w:ascii="Arial" w:hAnsi="Arial" w:cs="Arial"/>
          <w:sz w:val="22"/>
          <w:szCs w:val="22"/>
          <w:lang w:val="en-CA"/>
        </w:rPr>
        <w:lastRenderedPageBreak/>
        <w:t>A2F, or Access to Finance</w:t>
      </w:r>
      <w:r w:rsidR="0002261E">
        <w:rPr>
          <w:rStyle w:val="FootnoteReference"/>
          <w:rFonts w:ascii="Arial" w:hAnsi="Arial" w:cs="Arial"/>
          <w:sz w:val="22"/>
          <w:szCs w:val="22"/>
          <w:lang w:val="en-CA"/>
        </w:rPr>
        <w:footnoteReference w:id="9"/>
      </w:r>
      <w:r>
        <w:rPr>
          <w:rFonts w:ascii="Arial" w:hAnsi="Arial" w:cs="Arial"/>
          <w:sz w:val="22"/>
          <w:szCs w:val="22"/>
          <w:lang w:val="en-CA"/>
        </w:rPr>
        <w:t xml:space="preserve">, is already an area of focus among multilateral institutions and </w:t>
      </w:r>
      <w:r w:rsidRPr="00F01889">
        <w:rPr>
          <w:rFonts w:ascii="Arial" w:hAnsi="Arial" w:cs="Arial"/>
          <w:sz w:val="22"/>
          <w:szCs w:val="22"/>
          <w:lang w:val="en-CA"/>
        </w:rPr>
        <w:t>development</w:t>
      </w:r>
      <w:r>
        <w:rPr>
          <w:rFonts w:ascii="Arial" w:hAnsi="Arial" w:cs="Arial"/>
          <w:sz w:val="22"/>
          <w:szCs w:val="22"/>
          <w:lang w:val="en-CA"/>
        </w:rPr>
        <w:t xml:space="preserve"> organizations, though typically focused on traditional finance aimed at assuring adequate </w:t>
      </w:r>
      <w:proofErr w:type="spellStart"/>
      <w:r>
        <w:rPr>
          <w:rFonts w:ascii="Arial" w:hAnsi="Arial" w:cs="Arial"/>
          <w:sz w:val="22"/>
          <w:szCs w:val="22"/>
          <w:lang w:val="en-CA"/>
        </w:rPr>
        <w:t>cashflow</w:t>
      </w:r>
      <w:proofErr w:type="spellEnd"/>
      <w:r>
        <w:rPr>
          <w:rFonts w:ascii="Arial" w:hAnsi="Arial" w:cs="Arial"/>
          <w:sz w:val="22"/>
          <w:szCs w:val="22"/>
          <w:lang w:val="en-CA"/>
        </w:rPr>
        <w:t xml:space="preserve"> for SMEs. </w:t>
      </w:r>
    </w:p>
    <w:p w14:paraId="3E72A58F" w14:textId="77777777" w:rsidR="00B46A23" w:rsidRDefault="00B46A23" w:rsidP="00971237">
      <w:pPr>
        <w:jc w:val="both"/>
        <w:rPr>
          <w:rFonts w:ascii="Arial" w:hAnsi="Arial" w:cs="Arial"/>
          <w:sz w:val="22"/>
          <w:szCs w:val="22"/>
          <w:lang w:val="en-CA"/>
        </w:rPr>
      </w:pPr>
    </w:p>
    <w:p w14:paraId="4F46418E" w14:textId="77777777" w:rsidR="00BD3A21" w:rsidRDefault="00BD3A21" w:rsidP="00971237">
      <w:pPr>
        <w:jc w:val="both"/>
        <w:rPr>
          <w:rFonts w:ascii="Arial" w:hAnsi="Arial" w:cs="Arial"/>
          <w:sz w:val="22"/>
          <w:szCs w:val="22"/>
          <w:lang w:val="en-CA"/>
        </w:rPr>
      </w:pPr>
      <w:r>
        <w:rPr>
          <w:rFonts w:ascii="Arial" w:hAnsi="Arial" w:cs="Arial"/>
          <w:sz w:val="22"/>
          <w:szCs w:val="22"/>
          <w:lang w:val="en-CA"/>
        </w:rPr>
        <w:t>Finance related specifically to the enablement of cross-border trade is not ty</w:t>
      </w:r>
      <w:r w:rsidR="00072CA8">
        <w:rPr>
          <w:rFonts w:ascii="Arial" w:hAnsi="Arial" w:cs="Arial"/>
          <w:sz w:val="22"/>
          <w:szCs w:val="22"/>
          <w:lang w:val="en-CA"/>
        </w:rPr>
        <w:t>pically in scope</w:t>
      </w:r>
      <w:r w:rsidR="00F01889">
        <w:rPr>
          <w:rFonts w:ascii="Arial" w:hAnsi="Arial" w:cs="Arial"/>
          <w:sz w:val="22"/>
          <w:szCs w:val="22"/>
          <w:lang w:val="en-CA"/>
        </w:rPr>
        <w:t xml:space="preserve"> as </w:t>
      </w:r>
      <w:r w:rsidR="0002261E">
        <w:rPr>
          <w:rFonts w:ascii="Arial" w:hAnsi="Arial" w:cs="Arial"/>
          <w:sz w:val="22"/>
          <w:szCs w:val="22"/>
          <w:lang w:val="en-CA"/>
        </w:rPr>
        <w:t xml:space="preserve">it </w:t>
      </w:r>
      <w:r w:rsidR="00F01889">
        <w:rPr>
          <w:rFonts w:ascii="Arial" w:hAnsi="Arial" w:cs="Arial"/>
          <w:sz w:val="22"/>
          <w:szCs w:val="22"/>
          <w:lang w:val="en-CA"/>
        </w:rPr>
        <w:t>relates to international development practices,</w:t>
      </w:r>
      <w:r w:rsidR="00072CA8">
        <w:rPr>
          <w:rFonts w:ascii="Arial" w:hAnsi="Arial" w:cs="Arial"/>
          <w:sz w:val="22"/>
          <w:szCs w:val="22"/>
          <w:lang w:val="en-CA"/>
        </w:rPr>
        <w:t xml:space="preserve"> but it should be, as illustrated </w:t>
      </w:r>
      <w:r w:rsidR="00B46A23">
        <w:rPr>
          <w:rFonts w:ascii="Arial" w:hAnsi="Arial" w:cs="Arial"/>
          <w:sz w:val="22"/>
          <w:szCs w:val="22"/>
          <w:lang w:val="en-CA"/>
        </w:rPr>
        <w:t>in light of</w:t>
      </w:r>
      <w:r w:rsidR="00072CA8">
        <w:rPr>
          <w:rFonts w:ascii="Arial" w:hAnsi="Arial" w:cs="Arial"/>
          <w:sz w:val="22"/>
          <w:szCs w:val="22"/>
          <w:lang w:val="en-CA"/>
        </w:rPr>
        <w:t xml:space="preserve"> the </w:t>
      </w:r>
      <w:r w:rsidR="00B46A23">
        <w:rPr>
          <w:rFonts w:ascii="Arial" w:hAnsi="Arial" w:cs="Arial"/>
          <w:sz w:val="22"/>
          <w:szCs w:val="22"/>
          <w:lang w:val="en-CA"/>
        </w:rPr>
        <w:t xml:space="preserve">clear </w:t>
      </w:r>
      <w:r w:rsidR="00072CA8">
        <w:rPr>
          <w:rFonts w:ascii="Arial" w:hAnsi="Arial" w:cs="Arial"/>
          <w:sz w:val="22"/>
          <w:szCs w:val="22"/>
          <w:lang w:val="en-CA"/>
        </w:rPr>
        <w:t xml:space="preserve">linkages between </w:t>
      </w:r>
      <w:r w:rsidR="0002261E">
        <w:rPr>
          <w:rFonts w:ascii="Arial" w:hAnsi="Arial" w:cs="Arial"/>
          <w:sz w:val="22"/>
          <w:szCs w:val="22"/>
          <w:lang w:val="en-CA"/>
        </w:rPr>
        <w:t>Trade F</w:t>
      </w:r>
      <w:r w:rsidR="00072CA8">
        <w:rPr>
          <w:rFonts w:ascii="Arial" w:hAnsi="Arial" w:cs="Arial"/>
          <w:sz w:val="22"/>
          <w:szCs w:val="22"/>
          <w:lang w:val="en-CA"/>
        </w:rPr>
        <w:t>inance, trade, economic value-creation and development.</w:t>
      </w:r>
    </w:p>
    <w:p w14:paraId="554DCB63" w14:textId="77777777" w:rsidR="003F4E82" w:rsidRPr="003729C4" w:rsidRDefault="00971237" w:rsidP="003729C4">
      <w:pPr>
        <w:pStyle w:val="Heading2"/>
        <w:rPr>
          <w:sz w:val="22"/>
          <w:szCs w:val="22"/>
        </w:rPr>
      </w:pPr>
      <w:bookmarkStart w:id="37" w:name="_Toc436042208"/>
      <w:bookmarkStart w:id="38" w:name="_Toc441728569"/>
      <w:r w:rsidRPr="003729C4">
        <w:rPr>
          <w:sz w:val="22"/>
          <w:szCs w:val="22"/>
        </w:rPr>
        <w:t>Trade and Financing Capacity</w:t>
      </w:r>
      <w:bookmarkEnd w:id="37"/>
      <w:bookmarkEnd w:id="38"/>
      <w:r w:rsidRPr="003729C4">
        <w:rPr>
          <w:sz w:val="22"/>
          <w:szCs w:val="22"/>
        </w:rPr>
        <w:t xml:space="preserve"> </w:t>
      </w:r>
    </w:p>
    <w:p w14:paraId="248076E6" w14:textId="77777777" w:rsidR="00B46A23" w:rsidRDefault="00D83694" w:rsidP="003F4E82">
      <w:pPr>
        <w:jc w:val="both"/>
        <w:rPr>
          <w:rFonts w:ascii="Arial" w:hAnsi="Arial" w:cs="Arial"/>
          <w:sz w:val="22"/>
          <w:szCs w:val="22"/>
          <w:lang w:val="en-CA"/>
        </w:rPr>
      </w:pPr>
      <w:r>
        <w:rPr>
          <w:rFonts w:ascii="Arial" w:hAnsi="Arial" w:cs="Arial"/>
          <w:sz w:val="22"/>
          <w:szCs w:val="22"/>
          <w:lang w:val="en-CA"/>
        </w:rPr>
        <w:t>Rough industry estimates primarily from the Asian Development Bank</w:t>
      </w:r>
      <w:r w:rsidR="00F01889">
        <w:rPr>
          <w:rFonts w:ascii="Arial" w:hAnsi="Arial" w:cs="Arial"/>
          <w:sz w:val="22"/>
          <w:szCs w:val="22"/>
          <w:lang w:val="en-CA"/>
        </w:rPr>
        <w:t xml:space="preserve"> </w:t>
      </w:r>
      <w:r w:rsidR="00B46A23">
        <w:rPr>
          <w:rFonts w:ascii="Arial" w:hAnsi="Arial" w:cs="Arial"/>
          <w:sz w:val="22"/>
          <w:szCs w:val="22"/>
          <w:lang w:val="en-CA"/>
        </w:rPr>
        <w:t>(</w:t>
      </w:r>
      <w:r w:rsidR="00F01889">
        <w:rPr>
          <w:rFonts w:ascii="Arial" w:hAnsi="Arial" w:cs="Arial"/>
          <w:sz w:val="22"/>
          <w:szCs w:val="22"/>
          <w:lang w:val="en-CA"/>
        </w:rPr>
        <w:t>ADB)</w:t>
      </w:r>
      <w:r>
        <w:rPr>
          <w:rFonts w:ascii="Arial" w:hAnsi="Arial" w:cs="Arial"/>
          <w:sz w:val="22"/>
          <w:szCs w:val="22"/>
          <w:lang w:val="en-CA"/>
        </w:rPr>
        <w:t xml:space="preserve"> and the </w:t>
      </w:r>
      <w:r w:rsidR="00B46A23">
        <w:rPr>
          <w:rFonts w:ascii="Arial" w:hAnsi="Arial" w:cs="Arial"/>
          <w:sz w:val="22"/>
          <w:szCs w:val="22"/>
          <w:lang w:val="en-CA"/>
        </w:rPr>
        <w:t>International Finance Corporation (</w:t>
      </w:r>
      <w:r>
        <w:rPr>
          <w:rFonts w:ascii="Arial" w:hAnsi="Arial" w:cs="Arial"/>
          <w:sz w:val="22"/>
          <w:szCs w:val="22"/>
          <w:lang w:val="en-CA"/>
        </w:rPr>
        <w:t xml:space="preserve">IFC) suggest that there is a global shortfall or “financing gap” in the range of $1.2 to $2 trillion dollars annually, with this indicative gap estimated on the basis of stated demand for </w:t>
      </w:r>
      <w:r w:rsidR="0002261E">
        <w:rPr>
          <w:rFonts w:ascii="Arial" w:hAnsi="Arial" w:cs="Arial"/>
          <w:sz w:val="22"/>
          <w:szCs w:val="22"/>
          <w:lang w:val="en-CA"/>
        </w:rPr>
        <w:t>T</w:t>
      </w:r>
      <w:r>
        <w:rPr>
          <w:rFonts w:ascii="Arial" w:hAnsi="Arial" w:cs="Arial"/>
          <w:sz w:val="22"/>
          <w:szCs w:val="22"/>
          <w:lang w:val="en-CA"/>
        </w:rPr>
        <w:t xml:space="preserve">rade </w:t>
      </w:r>
      <w:r w:rsidR="0002261E">
        <w:rPr>
          <w:rFonts w:ascii="Arial" w:hAnsi="Arial" w:cs="Arial"/>
          <w:sz w:val="22"/>
          <w:szCs w:val="22"/>
          <w:lang w:val="en-CA"/>
        </w:rPr>
        <w:t>F</w:t>
      </w:r>
      <w:r>
        <w:rPr>
          <w:rFonts w:ascii="Arial" w:hAnsi="Arial" w:cs="Arial"/>
          <w:sz w:val="22"/>
          <w:szCs w:val="22"/>
          <w:lang w:val="en-CA"/>
        </w:rPr>
        <w:t xml:space="preserve">inance among </w:t>
      </w:r>
      <w:r w:rsidR="00313782">
        <w:rPr>
          <w:rFonts w:ascii="Arial" w:hAnsi="Arial" w:cs="Arial"/>
          <w:sz w:val="22"/>
          <w:szCs w:val="22"/>
          <w:lang w:val="en-CA"/>
        </w:rPr>
        <w:t>buyer</w:t>
      </w:r>
      <w:r>
        <w:rPr>
          <w:rFonts w:ascii="Arial" w:hAnsi="Arial" w:cs="Arial"/>
          <w:sz w:val="22"/>
          <w:szCs w:val="22"/>
          <w:lang w:val="en-CA"/>
        </w:rPr>
        <w:t xml:space="preserve">s and </w:t>
      </w:r>
      <w:r w:rsidR="00936C60">
        <w:rPr>
          <w:rFonts w:ascii="Arial" w:hAnsi="Arial" w:cs="Arial"/>
          <w:sz w:val="22"/>
          <w:szCs w:val="22"/>
          <w:lang w:val="en-CA"/>
        </w:rPr>
        <w:t>supplier</w:t>
      </w:r>
      <w:r>
        <w:rPr>
          <w:rFonts w:ascii="Arial" w:hAnsi="Arial" w:cs="Arial"/>
          <w:sz w:val="22"/>
          <w:szCs w:val="22"/>
          <w:lang w:val="en-CA"/>
        </w:rPr>
        <w:t xml:space="preserve">s, versus what is approved and declined primarily by </w:t>
      </w:r>
      <w:r w:rsidR="00DB507A">
        <w:rPr>
          <w:rFonts w:ascii="Arial" w:hAnsi="Arial" w:cs="Arial"/>
          <w:sz w:val="22"/>
          <w:szCs w:val="22"/>
          <w:lang w:val="en-CA"/>
        </w:rPr>
        <w:t>Trade Finance</w:t>
      </w:r>
      <w:r>
        <w:rPr>
          <w:rFonts w:ascii="Arial" w:hAnsi="Arial" w:cs="Arial"/>
          <w:sz w:val="22"/>
          <w:szCs w:val="22"/>
          <w:lang w:val="en-CA"/>
        </w:rPr>
        <w:t xml:space="preserve"> banks.</w:t>
      </w:r>
    </w:p>
    <w:p w14:paraId="6F5E188A" w14:textId="77777777" w:rsidR="00B46A23" w:rsidRDefault="00B46A23" w:rsidP="003F4E82">
      <w:pPr>
        <w:jc w:val="both"/>
        <w:rPr>
          <w:rFonts w:ascii="Arial" w:hAnsi="Arial" w:cs="Arial"/>
          <w:sz w:val="22"/>
          <w:szCs w:val="22"/>
          <w:lang w:val="en-CA"/>
        </w:rPr>
      </w:pPr>
    </w:p>
    <w:p w14:paraId="07E04ED0" w14:textId="77777777" w:rsidR="00971237" w:rsidRDefault="00F01889" w:rsidP="003F4E82">
      <w:pPr>
        <w:jc w:val="both"/>
        <w:rPr>
          <w:rFonts w:ascii="Arial" w:hAnsi="Arial" w:cs="Arial"/>
          <w:sz w:val="22"/>
          <w:szCs w:val="22"/>
          <w:lang w:val="en-CA"/>
        </w:rPr>
      </w:pPr>
      <w:r w:rsidRPr="00B119E4">
        <w:rPr>
          <w:rFonts w:ascii="Arial" w:hAnsi="Arial" w:cs="Arial"/>
          <w:sz w:val="22"/>
          <w:szCs w:val="22"/>
          <w:lang w:val="en-CA"/>
        </w:rPr>
        <w:t>ADB’s latest analysis, published in December of 2014, puts the global gap at $1.9 trillion annually, with about $1 trillion of that concentrated in Asia.</w:t>
      </w:r>
      <w:r w:rsidR="00B119E4">
        <w:rPr>
          <w:rFonts w:ascii="Arial" w:hAnsi="Arial" w:cs="Arial"/>
          <w:sz w:val="22"/>
          <w:szCs w:val="22"/>
          <w:lang w:val="en-CA"/>
        </w:rPr>
        <w:t xml:space="preserve"> </w:t>
      </w:r>
    </w:p>
    <w:p w14:paraId="433C2B99" w14:textId="77777777" w:rsidR="004146CB" w:rsidRDefault="004146CB" w:rsidP="003F4E82">
      <w:pPr>
        <w:jc w:val="both"/>
        <w:rPr>
          <w:rFonts w:ascii="Arial" w:hAnsi="Arial" w:cs="Arial"/>
          <w:sz w:val="22"/>
          <w:szCs w:val="22"/>
          <w:lang w:val="en-CA"/>
        </w:rPr>
      </w:pPr>
    </w:p>
    <w:p w14:paraId="76616299" w14:textId="77777777" w:rsidR="003729C4" w:rsidRDefault="003729C4" w:rsidP="003729C4">
      <w:pPr>
        <w:pStyle w:val="Caption"/>
        <w:rPr>
          <w:rFonts w:ascii="Arial" w:hAnsi="Arial" w:cs="Arial"/>
          <w:sz w:val="22"/>
          <w:szCs w:val="22"/>
          <w:lang w:val="en-CA"/>
        </w:rPr>
      </w:pPr>
      <w:bookmarkStart w:id="39" w:name="_Toc436042283"/>
      <w:r>
        <w:t xml:space="preserve">Figure </w:t>
      </w:r>
      <w:r>
        <w:fldChar w:fldCharType="begin"/>
      </w:r>
      <w:r>
        <w:instrText xml:space="preserve"> SEQ Figure \* ARABIC </w:instrText>
      </w:r>
      <w:r>
        <w:fldChar w:fldCharType="separate"/>
      </w:r>
      <w:r w:rsidR="00A73BD5">
        <w:rPr>
          <w:noProof/>
        </w:rPr>
        <w:t>19</w:t>
      </w:r>
      <w:r>
        <w:fldChar w:fldCharType="end"/>
      </w:r>
      <w:r>
        <w:t>:</w:t>
      </w:r>
      <w:r w:rsidRPr="003729C4">
        <w:t xml:space="preserve"> </w:t>
      </w:r>
      <w:r>
        <w:t>G</w:t>
      </w:r>
      <w:r w:rsidRPr="003729C4">
        <w:t>lo</w:t>
      </w:r>
      <w:r>
        <w:t xml:space="preserve">bal Shortfall or “Financing </w:t>
      </w:r>
      <w:proofErr w:type="spellStart"/>
      <w:r>
        <w:t>Gap”Quantified</w:t>
      </w:r>
      <w:bookmarkEnd w:id="39"/>
      <w:proofErr w:type="spellEnd"/>
    </w:p>
    <w:p w14:paraId="11107581" w14:textId="77777777" w:rsidR="004146CB" w:rsidRDefault="004146CB" w:rsidP="00912643">
      <w:pPr>
        <w:jc w:val="center"/>
        <w:rPr>
          <w:rFonts w:ascii="Arial" w:hAnsi="Arial" w:cs="Arial"/>
          <w:sz w:val="22"/>
          <w:szCs w:val="22"/>
          <w:lang w:val="en-CA"/>
        </w:rPr>
      </w:pPr>
      <w:r w:rsidRPr="004146CB">
        <w:rPr>
          <w:noProof/>
          <w:lang w:val="en-GB" w:eastAsia="en-GB"/>
        </w:rPr>
        <w:drawing>
          <wp:inline distT="0" distB="0" distL="0" distR="0" wp14:anchorId="469C2508" wp14:editId="6F457128">
            <wp:extent cx="4969446" cy="2408218"/>
            <wp:effectExtent l="19050" t="19050" r="2222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1806" cy="2409362"/>
                    </a:xfrm>
                    <a:prstGeom prst="rect">
                      <a:avLst/>
                    </a:prstGeom>
                    <a:noFill/>
                    <a:ln>
                      <a:solidFill>
                        <a:schemeClr val="accent1"/>
                      </a:solidFill>
                    </a:ln>
                  </pic:spPr>
                </pic:pic>
              </a:graphicData>
            </a:graphic>
          </wp:inline>
        </w:drawing>
      </w:r>
    </w:p>
    <w:p w14:paraId="3F789B52" w14:textId="77777777" w:rsidR="004146CB" w:rsidRPr="003729C4" w:rsidRDefault="00B46A23" w:rsidP="003729C4">
      <w:pPr>
        <w:rPr>
          <w:rStyle w:val="Emphasis"/>
        </w:rPr>
      </w:pPr>
      <w:r w:rsidRPr="003729C4">
        <w:rPr>
          <w:rStyle w:val="Emphasis"/>
        </w:rPr>
        <w:t xml:space="preserve">Source: </w:t>
      </w:r>
      <w:r w:rsidR="004146CB" w:rsidRPr="003729C4">
        <w:rPr>
          <w:rStyle w:val="Emphasis"/>
        </w:rPr>
        <w:t>Asian Development Bank, Trade Finance Gaps, Growth and Jobs Survey, 2014</w:t>
      </w:r>
    </w:p>
    <w:p w14:paraId="10EB813E" w14:textId="77777777" w:rsidR="004146CB" w:rsidRDefault="004146CB" w:rsidP="003F4E82">
      <w:pPr>
        <w:jc w:val="both"/>
        <w:rPr>
          <w:rFonts w:ascii="Arial" w:hAnsi="Arial" w:cs="Arial"/>
          <w:sz w:val="22"/>
          <w:szCs w:val="22"/>
          <w:lang w:val="en-CA"/>
        </w:rPr>
      </w:pPr>
    </w:p>
    <w:p w14:paraId="35C9E2F1" w14:textId="77777777" w:rsidR="006E12B4" w:rsidRDefault="00912643" w:rsidP="006E12B4">
      <w:pPr>
        <w:rPr>
          <w:rFonts w:ascii="Arial" w:hAnsi="Arial" w:cs="Arial"/>
          <w:sz w:val="22"/>
          <w:szCs w:val="22"/>
          <w:lang w:val="en-CA"/>
        </w:rPr>
      </w:pPr>
      <w:r w:rsidRPr="00912643">
        <w:rPr>
          <w:rFonts w:ascii="Arial" w:hAnsi="Arial" w:cs="Arial"/>
          <w:sz w:val="22"/>
          <w:szCs w:val="22"/>
          <w:lang w:val="en-CA"/>
        </w:rPr>
        <w:t>The last report of the Expert Group on Trade Finance (25 April, 2014, WTO Document WT/WGTDF/W72</w:t>
      </w:r>
      <w:r w:rsidR="0004398A">
        <w:rPr>
          <w:rStyle w:val="FootnoteReference"/>
          <w:rFonts w:ascii="Arial" w:hAnsi="Arial" w:cs="Arial"/>
          <w:sz w:val="22"/>
          <w:szCs w:val="22"/>
          <w:lang w:val="en-CA"/>
        </w:rPr>
        <w:footnoteReference w:id="10"/>
      </w:r>
      <w:r w:rsidRPr="00912643">
        <w:rPr>
          <w:rFonts w:ascii="Arial" w:hAnsi="Arial" w:cs="Arial"/>
          <w:sz w:val="22"/>
          <w:szCs w:val="22"/>
          <w:lang w:val="en-CA"/>
        </w:rPr>
        <w:t xml:space="preserve">) continued to point to the persistent difficulties faced by small and medium-sized enterprises in </w:t>
      </w:r>
      <w:r w:rsidRPr="00F01889">
        <w:rPr>
          <w:rFonts w:ascii="Arial" w:hAnsi="Arial" w:cs="Arial"/>
          <w:sz w:val="22"/>
          <w:szCs w:val="22"/>
          <w:lang w:val="en-CA"/>
        </w:rPr>
        <w:t>low-income</w:t>
      </w:r>
      <w:r w:rsidRPr="00912643">
        <w:rPr>
          <w:rFonts w:ascii="Arial" w:hAnsi="Arial" w:cs="Arial"/>
          <w:sz w:val="22"/>
          <w:szCs w:val="22"/>
          <w:lang w:val="en-CA"/>
        </w:rPr>
        <w:t xml:space="preserve"> countries, as well as in the higher-income countries of Asia, Latin America, the Middle East, and Africa. "</w:t>
      </w:r>
      <w:r w:rsidRPr="00F01889">
        <w:rPr>
          <w:rFonts w:ascii="Arial" w:hAnsi="Arial" w:cs="Arial"/>
          <w:sz w:val="22"/>
          <w:szCs w:val="22"/>
          <w:lang w:val="en-CA"/>
        </w:rPr>
        <w:t>The activity of Multilateral Development Banks (MDBs) was a good proxy for the existing market gap</w:t>
      </w:r>
      <w:r w:rsidRPr="00912643">
        <w:rPr>
          <w:rFonts w:ascii="Arial" w:hAnsi="Arial" w:cs="Arial"/>
          <w:sz w:val="22"/>
          <w:szCs w:val="22"/>
          <w:lang w:val="en-CA"/>
        </w:rPr>
        <w:t xml:space="preserve">", notes the </w:t>
      </w:r>
      <w:r w:rsidRPr="00912643">
        <w:rPr>
          <w:rFonts w:ascii="Arial" w:hAnsi="Arial" w:cs="Arial"/>
          <w:sz w:val="22"/>
          <w:szCs w:val="22"/>
          <w:lang w:val="en-CA"/>
        </w:rPr>
        <w:lastRenderedPageBreak/>
        <w:t>report, and "</w:t>
      </w:r>
      <w:r w:rsidRPr="00F01889">
        <w:rPr>
          <w:rFonts w:ascii="Arial" w:hAnsi="Arial" w:cs="Arial"/>
          <w:sz w:val="22"/>
          <w:szCs w:val="22"/>
          <w:lang w:val="en-CA"/>
        </w:rPr>
        <w:t>from this point of view, the demand on MDBs risk mitigation products for trade had never been so high</w:t>
      </w:r>
      <w:r w:rsidRPr="00912643">
        <w:rPr>
          <w:rFonts w:ascii="Arial" w:hAnsi="Arial" w:cs="Arial"/>
          <w:sz w:val="22"/>
          <w:szCs w:val="22"/>
          <w:lang w:val="en-CA"/>
        </w:rPr>
        <w:t>". As regards multilateral efforts, the Group acknowledged that "</w:t>
      </w:r>
      <w:r w:rsidRPr="00F01889">
        <w:rPr>
          <w:rFonts w:ascii="Arial" w:hAnsi="Arial" w:cs="Arial"/>
          <w:sz w:val="22"/>
          <w:szCs w:val="22"/>
          <w:lang w:val="en-CA"/>
        </w:rPr>
        <w:t>there was very little appetite by private markets to venture into most of Sub-Saharan Africa, leaving the International Financial Corporation (IFC), the Islamic Development Group (ITFC), and the African Development Bank (</w:t>
      </w:r>
      <w:proofErr w:type="spellStart"/>
      <w:r w:rsidRPr="00F01889">
        <w:rPr>
          <w:rFonts w:ascii="Arial" w:hAnsi="Arial" w:cs="Arial"/>
          <w:sz w:val="22"/>
          <w:szCs w:val="22"/>
          <w:lang w:val="en-CA"/>
        </w:rPr>
        <w:t>AfDB</w:t>
      </w:r>
      <w:proofErr w:type="spellEnd"/>
      <w:r w:rsidRPr="00F01889">
        <w:rPr>
          <w:rFonts w:ascii="Arial" w:hAnsi="Arial" w:cs="Arial"/>
          <w:sz w:val="22"/>
          <w:szCs w:val="22"/>
          <w:lang w:val="en-CA"/>
        </w:rPr>
        <w:t>) to fill only part of a financing gap estimated [at a minimum] of US$30 to 50 billion</w:t>
      </w:r>
      <w:r w:rsidR="006E12B4">
        <w:rPr>
          <w:rFonts w:ascii="Arial" w:hAnsi="Arial" w:cs="Arial"/>
          <w:sz w:val="22"/>
          <w:szCs w:val="22"/>
          <w:lang w:val="en-CA"/>
        </w:rPr>
        <w:t>".</w:t>
      </w:r>
    </w:p>
    <w:p w14:paraId="1D1412F7" w14:textId="77777777" w:rsidR="006E12B4" w:rsidRDefault="006E12B4" w:rsidP="006E12B4">
      <w:pPr>
        <w:rPr>
          <w:rFonts w:ascii="Arial" w:hAnsi="Arial" w:cs="Arial"/>
          <w:sz w:val="22"/>
          <w:szCs w:val="22"/>
          <w:lang w:val="en-CA"/>
        </w:rPr>
      </w:pPr>
    </w:p>
    <w:p w14:paraId="26285849" w14:textId="77777777" w:rsidR="004146CB" w:rsidRDefault="00912643" w:rsidP="006E12B4">
      <w:pPr>
        <w:pBdr>
          <w:top w:val="single" w:sz="4" w:space="0" w:color="auto"/>
          <w:bottom w:val="single" w:sz="4" w:space="1" w:color="auto"/>
        </w:pBdr>
        <w:jc w:val="both"/>
        <w:rPr>
          <w:rFonts w:ascii="Arial" w:hAnsi="Arial" w:cs="Arial"/>
          <w:sz w:val="22"/>
          <w:szCs w:val="22"/>
          <w:lang w:val="en-CA"/>
        </w:rPr>
      </w:pPr>
      <w:r w:rsidRPr="00912643">
        <w:rPr>
          <w:rFonts w:ascii="Arial" w:hAnsi="Arial" w:cs="Arial"/>
          <w:sz w:val="22"/>
          <w:szCs w:val="22"/>
          <w:lang w:val="en-CA"/>
        </w:rPr>
        <w:t xml:space="preserve">The Asian Development Bank had received particularly strong and steady demand from clients in Bangladesh, Pakistan, Sri Lanka, Uzbekistan and Viet Nam. As for the Inter-American Development Bank, their program supported an all-time high (an increase of 57% on 2012) due to capital movement reversals, higher risk aversion and continued structural weakness in local financial sectors. The report also highlighted that </w:t>
      </w:r>
      <w:r w:rsidRPr="00F01889">
        <w:rPr>
          <w:rFonts w:ascii="Arial" w:hAnsi="Arial" w:cs="Arial"/>
          <w:sz w:val="22"/>
          <w:szCs w:val="22"/>
          <w:lang w:val="en-CA"/>
        </w:rPr>
        <w:t>"the European Bank for Reconstruction and Development had been quite active in supporting trade in Ukraine and Russia lately, but also in the Middle East and North Africa region, which was also benefitting from ITFC support (Egypt and other countries). IFC's Global Trade Finance Program products were equally distributed across the world and were in high demand</w:t>
      </w:r>
      <w:r w:rsidRPr="00912643">
        <w:rPr>
          <w:rFonts w:ascii="Arial" w:hAnsi="Arial" w:cs="Arial"/>
          <w:sz w:val="22"/>
          <w:szCs w:val="22"/>
          <w:lang w:val="en-CA"/>
        </w:rPr>
        <w:t>".</w:t>
      </w:r>
    </w:p>
    <w:p w14:paraId="74CFB817" w14:textId="77777777" w:rsidR="004146CB" w:rsidRPr="006E12B4" w:rsidRDefault="00912643" w:rsidP="006E12B4">
      <w:pPr>
        <w:rPr>
          <w:rStyle w:val="Emphasis"/>
        </w:rPr>
      </w:pPr>
      <w:r w:rsidRPr="006E12B4">
        <w:rPr>
          <w:rStyle w:val="Emphasis"/>
        </w:rPr>
        <w:t xml:space="preserve">Source: Improving the Availability of Trade Finance in Emerging Markets: An Assessment of Remaining Gaps, </w:t>
      </w:r>
      <w:proofErr w:type="spellStart"/>
      <w:r w:rsidRPr="006E12B4">
        <w:rPr>
          <w:rStyle w:val="Emphasis"/>
        </w:rPr>
        <w:t>Auboin</w:t>
      </w:r>
      <w:proofErr w:type="spellEnd"/>
      <w:r w:rsidRPr="006E12B4">
        <w:rPr>
          <w:rStyle w:val="Emphasis"/>
        </w:rPr>
        <w:t>, WTO, 2015</w:t>
      </w:r>
    </w:p>
    <w:p w14:paraId="5FD646CF" w14:textId="77777777" w:rsidR="00267B18" w:rsidRDefault="00267B18" w:rsidP="003F4E82">
      <w:pPr>
        <w:jc w:val="both"/>
        <w:rPr>
          <w:rFonts w:ascii="Arial" w:hAnsi="Arial" w:cs="Arial"/>
          <w:sz w:val="22"/>
          <w:szCs w:val="22"/>
          <w:lang w:val="en-CA"/>
        </w:rPr>
      </w:pPr>
    </w:p>
    <w:p w14:paraId="3A67682A" w14:textId="77777777" w:rsidR="00267B18" w:rsidRDefault="00267B18" w:rsidP="003F4E82">
      <w:pPr>
        <w:jc w:val="both"/>
        <w:rPr>
          <w:rFonts w:ascii="Arial" w:hAnsi="Arial" w:cs="Arial"/>
          <w:sz w:val="22"/>
          <w:szCs w:val="22"/>
          <w:lang w:val="en-CA"/>
        </w:rPr>
      </w:pPr>
      <w:r>
        <w:rPr>
          <w:rFonts w:ascii="Arial" w:hAnsi="Arial" w:cs="Arial"/>
          <w:sz w:val="22"/>
          <w:szCs w:val="22"/>
          <w:lang w:val="en-CA"/>
        </w:rPr>
        <w:t xml:space="preserve">While there may be debate on the definition of a </w:t>
      </w:r>
      <w:r w:rsidR="0004398A">
        <w:rPr>
          <w:rFonts w:ascii="Arial" w:hAnsi="Arial" w:cs="Arial"/>
          <w:sz w:val="22"/>
          <w:szCs w:val="22"/>
          <w:lang w:val="en-CA"/>
        </w:rPr>
        <w:t>Trade F</w:t>
      </w:r>
      <w:r>
        <w:rPr>
          <w:rFonts w:ascii="Arial" w:hAnsi="Arial" w:cs="Arial"/>
          <w:sz w:val="22"/>
          <w:szCs w:val="22"/>
          <w:lang w:val="en-CA"/>
        </w:rPr>
        <w:t>inance gap and on its exact size, it seems undeniable that there is an excess of potential demand for trade-related financing support, and thus by extension missed opportunity in terms of economic value creation and poverty reduction/development.</w:t>
      </w:r>
    </w:p>
    <w:p w14:paraId="2C13DB7D" w14:textId="77777777" w:rsidR="00267B18" w:rsidRDefault="00267B18" w:rsidP="003F4E82">
      <w:pPr>
        <w:jc w:val="both"/>
        <w:rPr>
          <w:rFonts w:ascii="Arial" w:hAnsi="Arial" w:cs="Arial"/>
          <w:sz w:val="22"/>
          <w:szCs w:val="22"/>
          <w:lang w:val="en-CA"/>
        </w:rPr>
      </w:pPr>
    </w:p>
    <w:p w14:paraId="10D82826" w14:textId="77777777" w:rsidR="00B119E4" w:rsidRDefault="00267B18" w:rsidP="003F4E82">
      <w:pPr>
        <w:jc w:val="both"/>
        <w:rPr>
          <w:rFonts w:ascii="Arial" w:hAnsi="Arial" w:cs="Arial"/>
          <w:sz w:val="22"/>
          <w:szCs w:val="22"/>
          <w:lang w:val="en-CA"/>
        </w:rPr>
      </w:pPr>
      <w:r>
        <w:rPr>
          <w:rFonts w:ascii="Arial" w:hAnsi="Arial" w:cs="Arial"/>
          <w:sz w:val="22"/>
          <w:szCs w:val="22"/>
          <w:lang w:val="en-CA"/>
        </w:rPr>
        <w:t xml:space="preserve">The role of </w:t>
      </w:r>
      <w:r w:rsidR="00FC01CD">
        <w:rPr>
          <w:rFonts w:ascii="Arial" w:hAnsi="Arial" w:cs="Arial"/>
          <w:sz w:val="22"/>
          <w:szCs w:val="22"/>
          <w:lang w:val="en-CA"/>
        </w:rPr>
        <w:t xml:space="preserve">multilateral development banks and export credit agencies in supporting </w:t>
      </w:r>
      <w:r w:rsidR="0004398A">
        <w:rPr>
          <w:rFonts w:ascii="Arial" w:hAnsi="Arial" w:cs="Arial"/>
          <w:sz w:val="22"/>
          <w:szCs w:val="22"/>
          <w:lang w:val="en-CA"/>
        </w:rPr>
        <w:t>T</w:t>
      </w:r>
      <w:r w:rsidR="00FC01CD">
        <w:rPr>
          <w:rFonts w:ascii="Arial" w:hAnsi="Arial" w:cs="Arial"/>
          <w:sz w:val="22"/>
          <w:szCs w:val="22"/>
          <w:lang w:val="en-CA"/>
        </w:rPr>
        <w:t xml:space="preserve">rade </w:t>
      </w:r>
      <w:r w:rsidR="0004398A">
        <w:rPr>
          <w:rFonts w:ascii="Arial" w:hAnsi="Arial" w:cs="Arial"/>
          <w:sz w:val="22"/>
          <w:szCs w:val="22"/>
          <w:lang w:val="en-CA"/>
        </w:rPr>
        <w:t>F</w:t>
      </w:r>
      <w:r w:rsidR="00FC01CD">
        <w:rPr>
          <w:rFonts w:ascii="Arial" w:hAnsi="Arial" w:cs="Arial"/>
          <w:sz w:val="22"/>
          <w:szCs w:val="22"/>
          <w:lang w:val="en-CA"/>
        </w:rPr>
        <w:t xml:space="preserve">inance, even ensuring its accessibility </w:t>
      </w:r>
      <w:r w:rsidR="0076595C">
        <w:rPr>
          <w:rFonts w:ascii="Arial" w:hAnsi="Arial" w:cs="Arial"/>
          <w:sz w:val="22"/>
          <w:szCs w:val="22"/>
          <w:lang w:val="en-CA"/>
        </w:rPr>
        <w:t>(</w:t>
      </w:r>
      <w:r w:rsidR="00FC01CD">
        <w:rPr>
          <w:rFonts w:ascii="Arial" w:hAnsi="Arial" w:cs="Arial"/>
          <w:sz w:val="22"/>
          <w:szCs w:val="22"/>
          <w:lang w:val="en-CA"/>
        </w:rPr>
        <w:t>particularly in times of crisis</w:t>
      </w:r>
      <w:r w:rsidR="0076595C">
        <w:rPr>
          <w:rFonts w:ascii="Arial" w:hAnsi="Arial" w:cs="Arial"/>
          <w:sz w:val="22"/>
          <w:szCs w:val="22"/>
          <w:lang w:val="en-CA"/>
        </w:rPr>
        <w:t>)</w:t>
      </w:r>
      <w:r w:rsidR="00FC01CD">
        <w:rPr>
          <w:rFonts w:ascii="Arial" w:hAnsi="Arial" w:cs="Arial"/>
          <w:sz w:val="22"/>
          <w:szCs w:val="22"/>
          <w:lang w:val="en-CA"/>
        </w:rPr>
        <w:t xml:space="preserve"> highlights the reality that pure private sector capacity is insufficient to assure levels of liquidity to meet current needs, let alone to close a significant global market gap.</w:t>
      </w:r>
      <w:r w:rsidR="00F01889">
        <w:rPr>
          <w:rFonts w:ascii="Arial" w:hAnsi="Arial" w:cs="Arial"/>
          <w:sz w:val="22"/>
          <w:szCs w:val="22"/>
          <w:lang w:val="en-CA"/>
        </w:rPr>
        <w:t xml:space="preserve"> </w:t>
      </w:r>
    </w:p>
    <w:p w14:paraId="4F88F632" w14:textId="77777777" w:rsidR="00B119E4" w:rsidRDefault="00B119E4" w:rsidP="003F4E82">
      <w:pPr>
        <w:jc w:val="both"/>
        <w:rPr>
          <w:rFonts w:ascii="Arial" w:hAnsi="Arial" w:cs="Arial"/>
          <w:sz w:val="22"/>
          <w:szCs w:val="22"/>
          <w:lang w:val="en-CA"/>
        </w:rPr>
      </w:pPr>
    </w:p>
    <w:p w14:paraId="5459C570" w14:textId="77777777" w:rsidR="00E263CB" w:rsidRDefault="00F01889" w:rsidP="003F4E82">
      <w:pPr>
        <w:jc w:val="both"/>
        <w:rPr>
          <w:rFonts w:ascii="Arial" w:hAnsi="Arial" w:cs="Arial"/>
          <w:sz w:val="22"/>
          <w:szCs w:val="22"/>
          <w:lang w:val="en-CA"/>
        </w:rPr>
      </w:pPr>
      <w:r>
        <w:rPr>
          <w:rFonts w:ascii="Arial" w:hAnsi="Arial" w:cs="Arial"/>
          <w:sz w:val="22"/>
          <w:szCs w:val="22"/>
          <w:lang w:val="en-CA"/>
        </w:rPr>
        <w:t xml:space="preserve">Private sector actors can quite suddenly reduce their risk tolerance, or can simply decide on a commercial basis, or as a matter of bank strategy, for example, to exit markets, reduce the size and scope of international activities, and otherwise reduce the availability of </w:t>
      </w:r>
      <w:r w:rsidR="0004398A">
        <w:rPr>
          <w:rFonts w:ascii="Arial" w:hAnsi="Arial" w:cs="Arial"/>
          <w:sz w:val="22"/>
          <w:szCs w:val="22"/>
          <w:lang w:val="en-CA"/>
        </w:rPr>
        <w:t>T</w:t>
      </w:r>
      <w:r>
        <w:rPr>
          <w:rFonts w:ascii="Arial" w:hAnsi="Arial" w:cs="Arial"/>
          <w:sz w:val="22"/>
          <w:szCs w:val="22"/>
          <w:lang w:val="en-CA"/>
        </w:rPr>
        <w:t xml:space="preserve">rade </w:t>
      </w:r>
      <w:r w:rsidR="0004398A">
        <w:rPr>
          <w:rFonts w:ascii="Arial" w:hAnsi="Arial" w:cs="Arial"/>
          <w:sz w:val="22"/>
          <w:szCs w:val="22"/>
          <w:lang w:val="en-CA"/>
        </w:rPr>
        <w:t>F</w:t>
      </w:r>
      <w:r>
        <w:rPr>
          <w:rFonts w:ascii="Arial" w:hAnsi="Arial" w:cs="Arial"/>
          <w:sz w:val="22"/>
          <w:szCs w:val="22"/>
          <w:lang w:val="en-CA"/>
        </w:rPr>
        <w:t xml:space="preserve">inance, as was done during the global financial crisis and in its aftermath.  Multilateral institutions and (public sector) export credit agencies ensure ongoing availability of </w:t>
      </w:r>
      <w:r w:rsidR="00DB507A">
        <w:rPr>
          <w:rFonts w:ascii="Arial" w:hAnsi="Arial" w:cs="Arial"/>
          <w:sz w:val="22"/>
          <w:szCs w:val="22"/>
          <w:lang w:val="en-CA"/>
        </w:rPr>
        <w:t>T</w:t>
      </w:r>
      <w:r>
        <w:rPr>
          <w:rFonts w:ascii="Arial" w:hAnsi="Arial" w:cs="Arial"/>
          <w:sz w:val="22"/>
          <w:szCs w:val="22"/>
          <w:lang w:val="en-CA"/>
        </w:rPr>
        <w:t xml:space="preserve">rade </w:t>
      </w:r>
      <w:r w:rsidR="00DB507A">
        <w:rPr>
          <w:rFonts w:ascii="Arial" w:hAnsi="Arial" w:cs="Arial"/>
          <w:sz w:val="22"/>
          <w:szCs w:val="22"/>
          <w:lang w:val="en-CA"/>
        </w:rPr>
        <w:t>F</w:t>
      </w:r>
      <w:r>
        <w:rPr>
          <w:rFonts w:ascii="Arial" w:hAnsi="Arial" w:cs="Arial"/>
          <w:sz w:val="22"/>
          <w:szCs w:val="22"/>
          <w:lang w:val="en-CA"/>
        </w:rPr>
        <w:t xml:space="preserve">inance and </w:t>
      </w:r>
      <w:r w:rsidR="006E12B4">
        <w:rPr>
          <w:rFonts w:ascii="Arial" w:hAnsi="Arial" w:cs="Arial"/>
          <w:sz w:val="22"/>
          <w:szCs w:val="22"/>
          <w:lang w:val="en-CA"/>
        </w:rPr>
        <w:t>S</w:t>
      </w:r>
      <w:r>
        <w:rPr>
          <w:rFonts w:ascii="Arial" w:hAnsi="Arial" w:cs="Arial"/>
          <w:sz w:val="22"/>
          <w:szCs w:val="22"/>
          <w:lang w:val="en-CA"/>
        </w:rPr>
        <w:t xml:space="preserve">upply </w:t>
      </w:r>
      <w:r w:rsidR="006E12B4">
        <w:rPr>
          <w:rFonts w:ascii="Arial" w:hAnsi="Arial" w:cs="Arial"/>
          <w:sz w:val="22"/>
          <w:szCs w:val="22"/>
          <w:lang w:val="en-CA"/>
        </w:rPr>
        <w:t>C</w:t>
      </w:r>
      <w:r>
        <w:rPr>
          <w:rFonts w:ascii="Arial" w:hAnsi="Arial" w:cs="Arial"/>
          <w:sz w:val="22"/>
          <w:szCs w:val="22"/>
          <w:lang w:val="en-CA"/>
        </w:rPr>
        <w:t xml:space="preserve">hain </w:t>
      </w:r>
      <w:r w:rsidR="006E12B4">
        <w:rPr>
          <w:rFonts w:ascii="Arial" w:hAnsi="Arial" w:cs="Arial"/>
          <w:sz w:val="22"/>
          <w:szCs w:val="22"/>
          <w:lang w:val="en-CA"/>
        </w:rPr>
        <w:t>F</w:t>
      </w:r>
      <w:r>
        <w:rPr>
          <w:rFonts w:ascii="Arial" w:hAnsi="Arial" w:cs="Arial"/>
          <w:sz w:val="22"/>
          <w:szCs w:val="22"/>
          <w:lang w:val="en-CA"/>
        </w:rPr>
        <w:t>inance on the basis of international development objectives and public policy, and are thus not hampered by commercial considerations or risk tolerance.</w:t>
      </w:r>
    </w:p>
    <w:p w14:paraId="12F83B66" w14:textId="77777777" w:rsidR="006E12B4" w:rsidRDefault="006E12B4">
      <w:pPr>
        <w:rPr>
          <w:rFonts w:ascii="Arial" w:hAnsi="Arial" w:cs="Arial"/>
          <w:sz w:val="22"/>
          <w:szCs w:val="22"/>
          <w:lang w:val="en-CA"/>
        </w:rPr>
      </w:pPr>
      <w:r>
        <w:rPr>
          <w:rFonts w:ascii="Arial" w:hAnsi="Arial" w:cs="Arial"/>
          <w:sz w:val="22"/>
          <w:szCs w:val="22"/>
          <w:lang w:val="en-CA"/>
        </w:rPr>
        <w:br w:type="page"/>
      </w:r>
    </w:p>
    <w:p w14:paraId="580B6622" w14:textId="77777777" w:rsidR="00E263CB" w:rsidRDefault="006E12B4" w:rsidP="006E12B4">
      <w:pPr>
        <w:pStyle w:val="Caption"/>
        <w:rPr>
          <w:rFonts w:ascii="Arial" w:hAnsi="Arial" w:cs="Arial"/>
          <w:sz w:val="22"/>
          <w:szCs w:val="22"/>
          <w:lang w:val="en-CA"/>
        </w:rPr>
      </w:pPr>
      <w:bookmarkStart w:id="40" w:name="_Toc436042284"/>
      <w:r>
        <w:lastRenderedPageBreak/>
        <w:t xml:space="preserve">Figure </w:t>
      </w:r>
      <w:r>
        <w:fldChar w:fldCharType="begin"/>
      </w:r>
      <w:r>
        <w:instrText xml:space="preserve"> SEQ Figure \* ARABIC </w:instrText>
      </w:r>
      <w:r>
        <w:fldChar w:fldCharType="separate"/>
      </w:r>
      <w:r w:rsidR="00A73BD5">
        <w:rPr>
          <w:noProof/>
        </w:rPr>
        <w:t>20</w:t>
      </w:r>
      <w:r>
        <w:fldChar w:fldCharType="end"/>
      </w:r>
      <w:r>
        <w:t>:Global Trade Financing Options</w:t>
      </w:r>
      <w:bookmarkEnd w:id="40"/>
    </w:p>
    <w:p w14:paraId="485A1B64" w14:textId="77777777" w:rsidR="00E263CB" w:rsidRDefault="00E263CB" w:rsidP="00B119E4">
      <w:pPr>
        <w:jc w:val="center"/>
        <w:rPr>
          <w:rFonts w:ascii="Arial" w:hAnsi="Arial" w:cs="Arial"/>
          <w:sz w:val="22"/>
          <w:szCs w:val="22"/>
          <w:lang w:val="en-CA"/>
        </w:rPr>
      </w:pPr>
      <w:r w:rsidRPr="00E263CB">
        <w:rPr>
          <w:noProof/>
          <w:lang w:val="en-GB" w:eastAsia="en-GB"/>
        </w:rPr>
        <w:drawing>
          <wp:inline distT="0" distB="0" distL="0" distR="0" wp14:anchorId="5612EFC9" wp14:editId="2F85CD5C">
            <wp:extent cx="5311140" cy="2599905"/>
            <wp:effectExtent l="19050" t="1905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1452" cy="2604953"/>
                    </a:xfrm>
                    <a:prstGeom prst="rect">
                      <a:avLst/>
                    </a:prstGeom>
                    <a:noFill/>
                    <a:ln>
                      <a:solidFill>
                        <a:schemeClr val="accent1"/>
                      </a:solidFill>
                    </a:ln>
                  </pic:spPr>
                </pic:pic>
              </a:graphicData>
            </a:graphic>
          </wp:inline>
        </w:drawing>
      </w:r>
    </w:p>
    <w:p w14:paraId="43D99A87" w14:textId="77777777" w:rsidR="00971237" w:rsidRPr="006E12B4" w:rsidRDefault="00E263CB" w:rsidP="006E12B4">
      <w:pPr>
        <w:rPr>
          <w:rStyle w:val="Emphasis"/>
        </w:rPr>
      </w:pPr>
      <w:r w:rsidRPr="006E12B4">
        <w:rPr>
          <w:rStyle w:val="Emphasis"/>
        </w:rPr>
        <w:t>Source: BIS: Committee on the Global Financial System, “Trade Finance Issues and Developments”, January 2014</w:t>
      </w:r>
    </w:p>
    <w:p w14:paraId="0E0A06A9" w14:textId="77777777" w:rsidR="00EE4A4B" w:rsidRDefault="00EE4A4B" w:rsidP="003F4E82">
      <w:pPr>
        <w:jc w:val="both"/>
        <w:rPr>
          <w:rFonts w:ascii="Arial" w:hAnsi="Arial" w:cs="Arial"/>
          <w:sz w:val="22"/>
          <w:szCs w:val="22"/>
          <w:lang w:val="en-CA"/>
        </w:rPr>
      </w:pPr>
    </w:p>
    <w:p w14:paraId="31AE3E2A" w14:textId="77777777" w:rsidR="00585F18" w:rsidRDefault="00EE4A4B" w:rsidP="003F4E82">
      <w:pPr>
        <w:jc w:val="both"/>
        <w:rPr>
          <w:rFonts w:ascii="Arial" w:hAnsi="Arial" w:cs="Arial"/>
          <w:sz w:val="22"/>
          <w:szCs w:val="22"/>
          <w:lang w:val="en-CA"/>
        </w:rPr>
      </w:pPr>
      <w:r>
        <w:rPr>
          <w:rFonts w:ascii="Arial" w:hAnsi="Arial" w:cs="Arial"/>
          <w:sz w:val="22"/>
          <w:szCs w:val="22"/>
          <w:lang w:val="en-CA"/>
        </w:rPr>
        <w:t xml:space="preserve">While banks provide the majority of support in transactions </w:t>
      </w:r>
      <w:r w:rsidR="00585F18">
        <w:rPr>
          <w:rFonts w:ascii="Arial" w:hAnsi="Arial" w:cs="Arial"/>
          <w:sz w:val="22"/>
          <w:szCs w:val="22"/>
          <w:lang w:val="en-CA"/>
        </w:rPr>
        <w:t>through</w:t>
      </w:r>
      <w:r>
        <w:rPr>
          <w:rFonts w:ascii="Arial" w:hAnsi="Arial" w:cs="Arial"/>
          <w:sz w:val="22"/>
          <w:szCs w:val="22"/>
          <w:lang w:val="en-CA"/>
        </w:rPr>
        <w:t xml:space="preserve"> traditional </w:t>
      </w:r>
      <w:r w:rsidR="00DB507A">
        <w:rPr>
          <w:rFonts w:ascii="Arial" w:hAnsi="Arial" w:cs="Arial"/>
          <w:sz w:val="22"/>
          <w:szCs w:val="22"/>
          <w:lang w:val="en-CA"/>
        </w:rPr>
        <w:t>Trade F</w:t>
      </w:r>
      <w:r>
        <w:rPr>
          <w:rFonts w:ascii="Arial" w:hAnsi="Arial" w:cs="Arial"/>
          <w:sz w:val="22"/>
          <w:szCs w:val="22"/>
          <w:lang w:val="en-CA"/>
        </w:rPr>
        <w:t xml:space="preserve">inance mechanisms such as documentary letters of credit, the role of banks is less dominant when consideration is given to </w:t>
      </w:r>
      <w:r w:rsidR="00DB507A">
        <w:rPr>
          <w:rFonts w:ascii="Arial" w:hAnsi="Arial" w:cs="Arial"/>
          <w:sz w:val="22"/>
          <w:szCs w:val="22"/>
          <w:lang w:val="en-CA"/>
        </w:rPr>
        <w:t>T</w:t>
      </w:r>
      <w:r>
        <w:rPr>
          <w:rFonts w:ascii="Arial" w:hAnsi="Arial" w:cs="Arial"/>
          <w:sz w:val="22"/>
          <w:szCs w:val="22"/>
          <w:lang w:val="en-CA"/>
        </w:rPr>
        <w:t xml:space="preserve">rade </w:t>
      </w:r>
      <w:r w:rsidR="00DB507A">
        <w:rPr>
          <w:rFonts w:ascii="Arial" w:hAnsi="Arial" w:cs="Arial"/>
          <w:sz w:val="22"/>
          <w:szCs w:val="22"/>
          <w:lang w:val="en-CA"/>
        </w:rPr>
        <w:t>F</w:t>
      </w:r>
      <w:r>
        <w:rPr>
          <w:rFonts w:ascii="Arial" w:hAnsi="Arial" w:cs="Arial"/>
          <w:sz w:val="22"/>
          <w:szCs w:val="22"/>
          <w:lang w:val="en-CA"/>
        </w:rPr>
        <w:t xml:space="preserve">inance broadly defined as including inter-firm trade credit, and the financing or settlement support typically provided for trade on open account terms. </w:t>
      </w:r>
    </w:p>
    <w:p w14:paraId="049390A7" w14:textId="77777777" w:rsidR="00585F18" w:rsidRDefault="00585F18" w:rsidP="003F4E82">
      <w:pPr>
        <w:jc w:val="both"/>
        <w:rPr>
          <w:rFonts w:ascii="Arial" w:hAnsi="Arial" w:cs="Arial"/>
          <w:sz w:val="22"/>
          <w:szCs w:val="22"/>
          <w:lang w:val="en-CA"/>
        </w:rPr>
      </w:pPr>
    </w:p>
    <w:p w14:paraId="2C20FD68" w14:textId="77777777" w:rsidR="00EE4A4B" w:rsidRDefault="00EE4A4B" w:rsidP="003F4E82">
      <w:pPr>
        <w:jc w:val="both"/>
        <w:rPr>
          <w:rFonts w:ascii="Arial" w:hAnsi="Arial" w:cs="Arial"/>
          <w:sz w:val="22"/>
          <w:szCs w:val="22"/>
          <w:lang w:val="en-CA"/>
        </w:rPr>
      </w:pPr>
      <w:r>
        <w:rPr>
          <w:rFonts w:ascii="Arial" w:hAnsi="Arial" w:cs="Arial"/>
          <w:sz w:val="22"/>
          <w:szCs w:val="22"/>
          <w:lang w:val="en-CA"/>
        </w:rPr>
        <w:t xml:space="preserve">In the latter case, even with banks now heavily focused on offering solutions under the umbrella of </w:t>
      </w:r>
      <w:r w:rsidR="00DB507A">
        <w:rPr>
          <w:rFonts w:ascii="Arial" w:hAnsi="Arial" w:cs="Arial"/>
          <w:sz w:val="22"/>
          <w:szCs w:val="22"/>
          <w:lang w:val="en-CA"/>
        </w:rPr>
        <w:t>S</w:t>
      </w:r>
      <w:r>
        <w:rPr>
          <w:rFonts w:ascii="Arial" w:hAnsi="Arial" w:cs="Arial"/>
          <w:sz w:val="22"/>
          <w:szCs w:val="22"/>
          <w:lang w:val="en-CA"/>
        </w:rPr>
        <w:t xml:space="preserve">upply </w:t>
      </w:r>
      <w:r w:rsidR="00DB507A">
        <w:rPr>
          <w:rFonts w:ascii="Arial" w:hAnsi="Arial" w:cs="Arial"/>
          <w:sz w:val="22"/>
          <w:szCs w:val="22"/>
          <w:lang w:val="en-CA"/>
        </w:rPr>
        <w:t>C</w:t>
      </w:r>
      <w:r>
        <w:rPr>
          <w:rFonts w:ascii="Arial" w:hAnsi="Arial" w:cs="Arial"/>
          <w:sz w:val="22"/>
          <w:szCs w:val="22"/>
          <w:lang w:val="en-CA"/>
        </w:rPr>
        <w:t xml:space="preserve">hain </w:t>
      </w:r>
      <w:r w:rsidR="00DB507A">
        <w:rPr>
          <w:rFonts w:ascii="Arial" w:hAnsi="Arial" w:cs="Arial"/>
          <w:sz w:val="22"/>
          <w:szCs w:val="22"/>
          <w:lang w:val="en-CA"/>
        </w:rPr>
        <w:t>F</w:t>
      </w:r>
      <w:r>
        <w:rPr>
          <w:rFonts w:ascii="Arial" w:hAnsi="Arial" w:cs="Arial"/>
          <w:sz w:val="22"/>
          <w:szCs w:val="22"/>
          <w:lang w:val="en-CA"/>
        </w:rPr>
        <w:t>inance, it is notable that bank portfolios in trade-</w:t>
      </w:r>
      <w:r w:rsidRPr="00585F18">
        <w:rPr>
          <w:rFonts w:ascii="Arial" w:hAnsi="Arial" w:cs="Arial"/>
          <w:sz w:val="22"/>
          <w:szCs w:val="22"/>
          <w:lang w:val="en-CA"/>
        </w:rPr>
        <w:t>related</w:t>
      </w:r>
      <w:r>
        <w:rPr>
          <w:rFonts w:ascii="Arial" w:hAnsi="Arial" w:cs="Arial"/>
          <w:sz w:val="22"/>
          <w:szCs w:val="22"/>
          <w:lang w:val="en-CA"/>
        </w:rPr>
        <w:t xml:space="preserve"> financing reflect somewhere around </w:t>
      </w:r>
      <w:r w:rsidR="00B119E4">
        <w:rPr>
          <w:rFonts w:ascii="Arial" w:hAnsi="Arial" w:cs="Arial"/>
          <w:sz w:val="22"/>
          <w:szCs w:val="22"/>
          <w:lang w:val="en-CA"/>
        </w:rPr>
        <w:t>15-</w:t>
      </w:r>
      <w:r>
        <w:rPr>
          <w:rFonts w:ascii="Arial" w:hAnsi="Arial" w:cs="Arial"/>
          <w:sz w:val="22"/>
          <w:szCs w:val="22"/>
          <w:lang w:val="en-CA"/>
        </w:rPr>
        <w:t xml:space="preserve">20% </w:t>
      </w:r>
      <w:r w:rsidR="00585F18">
        <w:rPr>
          <w:rFonts w:ascii="Arial" w:hAnsi="Arial" w:cs="Arial"/>
          <w:sz w:val="22"/>
          <w:szCs w:val="22"/>
          <w:lang w:val="en-CA"/>
        </w:rPr>
        <w:t xml:space="preserve">focused on to open account trade through </w:t>
      </w:r>
      <w:r w:rsidR="001A0489">
        <w:rPr>
          <w:rFonts w:ascii="Arial" w:hAnsi="Arial" w:cs="Arial"/>
          <w:sz w:val="22"/>
          <w:szCs w:val="22"/>
          <w:lang w:val="en-CA"/>
        </w:rPr>
        <w:t>Supply Chain Finance</w:t>
      </w:r>
      <w:r w:rsidR="00585F18">
        <w:rPr>
          <w:rFonts w:ascii="Arial" w:hAnsi="Arial" w:cs="Arial"/>
          <w:sz w:val="22"/>
          <w:szCs w:val="22"/>
          <w:lang w:val="en-CA"/>
        </w:rPr>
        <w:t xml:space="preserve"> solutions</w:t>
      </w:r>
      <w:r>
        <w:rPr>
          <w:rFonts w:ascii="Arial" w:hAnsi="Arial" w:cs="Arial"/>
          <w:sz w:val="22"/>
          <w:szCs w:val="22"/>
          <w:lang w:val="en-CA"/>
        </w:rPr>
        <w:t xml:space="preserve"> despite the market reality that trade today is conducted on open account terms in perhaps 80% of transactions</w:t>
      </w:r>
      <w:r w:rsidR="00DB507A">
        <w:rPr>
          <w:rFonts w:ascii="Arial" w:hAnsi="Arial" w:cs="Arial"/>
          <w:sz w:val="22"/>
          <w:szCs w:val="22"/>
          <w:lang w:val="en-CA"/>
        </w:rPr>
        <w:t>, i.e. four times as much,</w:t>
      </w:r>
      <w:r>
        <w:rPr>
          <w:rFonts w:ascii="Arial" w:hAnsi="Arial" w:cs="Arial"/>
          <w:sz w:val="22"/>
          <w:szCs w:val="22"/>
          <w:lang w:val="en-CA"/>
        </w:rPr>
        <w:t xml:space="preserve"> worldwide</w:t>
      </w:r>
      <w:r w:rsidR="00DB507A">
        <w:rPr>
          <w:rStyle w:val="FootnoteReference"/>
          <w:rFonts w:ascii="Arial" w:hAnsi="Arial" w:cs="Arial"/>
          <w:sz w:val="22"/>
          <w:szCs w:val="22"/>
          <w:lang w:val="en-CA"/>
        </w:rPr>
        <w:footnoteReference w:id="11"/>
      </w:r>
      <w:r>
        <w:rPr>
          <w:rFonts w:ascii="Arial" w:hAnsi="Arial" w:cs="Arial"/>
          <w:sz w:val="22"/>
          <w:szCs w:val="22"/>
          <w:lang w:val="en-CA"/>
        </w:rPr>
        <w:t xml:space="preserve">. </w:t>
      </w:r>
    </w:p>
    <w:p w14:paraId="08A6551A" w14:textId="77777777" w:rsidR="00EE4A4B" w:rsidRDefault="00EE4A4B" w:rsidP="003F4E82">
      <w:pPr>
        <w:jc w:val="both"/>
        <w:rPr>
          <w:rFonts w:ascii="Arial" w:hAnsi="Arial" w:cs="Arial"/>
          <w:sz w:val="22"/>
          <w:szCs w:val="22"/>
          <w:lang w:val="en-CA"/>
        </w:rPr>
      </w:pPr>
    </w:p>
    <w:p w14:paraId="701B8382" w14:textId="77777777" w:rsidR="00DB507A" w:rsidRDefault="00EE4A4B" w:rsidP="003F4E82">
      <w:pPr>
        <w:jc w:val="both"/>
        <w:rPr>
          <w:rFonts w:ascii="Arial" w:hAnsi="Arial" w:cs="Arial"/>
          <w:sz w:val="22"/>
          <w:szCs w:val="22"/>
          <w:lang w:val="en-CA"/>
        </w:rPr>
      </w:pPr>
      <w:r>
        <w:rPr>
          <w:rFonts w:ascii="Arial" w:hAnsi="Arial" w:cs="Arial"/>
          <w:sz w:val="22"/>
          <w:szCs w:val="22"/>
          <w:lang w:val="en-CA"/>
        </w:rPr>
        <w:t xml:space="preserve">Non-bank providers, including factoring firms, technology-based platform providers and numerous other competitors are reshaping the business of financing international commerce, and driving banks to invest in new propositions and new business models around the financing of international commerce. </w:t>
      </w:r>
    </w:p>
    <w:p w14:paraId="6A9113DA" w14:textId="77777777" w:rsidR="00B119E4" w:rsidRDefault="00B119E4" w:rsidP="003F4E82">
      <w:pPr>
        <w:jc w:val="both"/>
        <w:rPr>
          <w:rFonts w:ascii="Arial" w:hAnsi="Arial" w:cs="Arial"/>
          <w:sz w:val="22"/>
          <w:szCs w:val="22"/>
          <w:lang w:val="en-CA"/>
        </w:rPr>
      </w:pPr>
    </w:p>
    <w:p w14:paraId="5AB37553" w14:textId="77777777" w:rsidR="00EE4A4B" w:rsidRDefault="00585F18" w:rsidP="003F4E82">
      <w:pPr>
        <w:jc w:val="both"/>
        <w:rPr>
          <w:rFonts w:ascii="Arial" w:hAnsi="Arial" w:cs="Arial"/>
          <w:sz w:val="22"/>
          <w:szCs w:val="22"/>
          <w:lang w:val="en-CA"/>
        </w:rPr>
      </w:pPr>
      <w:r>
        <w:rPr>
          <w:rFonts w:ascii="Arial" w:hAnsi="Arial" w:cs="Arial"/>
          <w:sz w:val="22"/>
          <w:szCs w:val="22"/>
          <w:lang w:val="en-CA"/>
        </w:rPr>
        <w:t xml:space="preserve">This is notable in the context of the thesis of this UN/CEFACT project, in that it implies that the addition of </w:t>
      </w:r>
      <w:r w:rsidR="00DB507A">
        <w:rPr>
          <w:rFonts w:ascii="Arial" w:hAnsi="Arial" w:cs="Arial"/>
          <w:sz w:val="22"/>
          <w:szCs w:val="22"/>
          <w:lang w:val="en-CA"/>
        </w:rPr>
        <w:t>T</w:t>
      </w:r>
      <w:r>
        <w:rPr>
          <w:rFonts w:ascii="Arial" w:hAnsi="Arial" w:cs="Arial"/>
          <w:sz w:val="22"/>
          <w:szCs w:val="22"/>
          <w:lang w:val="en-CA"/>
        </w:rPr>
        <w:t xml:space="preserve">rade </w:t>
      </w:r>
      <w:r w:rsidR="00DB507A">
        <w:rPr>
          <w:rFonts w:ascii="Arial" w:hAnsi="Arial" w:cs="Arial"/>
          <w:sz w:val="22"/>
          <w:szCs w:val="22"/>
          <w:lang w:val="en-CA"/>
        </w:rPr>
        <w:t>F</w:t>
      </w:r>
      <w:r>
        <w:rPr>
          <w:rFonts w:ascii="Arial" w:hAnsi="Arial" w:cs="Arial"/>
          <w:sz w:val="22"/>
          <w:szCs w:val="22"/>
          <w:lang w:val="en-CA"/>
        </w:rPr>
        <w:t xml:space="preserve">inance and </w:t>
      </w:r>
      <w:r w:rsidR="00DB507A">
        <w:rPr>
          <w:rFonts w:ascii="Arial" w:hAnsi="Arial" w:cs="Arial"/>
          <w:sz w:val="22"/>
          <w:szCs w:val="22"/>
          <w:lang w:val="en-CA"/>
        </w:rPr>
        <w:t>S</w:t>
      </w:r>
      <w:r>
        <w:rPr>
          <w:rFonts w:ascii="Arial" w:hAnsi="Arial" w:cs="Arial"/>
          <w:sz w:val="22"/>
          <w:szCs w:val="22"/>
          <w:lang w:val="en-CA"/>
        </w:rPr>
        <w:t xml:space="preserve">upply </w:t>
      </w:r>
      <w:r w:rsidR="00DB507A">
        <w:rPr>
          <w:rFonts w:ascii="Arial" w:hAnsi="Arial" w:cs="Arial"/>
          <w:sz w:val="22"/>
          <w:szCs w:val="22"/>
          <w:lang w:val="en-CA"/>
        </w:rPr>
        <w:t>C</w:t>
      </w:r>
      <w:r>
        <w:rPr>
          <w:rFonts w:ascii="Arial" w:hAnsi="Arial" w:cs="Arial"/>
          <w:sz w:val="22"/>
          <w:szCs w:val="22"/>
          <w:lang w:val="en-CA"/>
        </w:rPr>
        <w:t xml:space="preserve">hain </w:t>
      </w:r>
      <w:r w:rsidR="00DB507A">
        <w:rPr>
          <w:rFonts w:ascii="Arial" w:hAnsi="Arial" w:cs="Arial"/>
          <w:sz w:val="22"/>
          <w:szCs w:val="22"/>
          <w:lang w:val="en-CA"/>
        </w:rPr>
        <w:t>F</w:t>
      </w:r>
      <w:r>
        <w:rPr>
          <w:rFonts w:ascii="Arial" w:hAnsi="Arial" w:cs="Arial"/>
          <w:sz w:val="22"/>
          <w:szCs w:val="22"/>
          <w:lang w:val="en-CA"/>
        </w:rPr>
        <w:t xml:space="preserve">inance into </w:t>
      </w:r>
      <w:r w:rsidR="00DB507A">
        <w:rPr>
          <w:rFonts w:ascii="Arial" w:hAnsi="Arial" w:cs="Arial"/>
          <w:sz w:val="22"/>
          <w:szCs w:val="22"/>
          <w:lang w:val="en-CA"/>
        </w:rPr>
        <w:t>T</w:t>
      </w:r>
      <w:r>
        <w:rPr>
          <w:rFonts w:ascii="Arial" w:hAnsi="Arial" w:cs="Arial"/>
          <w:sz w:val="22"/>
          <w:szCs w:val="22"/>
          <w:lang w:val="en-CA"/>
        </w:rPr>
        <w:t xml:space="preserve">rade </w:t>
      </w:r>
      <w:r w:rsidR="00DB507A">
        <w:rPr>
          <w:rFonts w:ascii="Arial" w:hAnsi="Arial" w:cs="Arial"/>
          <w:sz w:val="22"/>
          <w:szCs w:val="22"/>
          <w:lang w:val="en-CA"/>
        </w:rPr>
        <w:t>F</w:t>
      </w:r>
      <w:r>
        <w:rPr>
          <w:rFonts w:ascii="Arial" w:hAnsi="Arial" w:cs="Arial"/>
          <w:sz w:val="22"/>
          <w:szCs w:val="22"/>
          <w:lang w:val="en-CA"/>
        </w:rPr>
        <w:t>acilitation practice can and should involve banks as well as non-bank providers of financing solutions.</w:t>
      </w:r>
    </w:p>
    <w:p w14:paraId="31A8D6E8" w14:textId="77777777" w:rsidR="0042272E" w:rsidRDefault="0042272E" w:rsidP="003F4E82">
      <w:pPr>
        <w:jc w:val="both"/>
        <w:rPr>
          <w:rFonts w:ascii="Arial" w:hAnsi="Arial" w:cs="Arial"/>
          <w:sz w:val="22"/>
          <w:szCs w:val="22"/>
          <w:lang w:val="en-CA"/>
        </w:rPr>
      </w:pPr>
    </w:p>
    <w:p w14:paraId="35494F62" w14:textId="77777777" w:rsidR="0042272E" w:rsidRPr="000B6967" w:rsidRDefault="0042272E" w:rsidP="000B6967">
      <w:pPr>
        <w:pStyle w:val="Heading2"/>
        <w:rPr>
          <w:sz w:val="22"/>
        </w:rPr>
      </w:pPr>
      <w:bookmarkStart w:id="41" w:name="_Toc441728570"/>
      <w:r w:rsidRPr="000B6967">
        <w:rPr>
          <w:sz w:val="22"/>
        </w:rPr>
        <w:t>A Real Example: The WTO Trade Facilitation Agreement</w:t>
      </w:r>
      <w:r w:rsidR="00BD1447" w:rsidRPr="000B6967">
        <w:rPr>
          <w:sz w:val="22"/>
        </w:rPr>
        <w:t xml:space="preserve"> Facility</w:t>
      </w:r>
      <w:bookmarkEnd w:id="41"/>
    </w:p>
    <w:p w14:paraId="587738EB" w14:textId="77777777" w:rsidR="0042272E" w:rsidRDefault="0042272E" w:rsidP="003F4E82">
      <w:pPr>
        <w:jc w:val="both"/>
        <w:rPr>
          <w:rFonts w:ascii="Arial" w:hAnsi="Arial" w:cs="Arial"/>
          <w:sz w:val="22"/>
          <w:szCs w:val="22"/>
          <w:lang w:val="en-CA"/>
        </w:rPr>
      </w:pPr>
      <w:r w:rsidRPr="0042272E">
        <w:rPr>
          <w:rFonts w:ascii="Arial" w:hAnsi="Arial" w:cs="Arial"/>
          <w:sz w:val="22"/>
          <w:szCs w:val="22"/>
          <w:lang w:val="en-CA"/>
        </w:rPr>
        <w:t>In December 2013, WTO members concluded negotiations on a Trade Facilitation Agreement at the Bali Ministerial Conference</w:t>
      </w:r>
      <w:r>
        <w:rPr>
          <w:rFonts w:ascii="Arial" w:hAnsi="Arial" w:cs="Arial"/>
          <w:sz w:val="22"/>
          <w:szCs w:val="22"/>
          <w:lang w:val="en-CA"/>
        </w:rPr>
        <w:t>.</w:t>
      </w:r>
    </w:p>
    <w:p w14:paraId="70CF72CC" w14:textId="77777777" w:rsidR="0042272E" w:rsidRDefault="0042272E" w:rsidP="003F4E82">
      <w:pPr>
        <w:jc w:val="both"/>
        <w:rPr>
          <w:rFonts w:ascii="Arial" w:hAnsi="Arial" w:cs="Arial"/>
          <w:sz w:val="22"/>
          <w:szCs w:val="22"/>
          <w:lang w:val="en-CA"/>
        </w:rPr>
      </w:pPr>
      <w:r w:rsidRPr="0042272E">
        <w:rPr>
          <w:rFonts w:ascii="Arial" w:hAnsi="Arial" w:cs="Arial"/>
          <w:sz w:val="22"/>
          <w:szCs w:val="22"/>
          <w:lang w:val="en-CA"/>
        </w:rPr>
        <w:lastRenderedPageBreak/>
        <w:t>The Trade Facilitation Agreement contains provisions for expediting the movement, release and clearance of goods, including goods in transit. It also sets out measures for effective cooperation between customs and other appropriate authorities on trade facilitation and customs compliance issues. It further contains provisions for technical assistance and capacity building in this area.</w:t>
      </w:r>
    </w:p>
    <w:p w14:paraId="6173FDBC" w14:textId="77777777" w:rsidR="0042272E" w:rsidRDefault="0042272E" w:rsidP="003F4E82">
      <w:pPr>
        <w:jc w:val="both"/>
        <w:rPr>
          <w:rFonts w:ascii="Arial" w:hAnsi="Arial" w:cs="Arial"/>
          <w:sz w:val="22"/>
          <w:szCs w:val="22"/>
          <w:lang w:val="en-CA"/>
        </w:rPr>
      </w:pPr>
    </w:p>
    <w:p w14:paraId="39D9F86D" w14:textId="77777777" w:rsidR="0042272E" w:rsidRPr="0042272E" w:rsidRDefault="0042272E" w:rsidP="0042272E">
      <w:pPr>
        <w:jc w:val="both"/>
        <w:rPr>
          <w:rFonts w:ascii="Arial" w:hAnsi="Arial" w:cs="Arial"/>
          <w:sz w:val="22"/>
          <w:szCs w:val="22"/>
          <w:lang w:val="en-CA"/>
        </w:rPr>
      </w:pPr>
      <w:r>
        <w:rPr>
          <w:rFonts w:ascii="Arial" w:hAnsi="Arial" w:cs="Arial"/>
          <w:sz w:val="22"/>
          <w:szCs w:val="22"/>
          <w:lang w:val="en-CA"/>
        </w:rPr>
        <w:t>In more detail, t</w:t>
      </w:r>
      <w:r w:rsidRPr="0042272E">
        <w:rPr>
          <w:rFonts w:ascii="Arial" w:hAnsi="Arial" w:cs="Arial"/>
          <w:sz w:val="22"/>
          <w:szCs w:val="22"/>
          <w:lang w:val="en-CA"/>
        </w:rPr>
        <w:t>he Trade Facilitation Agreement has three sections:</w:t>
      </w:r>
    </w:p>
    <w:p w14:paraId="7A1C5359" w14:textId="77777777" w:rsidR="0042272E" w:rsidRPr="0042272E" w:rsidRDefault="0042272E" w:rsidP="0042272E">
      <w:pPr>
        <w:jc w:val="both"/>
        <w:rPr>
          <w:rFonts w:ascii="Arial" w:hAnsi="Arial" w:cs="Arial"/>
          <w:sz w:val="22"/>
          <w:szCs w:val="22"/>
          <w:lang w:val="en-CA"/>
        </w:rPr>
      </w:pPr>
    </w:p>
    <w:p w14:paraId="2BB670CC" w14:textId="77777777" w:rsidR="0042272E" w:rsidRDefault="0042272E" w:rsidP="0042272E">
      <w:pPr>
        <w:pStyle w:val="ListParagraph"/>
        <w:numPr>
          <w:ilvl w:val="0"/>
          <w:numId w:val="8"/>
        </w:numPr>
        <w:jc w:val="both"/>
        <w:rPr>
          <w:rFonts w:ascii="Arial" w:hAnsi="Arial" w:cs="Arial"/>
          <w:sz w:val="22"/>
          <w:szCs w:val="22"/>
          <w:lang w:val="en-CA"/>
        </w:rPr>
      </w:pPr>
      <w:r w:rsidRPr="0042272E">
        <w:rPr>
          <w:rFonts w:ascii="Arial" w:hAnsi="Arial" w:cs="Arial"/>
          <w:sz w:val="22"/>
          <w:szCs w:val="22"/>
          <w:lang w:val="en-CA"/>
        </w:rPr>
        <w:t>Section I contains provisions for expediting the movement, release and clearance of goods, including goods in transit. It clarifies and improves relevant articles on tariffs and trade and it also sets out provisions for customs cooperation.</w:t>
      </w:r>
    </w:p>
    <w:p w14:paraId="11121881" w14:textId="77777777" w:rsidR="00561F3A" w:rsidRDefault="0042272E" w:rsidP="007C04BB">
      <w:pPr>
        <w:pStyle w:val="ListParagraph"/>
        <w:numPr>
          <w:ilvl w:val="0"/>
          <w:numId w:val="8"/>
        </w:numPr>
        <w:jc w:val="both"/>
        <w:rPr>
          <w:rFonts w:ascii="Arial" w:hAnsi="Arial" w:cs="Arial"/>
          <w:sz w:val="22"/>
          <w:szCs w:val="22"/>
          <w:lang w:val="en-CA"/>
        </w:rPr>
      </w:pPr>
      <w:r w:rsidRPr="00561F3A">
        <w:rPr>
          <w:rFonts w:ascii="Arial" w:hAnsi="Arial" w:cs="Arial"/>
          <w:sz w:val="22"/>
          <w:szCs w:val="22"/>
          <w:lang w:val="en-CA"/>
        </w:rPr>
        <w:t xml:space="preserve">Section II contains special and differential treatment (SDT) provisions that allow developing and least-developed countries </w:t>
      </w:r>
      <w:r w:rsidR="008830D7">
        <w:rPr>
          <w:rFonts w:ascii="Arial" w:hAnsi="Arial" w:cs="Arial"/>
          <w:sz w:val="22"/>
          <w:szCs w:val="22"/>
          <w:lang w:val="en-CA"/>
        </w:rPr>
        <w:t xml:space="preserve">(LDC) </w:t>
      </w:r>
      <w:r w:rsidRPr="00561F3A">
        <w:rPr>
          <w:rFonts w:ascii="Arial" w:hAnsi="Arial" w:cs="Arial"/>
          <w:sz w:val="22"/>
          <w:szCs w:val="22"/>
          <w:lang w:val="en-CA"/>
        </w:rPr>
        <w:t>to determine when they will implement individual provisions of the Agreement and to identify provisions that they will only be able to implement upon the receipt of technical assistance and support for capacity building. To benefit from SDT, a member must categorize each provision of the Agreement, as defined below, and notify other WTO members of these categorizations in accordance with specific timelines outli</w:t>
      </w:r>
      <w:r w:rsidR="00561F3A" w:rsidRPr="00561F3A">
        <w:rPr>
          <w:rFonts w:ascii="Arial" w:hAnsi="Arial" w:cs="Arial"/>
          <w:sz w:val="22"/>
          <w:szCs w:val="22"/>
          <w:lang w:val="en-CA"/>
        </w:rPr>
        <w:t>ned in the Agreement:</w:t>
      </w:r>
    </w:p>
    <w:p w14:paraId="7E42D0E5" w14:textId="77777777" w:rsidR="00561F3A" w:rsidRDefault="0042272E" w:rsidP="00A8128A">
      <w:pPr>
        <w:pStyle w:val="ListParagraph"/>
        <w:numPr>
          <w:ilvl w:val="1"/>
          <w:numId w:val="8"/>
        </w:numPr>
        <w:jc w:val="both"/>
        <w:rPr>
          <w:rFonts w:ascii="Arial" w:hAnsi="Arial" w:cs="Arial"/>
          <w:sz w:val="22"/>
          <w:szCs w:val="22"/>
          <w:lang w:val="en-CA"/>
        </w:rPr>
      </w:pPr>
      <w:r w:rsidRPr="00561F3A">
        <w:rPr>
          <w:rFonts w:ascii="Arial" w:hAnsi="Arial" w:cs="Arial"/>
          <w:sz w:val="22"/>
          <w:szCs w:val="22"/>
          <w:lang w:val="en-CA"/>
        </w:rPr>
        <w:t>Category A: provisions that the member will implement by the time the Agreement enters into force (or in the case of a least-developed country member within one year after entry into force)</w:t>
      </w:r>
    </w:p>
    <w:p w14:paraId="6454DEB2" w14:textId="77777777" w:rsidR="00561F3A" w:rsidRDefault="0042272E" w:rsidP="004918CC">
      <w:pPr>
        <w:pStyle w:val="ListParagraph"/>
        <w:numPr>
          <w:ilvl w:val="1"/>
          <w:numId w:val="8"/>
        </w:numPr>
        <w:jc w:val="both"/>
        <w:rPr>
          <w:rFonts w:ascii="Arial" w:hAnsi="Arial" w:cs="Arial"/>
          <w:sz w:val="22"/>
          <w:szCs w:val="22"/>
          <w:lang w:val="en-CA"/>
        </w:rPr>
      </w:pPr>
      <w:r w:rsidRPr="00561F3A">
        <w:rPr>
          <w:rFonts w:ascii="Arial" w:hAnsi="Arial" w:cs="Arial"/>
          <w:sz w:val="22"/>
          <w:szCs w:val="22"/>
          <w:lang w:val="en-CA"/>
        </w:rPr>
        <w:t>Category B: provisions that the member will implement after a transitional period following the  entry into force of the Agreement</w:t>
      </w:r>
    </w:p>
    <w:p w14:paraId="26F03619" w14:textId="77777777" w:rsidR="0042272E" w:rsidRPr="00561F3A" w:rsidRDefault="0042272E" w:rsidP="004918CC">
      <w:pPr>
        <w:pStyle w:val="ListParagraph"/>
        <w:numPr>
          <w:ilvl w:val="1"/>
          <w:numId w:val="8"/>
        </w:numPr>
        <w:jc w:val="both"/>
        <w:rPr>
          <w:rFonts w:ascii="Arial" w:hAnsi="Arial" w:cs="Arial"/>
          <w:sz w:val="22"/>
          <w:szCs w:val="22"/>
          <w:lang w:val="en-CA"/>
        </w:rPr>
      </w:pPr>
      <w:r w:rsidRPr="00561F3A">
        <w:rPr>
          <w:rFonts w:ascii="Arial" w:hAnsi="Arial" w:cs="Arial"/>
          <w:sz w:val="22"/>
          <w:szCs w:val="22"/>
          <w:lang w:val="en-CA"/>
        </w:rPr>
        <w:t>Category C: provisions that the member will implement on a date after a</w:t>
      </w:r>
      <w:r w:rsidR="00561F3A">
        <w:rPr>
          <w:rFonts w:ascii="Arial" w:hAnsi="Arial" w:cs="Arial"/>
          <w:sz w:val="22"/>
          <w:szCs w:val="22"/>
          <w:lang w:val="en-CA"/>
        </w:rPr>
        <w:t xml:space="preserve"> transitional period following </w:t>
      </w:r>
      <w:r w:rsidRPr="00561F3A">
        <w:rPr>
          <w:rFonts w:ascii="Arial" w:hAnsi="Arial" w:cs="Arial"/>
          <w:sz w:val="22"/>
          <w:szCs w:val="22"/>
          <w:lang w:val="en-CA"/>
        </w:rPr>
        <w:t>the entry into force of the Agreement and requiring the acquisition of assistance and support for capacity building.</w:t>
      </w:r>
    </w:p>
    <w:p w14:paraId="685811FB" w14:textId="77777777" w:rsidR="0042272E" w:rsidRPr="00561F3A" w:rsidRDefault="0042272E" w:rsidP="00561F3A">
      <w:pPr>
        <w:pStyle w:val="ListParagraph"/>
        <w:numPr>
          <w:ilvl w:val="0"/>
          <w:numId w:val="8"/>
        </w:numPr>
        <w:jc w:val="both"/>
        <w:rPr>
          <w:rFonts w:ascii="Arial" w:hAnsi="Arial" w:cs="Arial"/>
          <w:sz w:val="22"/>
          <w:szCs w:val="22"/>
          <w:lang w:val="en-CA"/>
        </w:rPr>
      </w:pPr>
      <w:r w:rsidRPr="00561F3A">
        <w:rPr>
          <w:rFonts w:ascii="Arial" w:hAnsi="Arial" w:cs="Arial"/>
          <w:sz w:val="22"/>
          <w:szCs w:val="22"/>
          <w:lang w:val="en-CA"/>
        </w:rPr>
        <w:t>Section III contains provisions that establish a permanent committee on trade facilitation at the WTO, require members to have a national committee to facilitate domestic coordination and implementation of the provisions of the Agreement. It also sets out a few final provisions.</w:t>
      </w:r>
    </w:p>
    <w:p w14:paraId="15B6AD2B" w14:textId="77777777" w:rsidR="0042272E" w:rsidRDefault="0042272E" w:rsidP="003F4E82">
      <w:pPr>
        <w:jc w:val="both"/>
        <w:rPr>
          <w:rFonts w:ascii="Arial" w:hAnsi="Arial" w:cs="Arial"/>
          <w:sz w:val="22"/>
          <w:szCs w:val="22"/>
          <w:lang w:val="en-CA"/>
        </w:rPr>
      </w:pPr>
    </w:p>
    <w:p w14:paraId="1C1DFC14" w14:textId="77777777" w:rsidR="0042272E" w:rsidRDefault="0042272E" w:rsidP="003F4E82">
      <w:pPr>
        <w:jc w:val="both"/>
        <w:rPr>
          <w:rFonts w:ascii="Arial" w:hAnsi="Arial" w:cs="Arial"/>
          <w:sz w:val="22"/>
          <w:szCs w:val="22"/>
          <w:lang w:val="en-CA"/>
        </w:rPr>
      </w:pPr>
      <w:r w:rsidRPr="0042272E">
        <w:rPr>
          <w:rFonts w:ascii="Arial" w:hAnsi="Arial" w:cs="Arial"/>
          <w:sz w:val="22"/>
          <w:szCs w:val="22"/>
          <w:lang w:val="en-CA"/>
        </w:rPr>
        <w:t>The Trade Facilitation Agreement will enter into force once two-thirds of members have completed their domestic ratification process.</w:t>
      </w:r>
    </w:p>
    <w:p w14:paraId="455C3A3F" w14:textId="77777777" w:rsidR="00BD1447" w:rsidRDefault="00BD1447" w:rsidP="003F4E82">
      <w:pPr>
        <w:jc w:val="both"/>
        <w:rPr>
          <w:rFonts w:ascii="Arial" w:hAnsi="Arial" w:cs="Arial"/>
          <w:sz w:val="22"/>
          <w:szCs w:val="22"/>
          <w:lang w:val="en-CA"/>
        </w:rPr>
      </w:pPr>
    </w:p>
    <w:p w14:paraId="7E335874" w14:textId="77777777" w:rsidR="00BD1447" w:rsidRDefault="00BD1447" w:rsidP="003F4E82">
      <w:pPr>
        <w:jc w:val="both"/>
        <w:rPr>
          <w:rFonts w:ascii="Arial" w:hAnsi="Arial" w:cs="Arial"/>
          <w:sz w:val="22"/>
          <w:szCs w:val="22"/>
          <w:lang w:val="en-CA"/>
        </w:rPr>
      </w:pPr>
      <w:r>
        <w:rPr>
          <w:rFonts w:ascii="Arial" w:hAnsi="Arial" w:cs="Arial"/>
          <w:sz w:val="22"/>
          <w:szCs w:val="22"/>
          <w:lang w:val="en-CA"/>
        </w:rPr>
        <w:t xml:space="preserve">In essence, </w:t>
      </w:r>
      <w:r w:rsidRPr="00BD1447">
        <w:rPr>
          <w:rFonts w:ascii="Arial" w:hAnsi="Arial" w:cs="Arial"/>
          <w:sz w:val="22"/>
          <w:szCs w:val="22"/>
          <w:lang w:val="en-CA"/>
        </w:rPr>
        <w:t xml:space="preserve">the requirement to implement the Agreement </w:t>
      </w:r>
      <w:r>
        <w:rPr>
          <w:rFonts w:ascii="Arial" w:hAnsi="Arial" w:cs="Arial"/>
          <w:sz w:val="22"/>
          <w:szCs w:val="22"/>
          <w:lang w:val="en-CA"/>
        </w:rPr>
        <w:t>i</w:t>
      </w:r>
      <w:r w:rsidRPr="00BD1447">
        <w:rPr>
          <w:rFonts w:ascii="Arial" w:hAnsi="Arial" w:cs="Arial"/>
          <w:sz w:val="22"/>
          <w:szCs w:val="22"/>
          <w:lang w:val="en-CA"/>
        </w:rPr>
        <w:t>s directly linked to the capacity of the country to do so</w:t>
      </w:r>
      <w:r>
        <w:rPr>
          <w:rFonts w:ascii="Arial" w:hAnsi="Arial" w:cs="Arial"/>
          <w:sz w:val="22"/>
          <w:szCs w:val="22"/>
          <w:lang w:val="en-CA"/>
        </w:rPr>
        <w:t xml:space="preserve">. In addition, </w:t>
      </w:r>
      <w:r w:rsidRPr="00BD1447">
        <w:rPr>
          <w:rFonts w:ascii="Arial" w:hAnsi="Arial" w:cs="Arial"/>
          <w:sz w:val="22"/>
          <w:szCs w:val="22"/>
          <w:lang w:val="en-CA"/>
        </w:rPr>
        <w:t xml:space="preserve">the Agreement </w:t>
      </w:r>
      <w:r>
        <w:rPr>
          <w:rFonts w:ascii="Arial" w:hAnsi="Arial" w:cs="Arial"/>
          <w:sz w:val="22"/>
          <w:szCs w:val="22"/>
          <w:lang w:val="en-CA"/>
        </w:rPr>
        <w:t xml:space="preserve">clearly </w:t>
      </w:r>
      <w:r w:rsidRPr="00BD1447">
        <w:rPr>
          <w:rFonts w:ascii="Arial" w:hAnsi="Arial" w:cs="Arial"/>
          <w:sz w:val="22"/>
          <w:szCs w:val="22"/>
          <w:lang w:val="en-CA"/>
        </w:rPr>
        <w:t>state</w:t>
      </w:r>
      <w:r>
        <w:rPr>
          <w:rFonts w:ascii="Arial" w:hAnsi="Arial" w:cs="Arial"/>
          <w:sz w:val="22"/>
          <w:szCs w:val="22"/>
          <w:lang w:val="en-CA"/>
        </w:rPr>
        <w:t>s</w:t>
      </w:r>
      <w:r w:rsidRPr="00BD1447">
        <w:rPr>
          <w:rFonts w:ascii="Arial" w:hAnsi="Arial" w:cs="Arial"/>
          <w:sz w:val="22"/>
          <w:szCs w:val="22"/>
          <w:lang w:val="en-CA"/>
        </w:rPr>
        <w:t xml:space="preserve"> that assistance and support should be provided to help them achieve that capacity.</w:t>
      </w:r>
      <w:r>
        <w:rPr>
          <w:rFonts w:ascii="Arial" w:hAnsi="Arial" w:cs="Arial"/>
          <w:sz w:val="22"/>
          <w:szCs w:val="22"/>
          <w:lang w:val="en-CA"/>
        </w:rPr>
        <w:t xml:space="preserve"> It is according to such commitment that the WTO launched in 2014 </w:t>
      </w:r>
      <w:r w:rsidRPr="00BD1447">
        <w:rPr>
          <w:rFonts w:ascii="Arial" w:hAnsi="Arial" w:cs="Arial"/>
          <w:sz w:val="22"/>
          <w:szCs w:val="22"/>
          <w:lang w:val="en-CA"/>
        </w:rPr>
        <w:t>the WTO Trade Facilitation Agreement Facility to help ensure that this assistance is provided to all those that require it.</w:t>
      </w:r>
      <w:r>
        <w:rPr>
          <w:rFonts w:ascii="Arial" w:hAnsi="Arial" w:cs="Arial"/>
          <w:sz w:val="22"/>
          <w:szCs w:val="22"/>
          <w:lang w:val="en-CA"/>
        </w:rPr>
        <w:t xml:space="preserve"> </w:t>
      </w:r>
      <w:r w:rsidRPr="00BD1447">
        <w:rPr>
          <w:rFonts w:ascii="Arial" w:hAnsi="Arial" w:cs="Arial"/>
          <w:sz w:val="22"/>
          <w:szCs w:val="22"/>
          <w:lang w:val="en-CA"/>
        </w:rPr>
        <w:t>With this new Facility, developing and least-developed countries will receive the support they need to make the reforms enshrined in the Trade Facilitation Agreement and share in the substantial economic gains that it will deliver.</w:t>
      </w:r>
      <w:r w:rsidRPr="00BD1447">
        <w:t xml:space="preserve"> </w:t>
      </w:r>
      <w:r w:rsidRPr="00BD1447">
        <w:rPr>
          <w:rFonts w:ascii="Arial" w:hAnsi="Arial" w:cs="Arial"/>
          <w:sz w:val="22"/>
          <w:szCs w:val="22"/>
          <w:lang w:val="en-CA"/>
        </w:rPr>
        <w:t>The new Facility complement</w:t>
      </w:r>
      <w:r>
        <w:rPr>
          <w:rFonts w:ascii="Arial" w:hAnsi="Arial" w:cs="Arial"/>
          <w:sz w:val="22"/>
          <w:szCs w:val="22"/>
          <w:lang w:val="en-CA"/>
        </w:rPr>
        <w:t>s</w:t>
      </w:r>
      <w:r w:rsidRPr="00BD1447">
        <w:rPr>
          <w:rFonts w:ascii="Arial" w:hAnsi="Arial" w:cs="Arial"/>
          <w:sz w:val="22"/>
          <w:szCs w:val="22"/>
          <w:lang w:val="en-CA"/>
        </w:rPr>
        <w:t xml:space="preserve"> existing efforts by regional and multilateral agencies, bilateral donors, and other stakeholders to provide Trade Facilitation-related technical assistance and capacity-building support. It will act as a focal point for implementation efforts.</w:t>
      </w:r>
    </w:p>
    <w:p w14:paraId="12D5449E" w14:textId="77777777" w:rsidR="00BD1447" w:rsidRDefault="00BD1447" w:rsidP="003F4E82">
      <w:pPr>
        <w:jc w:val="both"/>
        <w:rPr>
          <w:rFonts w:ascii="Arial" w:hAnsi="Arial" w:cs="Arial"/>
          <w:sz w:val="22"/>
          <w:szCs w:val="22"/>
          <w:lang w:val="en-CA"/>
        </w:rPr>
      </w:pPr>
    </w:p>
    <w:p w14:paraId="1AB61939" w14:textId="77777777" w:rsidR="00BD1447" w:rsidRDefault="00BD1447" w:rsidP="003F4E82">
      <w:pPr>
        <w:jc w:val="both"/>
        <w:rPr>
          <w:rFonts w:ascii="Arial" w:hAnsi="Arial" w:cs="Arial"/>
          <w:sz w:val="22"/>
          <w:szCs w:val="22"/>
          <w:lang w:val="en-CA"/>
        </w:rPr>
      </w:pPr>
      <w:r>
        <w:rPr>
          <w:rFonts w:ascii="Arial" w:hAnsi="Arial" w:cs="Arial"/>
          <w:sz w:val="22"/>
          <w:szCs w:val="22"/>
          <w:lang w:val="en-CA"/>
        </w:rPr>
        <w:t>T</w:t>
      </w:r>
      <w:r w:rsidRPr="00BD1447">
        <w:rPr>
          <w:rFonts w:ascii="Arial" w:hAnsi="Arial" w:cs="Arial"/>
          <w:sz w:val="22"/>
          <w:szCs w:val="22"/>
          <w:lang w:val="en-CA"/>
        </w:rPr>
        <w:t>he Facility will support LDCs and developing countries to assess their specific needs and identify possible development partners to help them meet those needs.</w:t>
      </w:r>
      <w:r w:rsidR="008830D7">
        <w:rPr>
          <w:rFonts w:ascii="Arial" w:hAnsi="Arial" w:cs="Arial"/>
          <w:sz w:val="22"/>
          <w:szCs w:val="22"/>
          <w:lang w:val="en-CA"/>
        </w:rPr>
        <w:t xml:space="preserve"> It also </w:t>
      </w:r>
      <w:r w:rsidR="008830D7" w:rsidRPr="008830D7">
        <w:rPr>
          <w:rFonts w:ascii="Arial" w:hAnsi="Arial" w:cs="Arial"/>
          <w:sz w:val="22"/>
          <w:szCs w:val="22"/>
          <w:lang w:val="en-CA"/>
        </w:rPr>
        <w:lastRenderedPageBreak/>
        <w:t>ensure</w:t>
      </w:r>
      <w:r w:rsidR="008830D7">
        <w:rPr>
          <w:rFonts w:ascii="Arial" w:hAnsi="Arial" w:cs="Arial"/>
          <w:sz w:val="22"/>
          <w:szCs w:val="22"/>
          <w:lang w:val="en-CA"/>
        </w:rPr>
        <w:t>s</w:t>
      </w:r>
      <w:r w:rsidR="008830D7" w:rsidRPr="008830D7">
        <w:rPr>
          <w:rFonts w:ascii="Arial" w:hAnsi="Arial" w:cs="Arial"/>
          <w:sz w:val="22"/>
          <w:szCs w:val="22"/>
          <w:lang w:val="en-CA"/>
        </w:rPr>
        <w:t xml:space="preserve"> the best possible conditions for the flow of information between donors and recipients by creating an information-sharing platform for the demand and supply of related technical assistance</w:t>
      </w:r>
      <w:r w:rsidR="008830D7">
        <w:rPr>
          <w:rFonts w:ascii="Arial" w:hAnsi="Arial" w:cs="Arial"/>
          <w:sz w:val="22"/>
          <w:szCs w:val="22"/>
          <w:lang w:val="en-CA"/>
        </w:rPr>
        <w:t>. T</w:t>
      </w:r>
      <w:r w:rsidR="008830D7" w:rsidRPr="008830D7">
        <w:rPr>
          <w:rFonts w:ascii="Arial" w:hAnsi="Arial" w:cs="Arial"/>
          <w:sz w:val="22"/>
          <w:szCs w:val="22"/>
          <w:lang w:val="en-CA"/>
        </w:rPr>
        <w:t>he Facility will provide funds for the cases where countries have made thorough attempts to find assistance but have failed t</w:t>
      </w:r>
      <w:r w:rsidR="008830D7">
        <w:rPr>
          <w:rFonts w:ascii="Arial" w:hAnsi="Arial" w:cs="Arial"/>
          <w:sz w:val="22"/>
          <w:szCs w:val="22"/>
          <w:lang w:val="en-CA"/>
        </w:rPr>
        <w:t xml:space="preserve">o receive the support they need: </w:t>
      </w:r>
      <w:r w:rsidR="008830D7" w:rsidRPr="008830D7">
        <w:rPr>
          <w:rFonts w:ascii="Arial" w:hAnsi="Arial" w:cs="Arial"/>
          <w:sz w:val="22"/>
          <w:szCs w:val="22"/>
          <w:lang w:val="en-CA"/>
        </w:rPr>
        <w:t>If a country finds itself in the situation where it simply cannot find a donor</w:t>
      </w:r>
      <w:r w:rsidR="008830D7">
        <w:rPr>
          <w:rFonts w:ascii="Arial" w:hAnsi="Arial" w:cs="Arial"/>
          <w:sz w:val="22"/>
          <w:szCs w:val="22"/>
          <w:lang w:val="en-CA"/>
        </w:rPr>
        <w:t>,</w:t>
      </w:r>
      <w:r w:rsidR="008830D7" w:rsidRPr="008830D7">
        <w:rPr>
          <w:rFonts w:ascii="Arial" w:hAnsi="Arial" w:cs="Arial"/>
          <w:sz w:val="22"/>
          <w:szCs w:val="22"/>
          <w:lang w:val="en-CA"/>
        </w:rPr>
        <w:t xml:space="preserve"> then they can apply to the Facility for a grant of up to </w:t>
      </w:r>
      <w:r w:rsidR="008830D7">
        <w:rPr>
          <w:rFonts w:ascii="Arial" w:hAnsi="Arial" w:cs="Arial"/>
          <w:sz w:val="22"/>
          <w:szCs w:val="22"/>
          <w:lang w:val="en-CA"/>
        </w:rPr>
        <w:t xml:space="preserve">$US </w:t>
      </w:r>
      <w:r w:rsidR="008830D7" w:rsidRPr="008830D7">
        <w:rPr>
          <w:rFonts w:ascii="Arial" w:hAnsi="Arial" w:cs="Arial"/>
          <w:sz w:val="22"/>
          <w:szCs w:val="22"/>
          <w:lang w:val="en-CA"/>
        </w:rPr>
        <w:t>200,000 to implement their project.</w:t>
      </w:r>
    </w:p>
    <w:p w14:paraId="56F25F8B" w14:textId="77777777" w:rsidR="00EE542A" w:rsidRDefault="00EE542A" w:rsidP="003F4E82">
      <w:pPr>
        <w:jc w:val="both"/>
        <w:rPr>
          <w:rFonts w:ascii="Arial" w:hAnsi="Arial" w:cs="Arial"/>
          <w:sz w:val="22"/>
          <w:szCs w:val="22"/>
          <w:lang w:val="en-CA"/>
        </w:rPr>
      </w:pPr>
    </w:p>
    <w:p w14:paraId="2B484E69" w14:textId="77777777" w:rsidR="00EE542A" w:rsidRDefault="00EE542A" w:rsidP="003F4E82">
      <w:pPr>
        <w:jc w:val="both"/>
        <w:rPr>
          <w:rFonts w:ascii="Arial" w:hAnsi="Arial" w:cs="Arial"/>
          <w:sz w:val="22"/>
          <w:szCs w:val="22"/>
          <w:lang w:val="en-CA"/>
        </w:rPr>
      </w:pPr>
      <w:r>
        <w:rPr>
          <w:rFonts w:ascii="Arial" w:hAnsi="Arial" w:cs="Arial"/>
          <w:sz w:val="22"/>
          <w:szCs w:val="22"/>
          <w:lang w:val="en-CA"/>
        </w:rPr>
        <w:t>T</w:t>
      </w:r>
      <w:r w:rsidRPr="00EE542A">
        <w:rPr>
          <w:rFonts w:ascii="Arial" w:hAnsi="Arial" w:cs="Arial"/>
          <w:sz w:val="22"/>
          <w:szCs w:val="22"/>
          <w:lang w:val="en-CA"/>
        </w:rPr>
        <w:t>he WTO Trade Facilitation Agreement Facility</w:t>
      </w:r>
      <w:r>
        <w:rPr>
          <w:rFonts w:ascii="Arial" w:hAnsi="Arial" w:cs="Arial"/>
          <w:sz w:val="22"/>
          <w:szCs w:val="22"/>
          <w:lang w:val="en-CA"/>
        </w:rPr>
        <w:t xml:space="preserve"> is a clear example of the importance to bridge trade facilitation practices with financial support and assistance.</w:t>
      </w:r>
    </w:p>
    <w:p w14:paraId="0FF4CFBD" w14:textId="77777777" w:rsidR="00AF7EBD" w:rsidRPr="00A73BD5" w:rsidRDefault="00AF7EBD" w:rsidP="00AF7EBD">
      <w:pPr>
        <w:pStyle w:val="Heading2"/>
      </w:pPr>
      <w:bookmarkStart w:id="42" w:name="_Toc406492221"/>
      <w:bookmarkStart w:id="43" w:name="_Toc436042209"/>
      <w:bookmarkStart w:id="44" w:name="_Toc441728571"/>
      <w:r w:rsidRPr="00A73BD5">
        <w:t>CONCLUSIONS</w:t>
      </w:r>
      <w:bookmarkEnd w:id="42"/>
      <w:bookmarkEnd w:id="43"/>
      <w:bookmarkEnd w:id="44"/>
    </w:p>
    <w:p w14:paraId="3DD244FA" w14:textId="77777777" w:rsidR="00AF7EBD" w:rsidRDefault="00AF7EBD" w:rsidP="00AF7EBD">
      <w:pPr>
        <w:jc w:val="both"/>
        <w:rPr>
          <w:rFonts w:ascii="Arial" w:hAnsi="Arial" w:cs="Arial"/>
          <w:sz w:val="22"/>
          <w:szCs w:val="22"/>
          <w:lang w:val="en-CA"/>
        </w:rPr>
      </w:pPr>
      <w:r>
        <w:rPr>
          <w:rFonts w:ascii="Arial" w:hAnsi="Arial" w:cs="Arial"/>
          <w:sz w:val="22"/>
          <w:szCs w:val="22"/>
          <w:lang w:val="en-CA"/>
        </w:rPr>
        <w:t>The key conclusion of this background paper and of the overall UN/CEFACT initiative is to reinforce the high-value opportunity in integrating financing into disciplines related to Trade Facilitation practices, including Single Window market access initiatives.</w:t>
      </w:r>
    </w:p>
    <w:p w14:paraId="46ACF0F4" w14:textId="77777777" w:rsidR="00AF7EBD" w:rsidRDefault="00AF7EBD" w:rsidP="00AF7EBD">
      <w:pPr>
        <w:jc w:val="both"/>
        <w:rPr>
          <w:rFonts w:ascii="Arial" w:hAnsi="Arial" w:cs="Arial"/>
          <w:sz w:val="22"/>
          <w:szCs w:val="22"/>
          <w:lang w:val="en-CA"/>
        </w:rPr>
      </w:pPr>
    </w:p>
    <w:p w14:paraId="73A49B14" w14:textId="77777777" w:rsidR="00AF7EBD" w:rsidRDefault="00AF7EBD" w:rsidP="00AF7EBD">
      <w:pPr>
        <w:jc w:val="both"/>
        <w:rPr>
          <w:rFonts w:ascii="Arial" w:hAnsi="Arial" w:cs="Arial"/>
          <w:sz w:val="22"/>
          <w:szCs w:val="22"/>
          <w:lang w:val="en-CA"/>
        </w:rPr>
      </w:pPr>
      <w:r>
        <w:rPr>
          <w:rFonts w:ascii="Arial" w:hAnsi="Arial" w:cs="Arial"/>
          <w:sz w:val="22"/>
          <w:szCs w:val="22"/>
          <w:lang w:val="en-CA"/>
        </w:rPr>
        <w:t>The intent of the project to which this background paper relates, is to deploy a team of experts from both the worlds of Trade Facilitation and Trade Finance, to undertake an objective assessment of the opportunity in integrating facilitation and finance for the purposes of positively impacting international development and poverty reduction in particular.</w:t>
      </w:r>
    </w:p>
    <w:p w14:paraId="0CDE3153" w14:textId="77777777" w:rsidR="00AF7EBD" w:rsidRDefault="00AF7EBD" w:rsidP="00AF7EBD">
      <w:pPr>
        <w:jc w:val="both"/>
        <w:rPr>
          <w:rFonts w:ascii="Arial" w:hAnsi="Arial" w:cs="Arial"/>
          <w:sz w:val="22"/>
          <w:szCs w:val="22"/>
          <w:lang w:val="en-CA"/>
        </w:rPr>
      </w:pPr>
    </w:p>
    <w:p w14:paraId="4316F5B9" w14:textId="77777777" w:rsidR="00AF7EBD" w:rsidRDefault="00AF7EBD" w:rsidP="00AF7EBD">
      <w:pPr>
        <w:jc w:val="both"/>
        <w:rPr>
          <w:rFonts w:ascii="Arial" w:hAnsi="Arial" w:cs="Arial"/>
          <w:sz w:val="22"/>
          <w:szCs w:val="22"/>
          <w:lang w:val="en-CA"/>
        </w:rPr>
      </w:pPr>
      <w:r>
        <w:rPr>
          <w:rFonts w:ascii="Arial" w:hAnsi="Arial" w:cs="Arial"/>
          <w:sz w:val="22"/>
          <w:szCs w:val="22"/>
          <w:lang w:val="en-CA"/>
        </w:rPr>
        <w:t>There are, in the end, no “showstoppers” to the integration of financing into facilitation activity. The major obstacle is likely to be linked to incomplete information about the potential and the opportunities of such an approach, and to issues of organizational culture within Trade Facilitation entities and Trade Finance banks (and other providers of Trade Finance and Supply Chain Finance).</w:t>
      </w:r>
    </w:p>
    <w:p w14:paraId="62DD995D" w14:textId="77777777" w:rsidR="00AF7EBD" w:rsidRPr="00A365C1" w:rsidRDefault="00AF7EBD" w:rsidP="00AF7EBD">
      <w:pPr>
        <w:rPr>
          <w:lang w:val="en-CA"/>
        </w:rPr>
      </w:pPr>
    </w:p>
    <w:p w14:paraId="6A5178D9" w14:textId="77777777" w:rsidR="00AF7EBD" w:rsidRDefault="00AF7EBD" w:rsidP="00AF7EBD">
      <w:pPr>
        <w:jc w:val="both"/>
        <w:rPr>
          <w:rFonts w:ascii="Arial" w:hAnsi="Arial" w:cs="Arial"/>
          <w:sz w:val="22"/>
          <w:szCs w:val="22"/>
          <w:lang w:val="en-CA"/>
        </w:rPr>
      </w:pPr>
      <w:r w:rsidRPr="00553221">
        <w:rPr>
          <w:rFonts w:ascii="Arial" w:hAnsi="Arial" w:cs="Arial"/>
          <w:sz w:val="22"/>
          <w:szCs w:val="22"/>
          <w:lang w:val="en-CA"/>
        </w:rPr>
        <w:t>The importance of trade to international development is well-established, as is now the critically important linkage between trade and trade-related financing. What may require further consideration is the importance of developing and emerging markets, to international trade and by extension, the importance of Trade Finance and Supply Chain Finance to those emerging markets.</w:t>
      </w:r>
    </w:p>
    <w:p w14:paraId="52960488" w14:textId="77777777" w:rsidR="00AF7EBD" w:rsidRDefault="00AF7EBD" w:rsidP="00AF7EBD">
      <w:pPr>
        <w:jc w:val="both"/>
        <w:rPr>
          <w:rFonts w:ascii="Arial" w:hAnsi="Arial" w:cs="Arial"/>
          <w:sz w:val="22"/>
          <w:szCs w:val="22"/>
          <w:lang w:val="en-CA"/>
        </w:rPr>
      </w:pPr>
    </w:p>
    <w:p w14:paraId="6038BE3B" w14:textId="77777777" w:rsidR="00AF7EBD" w:rsidRDefault="00AF7EBD" w:rsidP="00AF7EBD">
      <w:pPr>
        <w:jc w:val="both"/>
        <w:rPr>
          <w:rFonts w:ascii="Arial" w:hAnsi="Arial" w:cs="Arial"/>
          <w:sz w:val="22"/>
          <w:szCs w:val="22"/>
          <w:lang w:val="en-CA"/>
        </w:rPr>
      </w:pPr>
      <w:r w:rsidRPr="00553221">
        <w:rPr>
          <w:rFonts w:ascii="Arial" w:hAnsi="Arial" w:cs="Arial"/>
          <w:sz w:val="22"/>
          <w:szCs w:val="22"/>
          <w:lang w:val="en-CA"/>
        </w:rPr>
        <w:t xml:space="preserve">This UN/CEFACT-sponsored project provides an opportunity to undertake qualitative and quantitative analysis around the opportunities and the value-creation that will flow from integrating </w:t>
      </w:r>
      <w:r>
        <w:rPr>
          <w:rFonts w:ascii="Arial" w:hAnsi="Arial" w:cs="Arial"/>
          <w:sz w:val="22"/>
          <w:szCs w:val="22"/>
          <w:lang w:val="en-CA"/>
        </w:rPr>
        <w:t xml:space="preserve">(i.e., bridging) </w:t>
      </w:r>
      <w:r w:rsidRPr="00553221">
        <w:rPr>
          <w:rFonts w:ascii="Arial" w:hAnsi="Arial" w:cs="Arial"/>
          <w:sz w:val="22"/>
          <w:szCs w:val="22"/>
          <w:lang w:val="en-CA"/>
        </w:rPr>
        <w:t xml:space="preserve">financing into Trade Facilitation activity, and to do so concurrently from the perspective of Trade Facilitation practitioners and Trade Finance and Supply Chain Finance experts. Additionally, </w:t>
      </w:r>
      <w:r>
        <w:rPr>
          <w:rFonts w:ascii="Arial" w:hAnsi="Arial" w:cs="Arial"/>
          <w:sz w:val="22"/>
          <w:szCs w:val="22"/>
          <w:lang w:val="en-CA"/>
        </w:rPr>
        <w:t xml:space="preserve">presented as </w:t>
      </w:r>
      <w:r w:rsidRPr="00553221">
        <w:rPr>
          <w:rFonts w:ascii="Arial" w:hAnsi="Arial" w:cs="Arial"/>
          <w:sz w:val="22"/>
          <w:szCs w:val="22"/>
          <w:lang w:val="en-CA"/>
        </w:rPr>
        <w:t>UN-based initiative allows for the necessary analysis to be supported through a combination of primary and secondary research.</w:t>
      </w:r>
    </w:p>
    <w:p w14:paraId="7BE6BBB1" w14:textId="77777777" w:rsidR="00AF7EBD" w:rsidRDefault="00AF7EBD" w:rsidP="00AF7EBD">
      <w:pPr>
        <w:jc w:val="both"/>
        <w:rPr>
          <w:rFonts w:ascii="Arial" w:hAnsi="Arial" w:cs="Arial"/>
          <w:sz w:val="22"/>
          <w:szCs w:val="22"/>
          <w:lang w:val="en-CA"/>
        </w:rPr>
      </w:pPr>
    </w:p>
    <w:p w14:paraId="5DBB6278" w14:textId="77777777" w:rsidR="00D714D3" w:rsidRDefault="00D714D3">
      <w:pPr>
        <w:rPr>
          <w:rFonts w:ascii="Arial" w:hAnsi="Arial" w:cs="Arial"/>
          <w:sz w:val="22"/>
          <w:szCs w:val="22"/>
          <w:lang w:val="en-CA"/>
        </w:rPr>
      </w:pPr>
      <w:r>
        <w:rPr>
          <w:rFonts w:ascii="Arial" w:hAnsi="Arial" w:cs="Arial"/>
          <w:sz w:val="22"/>
          <w:szCs w:val="22"/>
          <w:lang w:val="en-CA"/>
        </w:rPr>
        <w:br w:type="page"/>
      </w:r>
    </w:p>
    <w:p w14:paraId="78BD8875" w14:textId="77777777" w:rsidR="00D714D3" w:rsidRDefault="00D714D3" w:rsidP="00D714D3">
      <w:pPr>
        <w:pStyle w:val="Heading1"/>
      </w:pPr>
      <w:bookmarkStart w:id="45" w:name="_Toc441728572"/>
      <w:r>
        <w:lastRenderedPageBreak/>
        <w:t>Appendix</w:t>
      </w:r>
      <w:bookmarkEnd w:id="45"/>
    </w:p>
    <w:p w14:paraId="1A28DBCE" w14:textId="77777777" w:rsidR="00D714D3" w:rsidRDefault="00D714D3">
      <w:pPr>
        <w:rPr>
          <w:rFonts w:ascii="Arial" w:hAnsi="Arial" w:cs="Arial"/>
          <w:sz w:val="22"/>
          <w:szCs w:val="22"/>
          <w:lang w:val="en-CA"/>
        </w:rPr>
      </w:pPr>
    </w:p>
    <w:p w14:paraId="2C852582" w14:textId="77777777" w:rsidR="00D714D3" w:rsidRPr="00A73BD5" w:rsidRDefault="00A73BD5" w:rsidP="00D714D3">
      <w:pPr>
        <w:pStyle w:val="Heading2"/>
        <w:rPr>
          <w:szCs w:val="22"/>
        </w:rPr>
      </w:pPr>
      <w:bookmarkStart w:id="46" w:name="_Toc436042210"/>
      <w:bookmarkStart w:id="47" w:name="_Toc441728573"/>
      <w:r w:rsidRPr="00A73BD5">
        <w:rPr>
          <w:szCs w:val="22"/>
        </w:rPr>
        <w:t>TRADE FINANCE ILLUSTRATED THROUGH THE LETTER OF CREDIT</w:t>
      </w:r>
      <w:bookmarkEnd w:id="46"/>
      <w:bookmarkEnd w:id="47"/>
    </w:p>
    <w:p w14:paraId="0AFCC47F" w14:textId="77777777" w:rsidR="00D714D3" w:rsidRPr="00D05005" w:rsidRDefault="00D714D3" w:rsidP="00D714D3">
      <w:pPr>
        <w:jc w:val="both"/>
        <w:rPr>
          <w:rFonts w:ascii="Arial" w:hAnsi="Arial" w:cs="Arial"/>
          <w:sz w:val="22"/>
          <w:szCs w:val="22"/>
          <w:lang w:val="en-CA"/>
        </w:rPr>
      </w:pPr>
      <w:r>
        <w:rPr>
          <w:rFonts w:ascii="Arial" w:hAnsi="Arial" w:cs="Arial"/>
          <w:sz w:val="22"/>
          <w:szCs w:val="22"/>
          <w:lang w:val="en-CA"/>
        </w:rPr>
        <w:t>In addition to variations and combinations of the “Four Elements” of trade financing elaborated earlier, it is worth considering explicitly several characteristics of Trade Finance and Supply Chain Finance, some of which can conveniently be illustrated by reviewing the basic transaction flow of a documentary letter of credit.</w:t>
      </w:r>
    </w:p>
    <w:p w14:paraId="1E0AEE91" w14:textId="77777777" w:rsidR="00D714D3" w:rsidRPr="00D05005" w:rsidRDefault="00D714D3" w:rsidP="00D714D3">
      <w:pPr>
        <w:rPr>
          <w:rFonts w:ascii="Arial" w:hAnsi="Arial" w:cs="Arial"/>
          <w:color w:val="000080"/>
          <w:sz w:val="22"/>
          <w:szCs w:val="22"/>
        </w:rPr>
      </w:pPr>
    </w:p>
    <w:p w14:paraId="246EED85" w14:textId="77777777" w:rsidR="00D714D3" w:rsidRPr="00D05005" w:rsidRDefault="005B5790" w:rsidP="005B5790">
      <w:pPr>
        <w:pStyle w:val="Caption"/>
        <w:rPr>
          <w:rFonts w:ascii="Arial" w:hAnsi="Arial" w:cs="Arial"/>
          <w:color w:val="000080"/>
          <w:sz w:val="22"/>
          <w:szCs w:val="22"/>
        </w:rPr>
      </w:pPr>
      <w:bookmarkStart w:id="48" w:name="_Toc436042285"/>
      <w:r>
        <w:t xml:space="preserve">Figure </w:t>
      </w:r>
      <w:r>
        <w:fldChar w:fldCharType="begin"/>
      </w:r>
      <w:r>
        <w:instrText xml:space="preserve"> SEQ Figure \* ARABIC </w:instrText>
      </w:r>
      <w:r>
        <w:fldChar w:fldCharType="separate"/>
      </w:r>
      <w:r w:rsidR="00A73BD5">
        <w:rPr>
          <w:noProof/>
        </w:rPr>
        <w:t>21</w:t>
      </w:r>
      <w:r>
        <w:fldChar w:fldCharType="end"/>
      </w:r>
      <w:r>
        <w:t xml:space="preserve">: </w:t>
      </w:r>
      <w:r w:rsidRPr="005B5790">
        <w:t>Documentary Credit Transaction Flow</w:t>
      </w:r>
      <w:bookmarkEnd w:id="48"/>
    </w:p>
    <w:p w14:paraId="4E9ACDAC" w14:textId="77777777" w:rsidR="00D714D3" w:rsidRDefault="00D714D3" w:rsidP="00D714D3">
      <w:pPr>
        <w:jc w:val="center"/>
        <w:rPr>
          <w:rFonts w:ascii="Arial" w:hAnsi="Arial" w:cs="Arial"/>
          <w:sz w:val="22"/>
          <w:szCs w:val="22"/>
        </w:rPr>
      </w:pPr>
      <w:r w:rsidRPr="00FF2214">
        <w:rPr>
          <w:noProof/>
          <w:lang w:val="en-GB" w:eastAsia="en-GB"/>
        </w:rPr>
        <w:drawing>
          <wp:inline distT="0" distB="0" distL="0" distR="0" wp14:anchorId="3B240602" wp14:editId="70074E6B">
            <wp:extent cx="5143659" cy="3634740"/>
            <wp:effectExtent l="19050" t="1905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7317" cy="3651457"/>
                    </a:xfrm>
                    <a:prstGeom prst="rect">
                      <a:avLst/>
                    </a:prstGeom>
                    <a:noFill/>
                    <a:ln>
                      <a:solidFill>
                        <a:schemeClr val="accent1"/>
                      </a:solidFill>
                    </a:ln>
                  </pic:spPr>
                </pic:pic>
              </a:graphicData>
            </a:graphic>
          </wp:inline>
        </w:drawing>
      </w:r>
      <w:r>
        <w:rPr>
          <w:rFonts w:ascii="Arial" w:hAnsi="Arial" w:cs="Arial"/>
          <w:sz w:val="22"/>
          <w:szCs w:val="22"/>
        </w:rPr>
        <w:br/>
      </w:r>
    </w:p>
    <w:p w14:paraId="23D12ED4" w14:textId="77777777" w:rsidR="00D714D3" w:rsidRPr="005B5790" w:rsidRDefault="00D714D3" w:rsidP="00D714D3">
      <w:pPr>
        <w:rPr>
          <w:rStyle w:val="Emphasis"/>
        </w:rPr>
      </w:pPr>
      <w:r w:rsidRPr="005B5790">
        <w:rPr>
          <w:rStyle w:val="Emphasis"/>
        </w:rPr>
        <w:t>Source: OPUS Advisory Services International Inc.</w:t>
      </w:r>
    </w:p>
    <w:p w14:paraId="2AFE51B6" w14:textId="77777777" w:rsidR="00D714D3" w:rsidRDefault="00D714D3" w:rsidP="00D714D3">
      <w:pPr>
        <w:rPr>
          <w:rFonts w:ascii="Arial" w:hAnsi="Arial" w:cs="Arial"/>
          <w:sz w:val="22"/>
          <w:szCs w:val="22"/>
        </w:rPr>
      </w:pPr>
    </w:p>
    <w:p w14:paraId="79916CA9"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A buyer and supplier will agree to conduct trade on the basis of a documentary letter of credit in cases where their relationship has not been tested, and where trust is not yet established, or in cases where the situation in one (or both) of each actor’s markets is such that it might present a risk to the successful conclusion of the intended transaction.</w:t>
      </w:r>
    </w:p>
    <w:p w14:paraId="5B027C6A" w14:textId="77777777" w:rsidR="00D714D3" w:rsidRDefault="00D714D3" w:rsidP="00D714D3">
      <w:pPr>
        <w:jc w:val="both"/>
        <w:rPr>
          <w:rFonts w:ascii="Arial" w:hAnsi="Arial" w:cs="Arial"/>
          <w:sz w:val="22"/>
          <w:szCs w:val="22"/>
          <w:lang w:eastAsia="en-US"/>
        </w:rPr>
      </w:pPr>
    </w:p>
    <w:p w14:paraId="096BD371" w14:textId="77777777" w:rsidR="00D714D3" w:rsidRDefault="00D714D3" w:rsidP="00D714D3">
      <w:pPr>
        <w:rPr>
          <w:rFonts w:ascii="Arial" w:hAnsi="Arial" w:cs="Arial"/>
          <w:sz w:val="22"/>
          <w:szCs w:val="22"/>
          <w:lang w:eastAsia="en-US"/>
        </w:rPr>
      </w:pPr>
      <w:r>
        <w:rPr>
          <w:rFonts w:ascii="Arial" w:hAnsi="Arial" w:cs="Arial"/>
          <w:sz w:val="22"/>
          <w:szCs w:val="22"/>
          <w:lang w:eastAsia="en-US"/>
        </w:rPr>
        <w:br w:type="page"/>
      </w:r>
    </w:p>
    <w:p w14:paraId="089B3CDE"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lastRenderedPageBreak/>
        <w:t xml:space="preserve">Trade Finance </w:t>
      </w:r>
      <w:r w:rsidRPr="002B42A3">
        <w:rPr>
          <w:rFonts w:ascii="Arial" w:hAnsi="Arial" w:cs="Arial"/>
          <w:sz w:val="22"/>
          <w:szCs w:val="22"/>
          <w:lang w:eastAsia="en-US"/>
        </w:rPr>
        <w:t>assists</w:t>
      </w:r>
      <w:r>
        <w:rPr>
          <w:rFonts w:ascii="Arial" w:hAnsi="Arial" w:cs="Arial"/>
          <w:sz w:val="22"/>
          <w:szCs w:val="22"/>
          <w:lang w:eastAsia="en-US"/>
        </w:rPr>
        <w:t xml:space="preserve"> buyers and suppliers in a number of ways, with two key illustrations of such </w:t>
      </w:r>
      <w:r w:rsidRPr="002B42A3">
        <w:rPr>
          <w:rFonts w:ascii="Arial" w:hAnsi="Arial" w:cs="Arial"/>
          <w:sz w:val="22"/>
          <w:szCs w:val="22"/>
          <w:lang w:eastAsia="en-US"/>
        </w:rPr>
        <w:t>support</w:t>
      </w:r>
      <w:r>
        <w:rPr>
          <w:rFonts w:ascii="Arial" w:hAnsi="Arial" w:cs="Arial"/>
          <w:sz w:val="22"/>
          <w:szCs w:val="22"/>
          <w:lang w:eastAsia="en-US"/>
        </w:rPr>
        <w:t xml:space="preserve"> being:</w:t>
      </w:r>
    </w:p>
    <w:p w14:paraId="467AC792" w14:textId="77777777" w:rsidR="00D714D3" w:rsidRDefault="00D714D3" w:rsidP="00D714D3">
      <w:pPr>
        <w:jc w:val="both"/>
        <w:rPr>
          <w:rFonts w:ascii="Arial" w:hAnsi="Arial" w:cs="Arial"/>
          <w:sz w:val="22"/>
          <w:szCs w:val="22"/>
          <w:lang w:eastAsia="en-US"/>
        </w:rPr>
      </w:pPr>
    </w:p>
    <w:p w14:paraId="6F470B58" w14:textId="77777777" w:rsidR="00D714D3" w:rsidRDefault="00D714D3" w:rsidP="00D714D3">
      <w:pPr>
        <w:pStyle w:val="ListParagraph"/>
        <w:numPr>
          <w:ilvl w:val="0"/>
          <w:numId w:val="4"/>
        </w:numPr>
        <w:jc w:val="both"/>
        <w:rPr>
          <w:rFonts w:ascii="Arial" w:hAnsi="Arial" w:cs="Arial"/>
          <w:sz w:val="22"/>
          <w:szCs w:val="22"/>
          <w:lang w:eastAsia="en-US"/>
        </w:rPr>
      </w:pPr>
      <w:r>
        <w:rPr>
          <w:rFonts w:ascii="Arial" w:hAnsi="Arial" w:cs="Arial"/>
          <w:sz w:val="22"/>
          <w:szCs w:val="22"/>
          <w:lang w:eastAsia="en-US"/>
        </w:rPr>
        <w:t>Credit Enhancement</w:t>
      </w:r>
    </w:p>
    <w:p w14:paraId="138B30F9" w14:textId="77777777" w:rsidR="00D714D3" w:rsidRDefault="00D714D3" w:rsidP="00D714D3">
      <w:pPr>
        <w:pStyle w:val="ListParagraph"/>
        <w:numPr>
          <w:ilvl w:val="0"/>
          <w:numId w:val="4"/>
        </w:numPr>
        <w:jc w:val="both"/>
        <w:rPr>
          <w:rFonts w:ascii="Arial" w:hAnsi="Arial" w:cs="Arial"/>
          <w:sz w:val="22"/>
          <w:szCs w:val="22"/>
          <w:lang w:eastAsia="en-US"/>
        </w:rPr>
      </w:pPr>
      <w:r>
        <w:rPr>
          <w:rFonts w:ascii="Arial" w:hAnsi="Arial" w:cs="Arial"/>
          <w:sz w:val="22"/>
          <w:szCs w:val="22"/>
          <w:lang w:eastAsia="en-US"/>
        </w:rPr>
        <w:t>Risk Substitution</w:t>
      </w:r>
    </w:p>
    <w:p w14:paraId="5DE279A0" w14:textId="77777777" w:rsidR="00D714D3" w:rsidRDefault="00D714D3" w:rsidP="00D714D3">
      <w:pPr>
        <w:jc w:val="both"/>
        <w:rPr>
          <w:rFonts w:ascii="Arial" w:hAnsi="Arial" w:cs="Arial"/>
          <w:sz w:val="22"/>
          <w:szCs w:val="22"/>
          <w:lang w:eastAsia="en-US"/>
        </w:rPr>
      </w:pPr>
    </w:p>
    <w:p w14:paraId="5460DFAB"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 xml:space="preserve">Credit enhancement refers to the ability of buyers and suppliers to improve the credit risk profile of a transaction, through </w:t>
      </w:r>
      <w:r w:rsidRPr="002B42A3">
        <w:rPr>
          <w:rFonts w:ascii="Arial" w:hAnsi="Arial" w:cs="Arial"/>
          <w:sz w:val="22"/>
          <w:szCs w:val="22"/>
          <w:lang w:eastAsia="en-US"/>
        </w:rPr>
        <w:t>the involvement of reputable financial institutions</w:t>
      </w:r>
      <w:r>
        <w:rPr>
          <w:rFonts w:ascii="Arial" w:hAnsi="Arial" w:cs="Arial"/>
          <w:sz w:val="22"/>
          <w:szCs w:val="22"/>
          <w:lang w:eastAsia="en-US"/>
        </w:rPr>
        <w:t>. Concretely, a buyer and supplier could easily agree to do business together directly, with little or no third-party involvement. In such a case, the supplier is entirely at the mercy of the buyer’s willingness and ability to make payment as agreed. In the event the buyer goes bankrupt – an outcome related to credit quality – the supplier may well have already produced and shipped the goods, which the buyer may already have sold. The supplier faces the prospect of significant financial loss, which for an SME could lead to bankruptcy.</w:t>
      </w:r>
    </w:p>
    <w:p w14:paraId="23717638" w14:textId="77777777" w:rsidR="00D714D3" w:rsidRDefault="00D714D3" w:rsidP="00D714D3">
      <w:pPr>
        <w:jc w:val="both"/>
        <w:rPr>
          <w:rFonts w:ascii="Arial" w:hAnsi="Arial" w:cs="Arial"/>
          <w:sz w:val="22"/>
          <w:szCs w:val="22"/>
          <w:lang w:eastAsia="en-US"/>
        </w:rPr>
      </w:pPr>
    </w:p>
    <w:p w14:paraId="52D106AD"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The buyer, under similar circumstances, may have made partial or full payment upon shipment of the goods, and may find on receipt of the container, that the goods are of materially inferior quality, or otherwise not as agreed. The buyer may be unable to sell the goods to existing customers and may be forced to sell at substantial discount, or may find that the goods are so inferior that they fail to meet regulatory standards and are refused entry.</w:t>
      </w:r>
    </w:p>
    <w:p w14:paraId="37FA0DDD" w14:textId="77777777" w:rsidR="00D714D3" w:rsidRDefault="00D714D3" w:rsidP="00D714D3">
      <w:pPr>
        <w:jc w:val="both"/>
        <w:rPr>
          <w:rFonts w:ascii="Arial" w:hAnsi="Arial" w:cs="Arial"/>
          <w:sz w:val="22"/>
          <w:szCs w:val="22"/>
          <w:lang w:eastAsia="en-US"/>
        </w:rPr>
      </w:pPr>
    </w:p>
    <w:p w14:paraId="0EF2AA29"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 xml:space="preserve">In both cases, </w:t>
      </w:r>
      <w:r w:rsidRPr="00706697">
        <w:rPr>
          <w:rFonts w:ascii="Arial" w:hAnsi="Arial" w:cs="Arial"/>
          <w:sz w:val="22"/>
          <w:szCs w:val="22"/>
          <w:lang w:eastAsia="en-US"/>
        </w:rPr>
        <w:t>involving reputable financial institutions</w:t>
      </w:r>
      <w:r>
        <w:rPr>
          <w:rFonts w:ascii="Arial" w:hAnsi="Arial" w:cs="Arial"/>
          <w:sz w:val="22"/>
          <w:szCs w:val="22"/>
          <w:lang w:eastAsia="en-US"/>
        </w:rPr>
        <w:t xml:space="preserve"> as trusted intermediaries in a trade transaction addresses each party’s concerns. A means to such involvement is the use of the documentary letter of credit.</w:t>
      </w:r>
    </w:p>
    <w:p w14:paraId="0E769654" w14:textId="77777777" w:rsidR="00D714D3" w:rsidRDefault="00D714D3" w:rsidP="00D714D3">
      <w:pPr>
        <w:jc w:val="both"/>
        <w:rPr>
          <w:rFonts w:ascii="Arial" w:hAnsi="Arial" w:cs="Arial"/>
          <w:sz w:val="22"/>
          <w:szCs w:val="22"/>
          <w:lang w:eastAsia="en-US"/>
        </w:rPr>
      </w:pPr>
    </w:p>
    <w:p w14:paraId="7671C72A"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 xml:space="preserve">A documentary credit is an instrument that represents a binding payment promise or undertaking by the bank issuing the letter of credit (the Issuing Bank) on behalf of the buyer, where the letter of credit specifies the terms and conditions agreed in advance between </w:t>
      </w:r>
      <w:r w:rsidRPr="00706697">
        <w:rPr>
          <w:rFonts w:ascii="Arial" w:hAnsi="Arial" w:cs="Arial"/>
          <w:sz w:val="22"/>
          <w:szCs w:val="22"/>
          <w:lang w:eastAsia="en-US"/>
        </w:rPr>
        <w:t>buyer</w:t>
      </w:r>
      <w:r>
        <w:rPr>
          <w:rFonts w:ascii="Arial" w:hAnsi="Arial" w:cs="Arial"/>
          <w:sz w:val="22"/>
          <w:szCs w:val="22"/>
          <w:lang w:eastAsia="en-US"/>
        </w:rPr>
        <w:t xml:space="preserve"> and </w:t>
      </w:r>
      <w:r w:rsidRPr="00706697">
        <w:rPr>
          <w:rFonts w:ascii="Arial" w:hAnsi="Arial" w:cs="Arial"/>
          <w:sz w:val="22"/>
          <w:szCs w:val="22"/>
          <w:lang w:eastAsia="en-US"/>
        </w:rPr>
        <w:t>s</w:t>
      </w:r>
      <w:r>
        <w:rPr>
          <w:rFonts w:ascii="Arial" w:hAnsi="Arial" w:cs="Arial"/>
          <w:sz w:val="22"/>
          <w:szCs w:val="22"/>
          <w:lang w:eastAsia="en-US"/>
        </w:rPr>
        <w:t>upplier, under which payment will be effected to the supplier. As banks do not engage directly in the underlying transaction</w:t>
      </w:r>
      <w:r>
        <w:rPr>
          <w:rStyle w:val="FootnoteReference"/>
          <w:rFonts w:ascii="Arial" w:hAnsi="Arial" w:cs="Arial"/>
          <w:sz w:val="22"/>
          <w:szCs w:val="22"/>
          <w:lang w:eastAsia="en-US"/>
        </w:rPr>
        <w:footnoteReference w:id="12"/>
      </w:r>
      <w:r>
        <w:rPr>
          <w:rFonts w:ascii="Arial" w:hAnsi="Arial" w:cs="Arial"/>
          <w:sz w:val="22"/>
          <w:szCs w:val="22"/>
          <w:lang w:eastAsia="en-US"/>
        </w:rPr>
        <w:t>, the agreed conditions are to be reflected in a series of documents, which the supplier must prepare, gather and submit in support of an eventual request for payment under the credit: hence, the term “documentary” credit.</w:t>
      </w:r>
    </w:p>
    <w:p w14:paraId="05F28E5F" w14:textId="77777777" w:rsidR="00D714D3" w:rsidRDefault="00D714D3" w:rsidP="00D714D3">
      <w:pPr>
        <w:jc w:val="both"/>
        <w:rPr>
          <w:rFonts w:ascii="Arial" w:hAnsi="Arial" w:cs="Arial"/>
          <w:sz w:val="22"/>
          <w:szCs w:val="22"/>
          <w:lang w:eastAsia="en-US"/>
        </w:rPr>
      </w:pPr>
    </w:p>
    <w:p w14:paraId="454C8C95"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The documents prepared by the supplier are presented to the banks for verification against the terms and conditions specified in the documentary credit (which is typically transmitted between banks using the SWIFT network and the appropriate formatted message), and upon verification of compliance with the terms of the credit, payment as agreed is triggered.</w:t>
      </w:r>
    </w:p>
    <w:p w14:paraId="24BA0134" w14:textId="77777777" w:rsidR="00D714D3" w:rsidRDefault="00D714D3" w:rsidP="00D714D3">
      <w:pPr>
        <w:jc w:val="both"/>
        <w:rPr>
          <w:rFonts w:ascii="Arial" w:hAnsi="Arial" w:cs="Arial"/>
          <w:sz w:val="22"/>
          <w:szCs w:val="22"/>
          <w:lang w:eastAsia="en-US"/>
        </w:rPr>
      </w:pPr>
    </w:p>
    <w:p w14:paraId="0ECCEFE6"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 xml:space="preserve">The payment is due to a compliant supplier, regardless of the ability or willingness of the buyer to make payment: this assures the supplier that if a set of documents is fully compliant, payment will be made, even if, for example, the buyer files for bankruptcy in the interim. In practical terms, the use of a letter of credit has allowed a supplier to substitute the credit risk of dealing with an unknown foreign buyer in what might be an </w:t>
      </w:r>
      <w:r>
        <w:rPr>
          <w:rFonts w:ascii="Arial" w:hAnsi="Arial" w:cs="Arial"/>
          <w:sz w:val="22"/>
          <w:szCs w:val="22"/>
          <w:lang w:eastAsia="en-US"/>
        </w:rPr>
        <w:lastRenderedPageBreak/>
        <w:t>unfamiliar market, with the (generally better, or higher-quality) risk of a reputable financial institution – in the simplest structures, that of the Issuing Bank</w:t>
      </w:r>
      <w:r>
        <w:rPr>
          <w:rStyle w:val="FootnoteReference"/>
          <w:rFonts w:ascii="Arial" w:hAnsi="Arial" w:cs="Arial"/>
          <w:sz w:val="22"/>
          <w:szCs w:val="22"/>
          <w:lang w:eastAsia="en-US"/>
        </w:rPr>
        <w:footnoteReference w:id="13"/>
      </w:r>
      <w:r>
        <w:rPr>
          <w:rFonts w:ascii="Arial" w:hAnsi="Arial" w:cs="Arial"/>
          <w:sz w:val="22"/>
          <w:szCs w:val="22"/>
          <w:lang w:eastAsia="en-US"/>
        </w:rPr>
        <w:t xml:space="preserve">. </w:t>
      </w:r>
    </w:p>
    <w:p w14:paraId="671C1362" w14:textId="77777777" w:rsidR="00D714D3" w:rsidRDefault="00D714D3" w:rsidP="00D714D3">
      <w:pPr>
        <w:jc w:val="both"/>
        <w:rPr>
          <w:rFonts w:ascii="Arial" w:hAnsi="Arial" w:cs="Arial"/>
          <w:sz w:val="22"/>
          <w:szCs w:val="22"/>
          <w:lang w:eastAsia="en-US"/>
        </w:rPr>
      </w:pPr>
    </w:p>
    <w:p w14:paraId="3B2085B9"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If a supplier should feel uncomfortable in relying on the Issuing Bank, or feel that the buyer’s (usually also the Issuing Bank’s) home country is unstable and presents a risk in terms of payment, the supplier can seek an additional and independent payment undertaking under that same letter of credit. This is a feature called a “Confirmation”, whereby another bank, usually the supplier’s bank, adds its own independent payment promise to the credit, assuring payment in the event of full compliance, for a fee. This option allows the supplier to do more than just substitute the risk of the buyer with that of the Issuing Bank; it enables the supplier to substitute the risk of the Issuing Bank with that of the Confirming Bank, typically located in the supplier’s home country and thus subject to similar, and familiar, legal obligations and the same secure, stable environment.</w:t>
      </w:r>
    </w:p>
    <w:p w14:paraId="69B6CBFE" w14:textId="77777777" w:rsidR="00D714D3" w:rsidRDefault="00D714D3" w:rsidP="00D714D3">
      <w:pPr>
        <w:jc w:val="both"/>
        <w:rPr>
          <w:rFonts w:ascii="Arial" w:hAnsi="Arial" w:cs="Arial"/>
          <w:sz w:val="22"/>
          <w:szCs w:val="22"/>
          <w:lang w:eastAsia="en-US"/>
        </w:rPr>
      </w:pPr>
    </w:p>
    <w:p w14:paraId="24BCBB8C"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 xml:space="preserve">Just as the supplier is assured of payment in the event of full compliance, the buyer benefits from the assurance that payment will not be made without explicit approval from the buyer in the event of </w:t>
      </w:r>
      <w:r w:rsidRPr="00884D86">
        <w:rPr>
          <w:rFonts w:ascii="Arial" w:hAnsi="Arial" w:cs="Arial"/>
          <w:sz w:val="22"/>
          <w:szCs w:val="22"/>
          <w:lang w:eastAsia="en-US"/>
        </w:rPr>
        <w:t>non</w:t>
      </w:r>
      <w:r>
        <w:rPr>
          <w:rFonts w:ascii="Arial" w:hAnsi="Arial" w:cs="Arial"/>
          <w:sz w:val="22"/>
          <w:szCs w:val="22"/>
          <w:lang w:eastAsia="en-US"/>
        </w:rPr>
        <w:t>-compliance relative to the terms and conditions of the letter of credit.</w:t>
      </w:r>
    </w:p>
    <w:p w14:paraId="7773AF64" w14:textId="77777777" w:rsidR="00D714D3" w:rsidRDefault="00D714D3" w:rsidP="00D714D3">
      <w:pPr>
        <w:jc w:val="both"/>
        <w:rPr>
          <w:rFonts w:ascii="Arial" w:hAnsi="Arial" w:cs="Arial"/>
          <w:sz w:val="22"/>
          <w:szCs w:val="22"/>
          <w:lang w:eastAsia="en-US"/>
        </w:rPr>
      </w:pPr>
    </w:p>
    <w:p w14:paraId="2C1C7EBF"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Trade finance mechanisms and structures also allow buyers and suppliers (and bankers) to engage in risk transfer. In the example of the role of a Confirming Bank above, the supplier not only enhances the overall credit quality of the transaction, but also effectively transfers risk from a commercial risk in a foreign market, to bank risk in the supplier’s home market: typically a significant improvement when Confirmations are sought by a supplier.</w:t>
      </w:r>
    </w:p>
    <w:p w14:paraId="5C37431F" w14:textId="77777777" w:rsidR="00D714D3" w:rsidRDefault="00D714D3" w:rsidP="00D714D3">
      <w:pPr>
        <w:jc w:val="both"/>
        <w:rPr>
          <w:rFonts w:ascii="Arial" w:hAnsi="Arial" w:cs="Arial"/>
          <w:sz w:val="22"/>
          <w:szCs w:val="22"/>
          <w:lang w:eastAsia="en-US"/>
        </w:rPr>
      </w:pPr>
    </w:p>
    <w:p w14:paraId="4F16DF04"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The use of insurance and guarantee mechanisms, likewise, represents a transfer of risk between parties and/or across markets and jurisdictions. A trade transaction involving a high-risk market can benefit from risk transfer, for example, when an export credit agency in a supplier’s home market covers political risk, enabling the conduct of trade that might otherwise not take place.</w:t>
      </w:r>
    </w:p>
    <w:p w14:paraId="3B7685BA" w14:textId="77777777" w:rsidR="00D714D3" w:rsidRDefault="00D714D3" w:rsidP="00D714D3">
      <w:pPr>
        <w:jc w:val="both"/>
        <w:rPr>
          <w:rFonts w:ascii="Arial" w:hAnsi="Arial" w:cs="Arial"/>
          <w:sz w:val="22"/>
          <w:szCs w:val="22"/>
          <w:lang w:eastAsia="en-US"/>
        </w:rPr>
      </w:pPr>
    </w:p>
    <w:p w14:paraId="4CF51247"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Traditional Trade Finance, including documentary credit transactions, benefits from hundreds of years of usage and history, a well-established set of globally understood rules, guidelines and practices mostly developed and promulgated by the International Chamber of Commerce (ICC) Banking Commission</w:t>
      </w:r>
      <w:r>
        <w:rPr>
          <w:rStyle w:val="FootnoteReference"/>
          <w:rFonts w:ascii="Arial" w:hAnsi="Arial" w:cs="Arial"/>
          <w:sz w:val="22"/>
          <w:szCs w:val="22"/>
          <w:lang w:eastAsia="en-US"/>
        </w:rPr>
        <w:footnoteReference w:id="14"/>
      </w:r>
      <w:r>
        <w:rPr>
          <w:rFonts w:ascii="Arial" w:hAnsi="Arial" w:cs="Arial"/>
          <w:sz w:val="22"/>
          <w:szCs w:val="22"/>
          <w:lang w:eastAsia="en-US"/>
        </w:rPr>
        <w:t xml:space="preserve"> headquartered in Paris, France. That framework of rules and processes is indispensable to the effective conduct of trade across the globe, and has been integrated through interpretation and precedent, into the major legal systems in the world.</w:t>
      </w:r>
    </w:p>
    <w:p w14:paraId="70CB023C" w14:textId="77777777" w:rsidR="00D714D3" w:rsidRDefault="00D714D3" w:rsidP="00D714D3">
      <w:pPr>
        <w:jc w:val="both"/>
        <w:rPr>
          <w:rFonts w:ascii="Arial" w:hAnsi="Arial" w:cs="Arial"/>
          <w:sz w:val="22"/>
          <w:szCs w:val="22"/>
          <w:lang w:eastAsia="en-US"/>
        </w:rPr>
      </w:pPr>
    </w:p>
    <w:p w14:paraId="3721ACD6" w14:textId="77777777" w:rsidR="00A05031" w:rsidRDefault="00D714D3" w:rsidP="00D714D3">
      <w:pPr>
        <w:jc w:val="both"/>
        <w:rPr>
          <w:rFonts w:ascii="Arial" w:hAnsi="Arial" w:cs="Arial"/>
          <w:sz w:val="22"/>
          <w:szCs w:val="22"/>
          <w:lang w:eastAsia="en-US"/>
        </w:rPr>
      </w:pPr>
      <w:r>
        <w:rPr>
          <w:rFonts w:ascii="Arial" w:hAnsi="Arial" w:cs="Arial"/>
          <w:sz w:val="22"/>
          <w:szCs w:val="22"/>
          <w:lang w:eastAsia="en-US"/>
        </w:rPr>
        <w:t xml:space="preserve">It is important to appreciate that while a buyer typically applies for a documentary credit through its own bank (as it is necessary from the bank’s perspective, for a credit relationship to exist and for regulatory requirements around due diligence to be met), the nature of a letter of credit in purest form requires that the Issuing Bank make its </w:t>
      </w:r>
      <w:r>
        <w:rPr>
          <w:rFonts w:ascii="Arial" w:hAnsi="Arial" w:cs="Arial"/>
          <w:sz w:val="22"/>
          <w:szCs w:val="22"/>
          <w:lang w:eastAsia="en-US"/>
        </w:rPr>
        <w:lastRenderedPageBreak/>
        <w:t>determinations of compliance by the supplier, independently of the relationship with the buyer. Similarly</w:t>
      </w:r>
      <w:r w:rsidR="00A05031">
        <w:rPr>
          <w:rFonts w:ascii="Arial" w:hAnsi="Arial" w:cs="Arial"/>
          <w:sz w:val="22"/>
          <w:szCs w:val="22"/>
          <w:lang w:eastAsia="en-US"/>
        </w:rPr>
        <w:t>,</w:t>
      </w:r>
      <w:r>
        <w:rPr>
          <w:rFonts w:ascii="Arial" w:hAnsi="Arial" w:cs="Arial"/>
          <w:sz w:val="22"/>
          <w:szCs w:val="22"/>
          <w:lang w:eastAsia="en-US"/>
        </w:rPr>
        <w:t xml:space="preserve"> a bank acting on the supplier side of the transaction may have a relationship with the supplier, though this is not necessary; if the terms of the letter of credit allow that bank to make a payment decision,</w:t>
      </w:r>
      <w:r w:rsidR="00A05031">
        <w:rPr>
          <w:rFonts w:ascii="Arial" w:hAnsi="Arial" w:cs="Arial"/>
          <w:sz w:val="22"/>
          <w:szCs w:val="22"/>
          <w:lang w:eastAsia="en-US"/>
        </w:rPr>
        <w:t xml:space="preserve"> such</w:t>
      </w:r>
      <w:r>
        <w:rPr>
          <w:rFonts w:ascii="Arial" w:hAnsi="Arial" w:cs="Arial"/>
          <w:sz w:val="22"/>
          <w:szCs w:val="22"/>
          <w:lang w:eastAsia="en-US"/>
        </w:rPr>
        <w:t xml:space="preserve"> decision should also be made independently, strictly on the basis of compliance or non-compliance with letter of credit terms.</w:t>
      </w:r>
    </w:p>
    <w:p w14:paraId="21F05D18"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In practice, the document verification standards and competencies of banks can vary significantly, and it is not uncommon for banks to give a great deal of consideration to their respective clients’ objectives and preferences. In the event that a shipment involves a price-volatile commodity, for example, a buyer may face a situation where the price of the commodity has dropped signif</w:t>
      </w:r>
      <w:r w:rsidR="00A05031">
        <w:rPr>
          <w:rFonts w:ascii="Arial" w:hAnsi="Arial" w:cs="Arial"/>
          <w:sz w:val="22"/>
          <w:szCs w:val="22"/>
          <w:lang w:eastAsia="en-US"/>
        </w:rPr>
        <w:t>icantly and the buyer (paying a</w:t>
      </w:r>
      <w:r>
        <w:rPr>
          <w:rFonts w:ascii="Arial" w:hAnsi="Arial" w:cs="Arial"/>
          <w:sz w:val="22"/>
          <w:szCs w:val="22"/>
          <w:lang w:eastAsia="en-US"/>
        </w:rPr>
        <w:t xml:space="preserve"> price agreed earlier) pays too much given the moment in time. In such cases, buyers may (inappropriately) instruct the Issuing </w:t>
      </w:r>
      <w:r w:rsidRPr="00CC2447">
        <w:rPr>
          <w:rFonts w:ascii="Arial" w:hAnsi="Arial" w:cs="Arial"/>
          <w:sz w:val="22"/>
          <w:szCs w:val="22"/>
          <w:lang w:eastAsia="en-US"/>
        </w:rPr>
        <w:t>Bank</w:t>
      </w:r>
      <w:r>
        <w:rPr>
          <w:rFonts w:ascii="Arial" w:hAnsi="Arial" w:cs="Arial"/>
          <w:sz w:val="22"/>
          <w:szCs w:val="22"/>
          <w:lang w:eastAsia="en-US"/>
        </w:rPr>
        <w:t xml:space="preserve"> to ‘find a discrepancy’ in order to avoid payment, or as leverage against the supplier, to demand a discount.</w:t>
      </w:r>
    </w:p>
    <w:p w14:paraId="1D3022E9" w14:textId="77777777" w:rsidR="00D714D3" w:rsidRDefault="00D714D3" w:rsidP="00D714D3">
      <w:pPr>
        <w:jc w:val="both"/>
        <w:rPr>
          <w:rFonts w:ascii="Arial" w:hAnsi="Arial" w:cs="Arial"/>
          <w:sz w:val="22"/>
          <w:szCs w:val="22"/>
          <w:lang w:eastAsia="en-US"/>
        </w:rPr>
      </w:pPr>
    </w:p>
    <w:p w14:paraId="5AB7F92B"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 xml:space="preserve">A bank can decide that its verification process will be based on the notion of ‘strict compliance’, in which case a payment could be refused or delayed as a result of a trivial instance of non-compliance by the supplier. Another bank, perhaps involved in the same transaction, might be guided by the notion of ‘substantial compliance’, where only commercially material instances of non-compliance or ‘discrepancy’ relative to letter of credit terms will be recognized. In other words, trivial discrepancies are ignored and only those that affect the intent/agreement between the buyer and the supplier are identified as instances of non-compliance. In this approach, a level of technical expertise is required that ensures commercially sensible decisions are taken. </w:t>
      </w:r>
    </w:p>
    <w:p w14:paraId="5EDECD1F" w14:textId="77777777" w:rsidR="00D714D3" w:rsidRDefault="00D714D3" w:rsidP="00D714D3">
      <w:pPr>
        <w:jc w:val="both"/>
        <w:rPr>
          <w:rFonts w:ascii="Arial" w:hAnsi="Arial" w:cs="Arial"/>
          <w:sz w:val="22"/>
          <w:szCs w:val="22"/>
          <w:lang w:eastAsia="en-US"/>
        </w:rPr>
      </w:pPr>
    </w:p>
    <w:p w14:paraId="24700AAF"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In the event of disagreement between banks, the transaction may become complicated, with one institution deeming that payment is due, and another determining that an export drawing or request for payment is non-compliant. If the issues of non-compliance cannot be corrected by the supplier, for example if the cargo was shipped later than agreed, resolution becomes a matter of negotiation with the buyer ultimately having the option to waive the discrepancies identified in the documentation and authorize payment.</w:t>
      </w:r>
    </w:p>
    <w:p w14:paraId="7956AF0B" w14:textId="77777777" w:rsidR="00D714D3" w:rsidRDefault="00D714D3" w:rsidP="00D714D3">
      <w:pPr>
        <w:jc w:val="both"/>
        <w:rPr>
          <w:rFonts w:ascii="Arial" w:hAnsi="Arial" w:cs="Arial"/>
          <w:sz w:val="22"/>
          <w:szCs w:val="22"/>
          <w:lang w:eastAsia="en-US"/>
        </w:rPr>
      </w:pPr>
    </w:p>
    <w:p w14:paraId="0D86202D"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The letter of credit can work very well. However, an underlying reality is that no single Trade Finance instrument or mechanism can fully protect against or prevent fraud, and the conduct of trade ultimately relies on good will and a genuine desire on the part of the buyer and supplier to conclude a transaction. Even with such good will, the reality of these instruments is that they are relatively complicated, cumbersome and expensive; it has been the case over the last two decades at least, that anywhere between 60-80% of documents presented by suppliers with a request for payment are found to be non-compliant on initial presentation.</w:t>
      </w:r>
    </w:p>
    <w:p w14:paraId="6D8D1677" w14:textId="77777777" w:rsidR="00D714D3" w:rsidRDefault="00D714D3" w:rsidP="00D714D3">
      <w:pPr>
        <w:jc w:val="both"/>
        <w:rPr>
          <w:rFonts w:ascii="Arial" w:hAnsi="Arial" w:cs="Arial"/>
          <w:sz w:val="22"/>
          <w:szCs w:val="22"/>
          <w:lang w:eastAsia="en-US"/>
        </w:rPr>
      </w:pPr>
    </w:p>
    <w:p w14:paraId="58A3D54E"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These realities contribute to a near-global shift away from the use of documentary letters of credit, in favor of trade on ‘open account</w:t>
      </w:r>
      <w:r>
        <w:rPr>
          <w:rStyle w:val="FootnoteReference"/>
          <w:rFonts w:ascii="Arial" w:hAnsi="Arial" w:cs="Arial"/>
          <w:sz w:val="22"/>
          <w:szCs w:val="22"/>
          <w:lang w:eastAsia="en-US"/>
        </w:rPr>
        <w:footnoteReference w:id="15"/>
      </w:r>
      <w:r>
        <w:rPr>
          <w:rFonts w:ascii="Arial" w:hAnsi="Arial" w:cs="Arial"/>
          <w:sz w:val="22"/>
          <w:szCs w:val="22"/>
          <w:lang w:eastAsia="en-US"/>
        </w:rPr>
        <w:t xml:space="preserve"> terms’, even in the context of new relationships or risky markets, and it is as a direct result of this transformation that the momentum has shifted to open account solutions under the broad term “Supply Chain Finance”.</w:t>
      </w:r>
    </w:p>
    <w:p w14:paraId="203AF7C4" w14:textId="77777777" w:rsidR="00D714D3" w:rsidRDefault="00D714D3" w:rsidP="00D714D3">
      <w:pPr>
        <w:jc w:val="both"/>
        <w:rPr>
          <w:rFonts w:ascii="Arial" w:hAnsi="Arial" w:cs="Arial"/>
          <w:sz w:val="22"/>
          <w:szCs w:val="22"/>
          <w:lang w:eastAsia="en-US"/>
        </w:rPr>
      </w:pPr>
    </w:p>
    <w:p w14:paraId="113FD94C"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lastRenderedPageBreak/>
        <w:t>Additionally, there have been some very notable and potentially transformational developments in the application of technology to the business of Trade Finance. The SWIFT/ICC Bank Payment Obligation</w:t>
      </w:r>
      <w:r>
        <w:rPr>
          <w:rStyle w:val="FootnoteReference"/>
          <w:rFonts w:ascii="Arial" w:hAnsi="Arial" w:cs="Arial"/>
          <w:sz w:val="22"/>
          <w:szCs w:val="22"/>
          <w:lang w:eastAsia="en-US"/>
        </w:rPr>
        <w:footnoteReference w:id="16"/>
      </w:r>
      <w:r>
        <w:rPr>
          <w:rFonts w:ascii="Arial" w:hAnsi="Arial" w:cs="Arial"/>
          <w:sz w:val="22"/>
          <w:szCs w:val="22"/>
          <w:lang w:eastAsia="en-US"/>
        </w:rPr>
        <w:t xml:space="preserve"> proposes a data-driven and automated model of trade settlement and financing, with many of the features and flexibility available in traditional documentary credits; there is, relatedly, some promising progress around the dematerialization of documents, including the long-elusive electronic bill of lading, as well as significant market focus on electronic invoicing. </w:t>
      </w:r>
    </w:p>
    <w:p w14:paraId="597FE9D6" w14:textId="77777777" w:rsidR="00D714D3" w:rsidRDefault="00D714D3" w:rsidP="00D714D3">
      <w:pPr>
        <w:jc w:val="both"/>
        <w:rPr>
          <w:rFonts w:ascii="Arial" w:hAnsi="Arial" w:cs="Arial"/>
          <w:sz w:val="22"/>
          <w:szCs w:val="22"/>
          <w:lang w:eastAsia="en-US"/>
        </w:rPr>
      </w:pPr>
    </w:p>
    <w:p w14:paraId="1B3A9D8C" w14:textId="77777777" w:rsidR="00D714D3" w:rsidRDefault="00D714D3" w:rsidP="00D714D3">
      <w:pPr>
        <w:jc w:val="both"/>
        <w:rPr>
          <w:rFonts w:ascii="Arial" w:hAnsi="Arial" w:cs="Arial"/>
          <w:sz w:val="22"/>
          <w:szCs w:val="22"/>
          <w:lang w:eastAsia="en-US"/>
        </w:rPr>
      </w:pPr>
      <w:r>
        <w:rPr>
          <w:rFonts w:ascii="Arial" w:hAnsi="Arial" w:cs="Arial"/>
          <w:sz w:val="22"/>
          <w:szCs w:val="22"/>
          <w:lang w:eastAsia="en-US"/>
        </w:rPr>
        <w:t>Each of these developments can enable direct and practical linkage of platform-based Single Window models with advanced trade financing options.</w:t>
      </w:r>
    </w:p>
    <w:p w14:paraId="32BABF6E" w14:textId="77777777" w:rsidR="00A73BD5" w:rsidRDefault="00A73BD5">
      <w:pPr>
        <w:rPr>
          <w:rFonts w:ascii="Arial" w:hAnsi="Arial"/>
          <w:b/>
          <w:i/>
          <w:sz w:val="28"/>
          <w:lang w:val="en-CA"/>
        </w:rPr>
      </w:pPr>
      <w:r>
        <w:br w:type="page"/>
      </w:r>
    </w:p>
    <w:p w14:paraId="414EA1F2" w14:textId="77777777" w:rsidR="0072426B" w:rsidRPr="00A73BD5" w:rsidRDefault="00A73BD5" w:rsidP="00A73BD5">
      <w:pPr>
        <w:pStyle w:val="Heading2"/>
      </w:pPr>
      <w:bookmarkStart w:id="49" w:name="_Toc436042211"/>
      <w:bookmarkStart w:id="50" w:name="_Toc441728574"/>
      <w:r w:rsidRPr="00A73BD5">
        <w:lastRenderedPageBreak/>
        <w:t>PAIN POINTS AND CHALLENGES IN FINANCING TRADE</w:t>
      </w:r>
      <w:bookmarkEnd w:id="49"/>
      <w:bookmarkEnd w:id="50"/>
    </w:p>
    <w:p w14:paraId="00A7A998" w14:textId="77777777" w:rsidR="00FC01CD" w:rsidRDefault="00FC01CD" w:rsidP="0072426B">
      <w:pPr>
        <w:jc w:val="both"/>
        <w:rPr>
          <w:rFonts w:ascii="Arial" w:hAnsi="Arial" w:cs="Arial"/>
          <w:sz w:val="22"/>
          <w:szCs w:val="22"/>
          <w:lang w:val="en-GB"/>
        </w:rPr>
      </w:pPr>
      <w:r>
        <w:rPr>
          <w:rFonts w:ascii="Arial" w:hAnsi="Arial" w:cs="Arial"/>
          <w:sz w:val="22"/>
          <w:szCs w:val="22"/>
          <w:lang w:val="en-GB"/>
        </w:rPr>
        <w:t xml:space="preserve">There are numerous “pain points” in the </w:t>
      </w:r>
      <w:r w:rsidRPr="00585F18">
        <w:rPr>
          <w:rFonts w:ascii="Arial" w:hAnsi="Arial" w:cs="Arial"/>
          <w:sz w:val="22"/>
          <w:szCs w:val="22"/>
          <w:lang w:val="en-GB"/>
        </w:rPr>
        <w:t>business</w:t>
      </w:r>
      <w:r>
        <w:rPr>
          <w:rFonts w:ascii="Arial" w:hAnsi="Arial" w:cs="Arial"/>
          <w:sz w:val="22"/>
          <w:szCs w:val="22"/>
          <w:lang w:val="en-GB"/>
        </w:rPr>
        <w:t xml:space="preserve"> of </w:t>
      </w:r>
      <w:r w:rsidR="00DB507A">
        <w:rPr>
          <w:rFonts w:ascii="Arial" w:hAnsi="Arial" w:cs="Arial"/>
          <w:sz w:val="22"/>
          <w:szCs w:val="22"/>
          <w:lang w:val="en-GB"/>
        </w:rPr>
        <w:t>T</w:t>
      </w:r>
      <w:r>
        <w:rPr>
          <w:rFonts w:ascii="Arial" w:hAnsi="Arial" w:cs="Arial"/>
          <w:sz w:val="22"/>
          <w:szCs w:val="22"/>
          <w:lang w:val="en-GB"/>
        </w:rPr>
        <w:t xml:space="preserve">rade </w:t>
      </w:r>
      <w:r w:rsidR="00DB507A">
        <w:rPr>
          <w:rFonts w:ascii="Arial" w:hAnsi="Arial" w:cs="Arial"/>
          <w:sz w:val="22"/>
          <w:szCs w:val="22"/>
          <w:lang w:val="en-GB"/>
        </w:rPr>
        <w:t>F</w:t>
      </w:r>
      <w:r>
        <w:rPr>
          <w:rFonts w:ascii="Arial" w:hAnsi="Arial" w:cs="Arial"/>
          <w:sz w:val="22"/>
          <w:szCs w:val="22"/>
          <w:lang w:val="en-GB"/>
        </w:rPr>
        <w:t xml:space="preserve">inance, from the perspective of </w:t>
      </w:r>
      <w:r w:rsidRPr="00585F18">
        <w:rPr>
          <w:rFonts w:ascii="Arial" w:hAnsi="Arial" w:cs="Arial"/>
          <w:sz w:val="22"/>
          <w:szCs w:val="22"/>
          <w:lang w:val="en-GB"/>
        </w:rPr>
        <w:t>clients</w:t>
      </w:r>
      <w:r>
        <w:rPr>
          <w:rFonts w:ascii="Arial" w:hAnsi="Arial" w:cs="Arial"/>
          <w:sz w:val="22"/>
          <w:szCs w:val="22"/>
          <w:lang w:val="en-GB"/>
        </w:rPr>
        <w:t xml:space="preserve"> and from that of </w:t>
      </w:r>
      <w:r w:rsidRPr="00585F18">
        <w:rPr>
          <w:rFonts w:ascii="Arial" w:hAnsi="Arial" w:cs="Arial"/>
          <w:sz w:val="22"/>
          <w:szCs w:val="22"/>
          <w:lang w:val="en-GB"/>
        </w:rPr>
        <w:t>providers</w:t>
      </w:r>
      <w:r>
        <w:rPr>
          <w:rFonts w:ascii="Arial" w:hAnsi="Arial" w:cs="Arial"/>
          <w:sz w:val="22"/>
          <w:szCs w:val="22"/>
          <w:lang w:val="en-GB"/>
        </w:rPr>
        <w:t>.</w:t>
      </w:r>
      <w:r w:rsidR="00234DB2">
        <w:rPr>
          <w:rFonts w:ascii="Arial" w:hAnsi="Arial" w:cs="Arial"/>
          <w:sz w:val="22"/>
          <w:szCs w:val="22"/>
          <w:lang w:val="en-GB"/>
        </w:rPr>
        <w:t xml:space="preserve"> The following </w:t>
      </w:r>
      <w:r w:rsidR="00585F18">
        <w:rPr>
          <w:rFonts w:ascii="Arial" w:hAnsi="Arial" w:cs="Arial"/>
          <w:sz w:val="22"/>
          <w:szCs w:val="22"/>
          <w:lang w:val="en-GB"/>
        </w:rPr>
        <w:t xml:space="preserve">graphic </w:t>
      </w:r>
      <w:r w:rsidR="00234DB2">
        <w:rPr>
          <w:rFonts w:ascii="Arial" w:hAnsi="Arial" w:cs="Arial"/>
          <w:sz w:val="22"/>
          <w:szCs w:val="22"/>
          <w:lang w:val="en-GB"/>
        </w:rPr>
        <w:t>provide</w:t>
      </w:r>
      <w:r w:rsidR="00585F18">
        <w:rPr>
          <w:rFonts w:ascii="Arial" w:hAnsi="Arial" w:cs="Arial"/>
          <w:sz w:val="22"/>
          <w:szCs w:val="22"/>
          <w:lang w:val="en-GB"/>
        </w:rPr>
        <w:t>s</w:t>
      </w:r>
      <w:r w:rsidR="00234DB2">
        <w:rPr>
          <w:rFonts w:ascii="Arial" w:hAnsi="Arial" w:cs="Arial"/>
          <w:sz w:val="22"/>
          <w:szCs w:val="22"/>
          <w:lang w:val="en-GB"/>
        </w:rPr>
        <w:t xml:space="preserve"> a view of certain factors preventing the provision and the accessing of </w:t>
      </w:r>
      <w:r w:rsidR="00DB507A">
        <w:rPr>
          <w:rFonts w:ascii="Arial" w:hAnsi="Arial" w:cs="Arial"/>
          <w:sz w:val="22"/>
          <w:szCs w:val="22"/>
          <w:lang w:val="en-GB"/>
        </w:rPr>
        <w:t>Trade Finance</w:t>
      </w:r>
      <w:r w:rsidR="00234DB2">
        <w:rPr>
          <w:rFonts w:ascii="Arial" w:hAnsi="Arial" w:cs="Arial"/>
          <w:sz w:val="22"/>
          <w:szCs w:val="22"/>
          <w:lang w:val="en-GB"/>
        </w:rPr>
        <w:t xml:space="preserve">, </w:t>
      </w:r>
      <w:r w:rsidR="00585F18">
        <w:rPr>
          <w:rFonts w:ascii="Arial" w:hAnsi="Arial" w:cs="Arial"/>
          <w:sz w:val="22"/>
          <w:szCs w:val="22"/>
          <w:lang w:val="en-GB"/>
        </w:rPr>
        <w:t>from the perspective of finance providers and clients.</w:t>
      </w:r>
    </w:p>
    <w:p w14:paraId="3B21D62E" w14:textId="77777777" w:rsidR="00FC01CD" w:rsidRDefault="00FC01CD" w:rsidP="0072426B">
      <w:pPr>
        <w:jc w:val="both"/>
        <w:rPr>
          <w:rFonts w:ascii="Arial" w:hAnsi="Arial" w:cs="Arial"/>
          <w:sz w:val="22"/>
          <w:szCs w:val="22"/>
          <w:lang w:val="en-GB"/>
        </w:rPr>
      </w:pPr>
    </w:p>
    <w:p w14:paraId="1C2271C4" w14:textId="77777777" w:rsidR="00A05031" w:rsidRDefault="00A05031" w:rsidP="00A05031">
      <w:pPr>
        <w:pStyle w:val="Caption"/>
        <w:rPr>
          <w:rFonts w:ascii="Arial" w:hAnsi="Arial" w:cs="Arial"/>
          <w:sz w:val="22"/>
          <w:szCs w:val="22"/>
          <w:lang w:val="en-GB"/>
        </w:rPr>
      </w:pPr>
      <w:bookmarkStart w:id="51" w:name="_Toc436042286"/>
      <w:r>
        <w:t xml:space="preserve">Figure </w:t>
      </w:r>
      <w:r>
        <w:fldChar w:fldCharType="begin"/>
      </w:r>
      <w:r>
        <w:instrText xml:space="preserve"> SEQ Figure \* ARABIC </w:instrText>
      </w:r>
      <w:r>
        <w:fldChar w:fldCharType="separate"/>
      </w:r>
      <w:r w:rsidR="00A73BD5">
        <w:rPr>
          <w:noProof/>
        </w:rPr>
        <w:t>22</w:t>
      </w:r>
      <w:r>
        <w:fldChar w:fldCharType="end"/>
      </w:r>
      <w:r>
        <w:t xml:space="preserve">: </w:t>
      </w:r>
      <w:r w:rsidRPr="00A05031">
        <w:t>Factors Limiting Banks’ Ability to Provide Trade Finance</w:t>
      </w:r>
      <w:bookmarkEnd w:id="51"/>
    </w:p>
    <w:p w14:paraId="70731CFB" w14:textId="77777777" w:rsidR="004146CB" w:rsidRDefault="004146CB" w:rsidP="004146CB">
      <w:pPr>
        <w:jc w:val="center"/>
        <w:rPr>
          <w:rFonts w:ascii="Arial" w:hAnsi="Arial" w:cs="Arial"/>
          <w:sz w:val="22"/>
          <w:szCs w:val="22"/>
          <w:lang w:val="en-GB"/>
        </w:rPr>
      </w:pPr>
      <w:r w:rsidRPr="004146CB">
        <w:rPr>
          <w:noProof/>
          <w:lang w:val="en-GB" w:eastAsia="en-GB"/>
        </w:rPr>
        <w:drawing>
          <wp:inline distT="0" distB="0" distL="0" distR="0" wp14:anchorId="63585AF3" wp14:editId="4FA614B0">
            <wp:extent cx="5067300" cy="3177963"/>
            <wp:effectExtent l="19050" t="1905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1586" cy="3180651"/>
                    </a:xfrm>
                    <a:prstGeom prst="rect">
                      <a:avLst/>
                    </a:prstGeom>
                    <a:noFill/>
                    <a:ln>
                      <a:solidFill>
                        <a:schemeClr val="accent1"/>
                      </a:solidFill>
                    </a:ln>
                  </pic:spPr>
                </pic:pic>
              </a:graphicData>
            </a:graphic>
          </wp:inline>
        </w:drawing>
      </w:r>
    </w:p>
    <w:p w14:paraId="0B2BAC8B" w14:textId="77777777" w:rsidR="0072426B" w:rsidRPr="00A05031" w:rsidRDefault="00A05031" w:rsidP="00A05031">
      <w:pPr>
        <w:rPr>
          <w:rStyle w:val="Emphasis"/>
        </w:rPr>
      </w:pPr>
      <w:r>
        <w:rPr>
          <w:rStyle w:val="Emphasis"/>
          <w:lang w:val="en-GB"/>
        </w:rPr>
        <w:t xml:space="preserve">Source: </w:t>
      </w:r>
      <w:r w:rsidR="004146CB" w:rsidRPr="00A05031">
        <w:rPr>
          <w:rStyle w:val="Emphasis"/>
        </w:rPr>
        <w:t>Asian Development Bank, Trade Finance Gaps, Growth and Jobs Survey, 2014</w:t>
      </w:r>
    </w:p>
    <w:p w14:paraId="2586FE94" w14:textId="77777777" w:rsidR="00146A32" w:rsidRDefault="00146A32" w:rsidP="0072426B">
      <w:pPr>
        <w:jc w:val="both"/>
        <w:rPr>
          <w:rFonts w:ascii="Arial" w:hAnsi="Arial" w:cs="Arial"/>
          <w:sz w:val="22"/>
          <w:szCs w:val="22"/>
          <w:lang w:val="en-CA"/>
        </w:rPr>
      </w:pPr>
    </w:p>
    <w:p w14:paraId="46E14271" w14:textId="77777777" w:rsidR="00234DB2" w:rsidRDefault="00234DB2" w:rsidP="0072426B">
      <w:pPr>
        <w:jc w:val="both"/>
        <w:rPr>
          <w:rFonts w:ascii="Arial" w:hAnsi="Arial" w:cs="Arial"/>
          <w:sz w:val="22"/>
          <w:szCs w:val="22"/>
          <w:lang w:val="en-CA"/>
        </w:rPr>
      </w:pPr>
      <w:r>
        <w:rPr>
          <w:rFonts w:ascii="Arial" w:hAnsi="Arial" w:cs="Arial"/>
          <w:sz w:val="22"/>
          <w:szCs w:val="22"/>
          <w:lang w:val="en-CA"/>
        </w:rPr>
        <w:t xml:space="preserve">From a bank perspective, </w:t>
      </w:r>
      <w:r w:rsidR="00002A9D">
        <w:rPr>
          <w:rFonts w:ascii="Arial" w:hAnsi="Arial" w:cs="Arial"/>
          <w:sz w:val="22"/>
          <w:szCs w:val="22"/>
          <w:lang w:val="en-CA"/>
        </w:rPr>
        <w:t xml:space="preserve">regulatory pressures, demands and requirements present a very significant challenge and cost on a global basis. Those realities, together with capital adequacy/reserve requirements are raising the cost of </w:t>
      </w:r>
      <w:r w:rsidR="00DB507A">
        <w:rPr>
          <w:rFonts w:ascii="Arial" w:hAnsi="Arial" w:cs="Arial"/>
          <w:sz w:val="22"/>
          <w:szCs w:val="22"/>
          <w:lang w:val="en-CA"/>
        </w:rPr>
        <w:t>Trade Finance</w:t>
      </w:r>
      <w:r w:rsidR="00002A9D">
        <w:rPr>
          <w:rFonts w:ascii="Arial" w:hAnsi="Arial" w:cs="Arial"/>
          <w:sz w:val="22"/>
          <w:szCs w:val="22"/>
          <w:lang w:val="en-CA"/>
        </w:rPr>
        <w:t xml:space="preserve"> for banks, while concurrently creating limitations in the capacity of banks to provide </w:t>
      </w:r>
      <w:r w:rsidR="00DB507A">
        <w:rPr>
          <w:rFonts w:ascii="Arial" w:hAnsi="Arial" w:cs="Arial"/>
          <w:sz w:val="22"/>
          <w:szCs w:val="22"/>
          <w:lang w:val="en-CA"/>
        </w:rPr>
        <w:t>Trade Finance</w:t>
      </w:r>
      <w:r w:rsidR="00002A9D">
        <w:rPr>
          <w:rFonts w:ascii="Arial" w:hAnsi="Arial" w:cs="Arial"/>
          <w:sz w:val="22"/>
          <w:szCs w:val="22"/>
          <w:lang w:val="en-CA"/>
        </w:rPr>
        <w:t>. Similarly, risk constraints in terms of country, foreign bank and corporate risk have been significant and again, impact the capacity of banks to respond to market needs related to trade financing.</w:t>
      </w:r>
    </w:p>
    <w:p w14:paraId="4ABEB840" w14:textId="77777777" w:rsidR="00DB473A" w:rsidRDefault="00DB473A" w:rsidP="0072426B">
      <w:pPr>
        <w:jc w:val="both"/>
        <w:rPr>
          <w:rFonts w:ascii="Arial" w:hAnsi="Arial" w:cs="Arial"/>
          <w:sz w:val="22"/>
          <w:szCs w:val="22"/>
          <w:lang w:val="en-CA"/>
        </w:rPr>
      </w:pPr>
    </w:p>
    <w:p w14:paraId="11AF48DE" w14:textId="77777777" w:rsidR="00DB473A" w:rsidRDefault="00DB473A" w:rsidP="0072426B">
      <w:pPr>
        <w:jc w:val="both"/>
        <w:rPr>
          <w:rFonts w:ascii="Arial" w:hAnsi="Arial" w:cs="Arial"/>
          <w:sz w:val="22"/>
          <w:szCs w:val="22"/>
          <w:lang w:val="en-CA"/>
        </w:rPr>
      </w:pPr>
      <w:r>
        <w:rPr>
          <w:rFonts w:ascii="Arial" w:hAnsi="Arial" w:cs="Arial"/>
          <w:sz w:val="22"/>
          <w:szCs w:val="22"/>
          <w:lang w:val="en-CA"/>
        </w:rPr>
        <w:t xml:space="preserve">Clients face a variety of difficulties in seeking to obtain adequate levels of </w:t>
      </w:r>
      <w:r w:rsidR="00DB507A">
        <w:rPr>
          <w:rFonts w:ascii="Arial" w:hAnsi="Arial" w:cs="Arial"/>
          <w:sz w:val="22"/>
          <w:szCs w:val="22"/>
          <w:lang w:val="en-CA"/>
        </w:rPr>
        <w:t>Trade Finance</w:t>
      </w:r>
      <w:r>
        <w:rPr>
          <w:rFonts w:ascii="Arial" w:hAnsi="Arial" w:cs="Arial"/>
          <w:sz w:val="22"/>
          <w:szCs w:val="22"/>
          <w:lang w:val="en-CA"/>
        </w:rPr>
        <w:t>. Prohibitive costs in the form of high interest rates, together with a lack of collateral and certain macro-factors such as high country risk attributed to the client’s home country and an absence of supporting legal frameworks</w:t>
      </w:r>
      <w:r w:rsidR="00585F18">
        <w:rPr>
          <w:rFonts w:ascii="Arial" w:hAnsi="Arial" w:cs="Arial"/>
          <w:sz w:val="22"/>
          <w:szCs w:val="22"/>
          <w:lang w:val="en-CA"/>
        </w:rPr>
        <w:t xml:space="preserve"> all combine to contribute to the difficulty in accessing </w:t>
      </w:r>
      <w:r w:rsidR="00DB507A">
        <w:rPr>
          <w:rFonts w:ascii="Arial" w:hAnsi="Arial" w:cs="Arial"/>
          <w:sz w:val="22"/>
          <w:szCs w:val="22"/>
          <w:lang w:val="en-CA"/>
        </w:rPr>
        <w:t>Trade Finance</w:t>
      </w:r>
      <w:r w:rsidR="00585F18">
        <w:rPr>
          <w:rFonts w:ascii="Arial" w:hAnsi="Arial" w:cs="Arial"/>
          <w:sz w:val="22"/>
          <w:szCs w:val="22"/>
          <w:lang w:val="en-CA"/>
        </w:rPr>
        <w:t xml:space="preserve"> and </w:t>
      </w:r>
      <w:r w:rsidR="00DB507A">
        <w:rPr>
          <w:rFonts w:ascii="Arial" w:hAnsi="Arial" w:cs="Arial"/>
          <w:sz w:val="22"/>
          <w:szCs w:val="22"/>
          <w:lang w:val="en-CA"/>
        </w:rPr>
        <w:t>Supply C</w:t>
      </w:r>
      <w:r w:rsidR="00585F18">
        <w:rPr>
          <w:rFonts w:ascii="Arial" w:hAnsi="Arial" w:cs="Arial"/>
          <w:sz w:val="22"/>
          <w:szCs w:val="22"/>
          <w:lang w:val="en-CA"/>
        </w:rPr>
        <w:t xml:space="preserve">hain </w:t>
      </w:r>
      <w:r w:rsidR="00DB507A">
        <w:rPr>
          <w:rFonts w:ascii="Arial" w:hAnsi="Arial" w:cs="Arial"/>
          <w:sz w:val="22"/>
          <w:szCs w:val="22"/>
          <w:lang w:val="en-CA"/>
        </w:rPr>
        <w:t>F</w:t>
      </w:r>
      <w:r w:rsidR="00585F18">
        <w:rPr>
          <w:rFonts w:ascii="Arial" w:hAnsi="Arial" w:cs="Arial"/>
          <w:sz w:val="22"/>
          <w:szCs w:val="22"/>
          <w:lang w:val="en-CA"/>
        </w:rPr>
        <w:t>inance, particularly for SMEs located in developing and emerging markets</w:t>
      </w:r>
      <w:r>
        <w:rPr>
          <w:rFonts w:ascii="Arial" w:hAnsi="Arial" w:cs="Arial"/>
          <w:sz w:val="22"/>
          <w:szCs w:val="22"/>
          <w:lang w:val="en-CA"/>
        </w:rPr>
        <w:t>.</w:t>
      </w:r>
    </w:p>
    <w:p w14:paraId="0C8B296B" w14:textId="77777777" w:rsidR="00DB473A" w:rsidRDefault="00DB473A" w:rsidP="0072426B">
      <w:pPr>
        <w:jc w:val="both"/>
        <w:rPr>
          <w:rFonts w:ascii="Arial" w:hAnsi="Arial" w:cs="Arial"/>
          <w:sz w:val="22"/>
          <w:szCs w:val="22"/>
          <w:lang w:val="en-CA"/>
        </w:rPr>
      </w:pPr>
    </w:p>
    <w:p w14:paraId="51C0AD42" w14:textId="77777777" w:rsidR="00DB473A" w:rsidRDefault="00A05031" w:rsidP="00A05031">
      <w:pPr>
        <w:pStyle w:val="Caption"/>
        <w:rPr>
          <w:rFonts w:ascii="Arial" w:hAnsi="Arial" w:cs="Arial"/>
          <w:sz w:val="22"/>
          <w:szCs w:val="22"/>
          <w:lang w:val="en-CA"/>
        </w:rPr>
      </w:pPr>
      <w:bookmarkStart w:id="52" w:name="_Toc436042287"/>
      <w:r>
        <w:t xml:space="preserve">Figure </w:t>
      </w:r>
      <w:r>
        <w:fldChar w:fldCharType="begin"/>
      </w:r>
      <w:r>
        <w:instrText xml:space="preserve"> SEQ Figure \* ARABIC </w:instrText>
      </w:r>
      <w:r>
        <w:fldChar w:fldCharType="separate"/>
      </w:r>
      <w:r w:rsidR="00A73BD5">
        <w:rPr>
          <w:noProof/>
        </w:rPr>
        <w:t>23</w:t>
      </w:r>
      <w:r>
        <w:fldChar w:fldCharType="end"/>
      </w:r>
      <w:r>
        <w:t xml:space="preserve">: </w:t>
      </w:r>
      <w:r w:rsidRPr="00A05031">
        <w:t>Factors Limiting Companies’ Ability to Obtain Trade Finance</w:t>
      </w:r>
      <w:bookmarkEnd w:id="52"/>
    </w:p>
    <w:p w14:paraId="67C3B070" w14:textId="77777777" w:rsidR="00146A32" w:rsidRDefault="00146A32" w:rsidP="0072426B">
      <w:pPr>
        <w:jc w:val="both"/>
        <w:rPr>
          <w:rFonts w:ascii="Arial" w:hAnsi="Arial" w:cs="Arial"/>
          <w:sz w:val="22"/>
          <w:szCs w:val="22"/>
          <w:lang w:val="en-GB"/>
        </w:rPr>
      </w:pPr>
      <w:r w:rsidRPr="00146A32">
        <w:rPr>
          <w:noProof/>
          <w:lang w:val="en-GB" w:eastAsia="en-GB"/>
        </w:rPr>
        <w:lastRenderedPageBreak/>
        <w:drawing>
          <wp:inline distT="0" distB="0" distL="0" distR="0" wp14:anchorId="317479CE" wp14:editId="5C71B3D1">
            <wp:extent cx="5670783" cy="3025140"/>
            <wp:effectExtent l="19050" t="19050" r="635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0963" cy="3041240"/>
                    </a:xfrm>
                    <a:prstGeom prst="rect">
                      <a:avLst/>
                    </a:prstGeom>
                    <a:noFill/>
                    <a:ln>
                      <a:solidFill>
                        <a:schemeClr val="accent1"/>
                      </a:solidFill>
                    </a:ln>
                  </pic:spPr>
                </pic:pic>
              </a:graphicData>
            </a:graphic>
          </wp:inline>
        </w:drawing>
      </w:r>
    </w:p>
    <w:p w14:paraId="5954B55E" w14:textId="77777777" w:rsidR="007E2DE9" w:rsidRPr="00A05031" w:rsidRDefault="00A05031" w:rsidP="00146A32">
      <w:pPr>
        <w:rPr>
          <w:rStyle w:val="Emphasis"/>
          <w:lang w:val="en-GB"/>
        </w:rPr>
      </w:pPr>
      <w:r>
        <w:rPr>
          <w:rStyle w:val="Emphasis"/>
          <w:lang w:val="en-GB"/>
        </w:rPr>
        <w:t xml:space="preserve">Source: </w:t>
      </w:r>
      <w:r w:rsidR="00146A32" w:rsidRPr="00A05031">
        <w:rPr>
          <w:rStyle w:val="Emphasis"/>
          <w:lang w:val="en-GB"/>
        </w:rPr>
        <w:t>Asian Development Bank, Trade Finance Gaps, Growth and Jobs Survey, 2014</w:t>
      </w:r>
    </w:p>
    <w:p w14:paraId="21BEBA95" w14:textId="77777777" w:rsidR="00DB473A" w:rsidRDefault="00DB473A" w:rsidP="00146A32">
      <w:pPr>
        <w:rPr>
          <w:rFonts w:ascii="Arial" w:hAnsi="Arial" w:cs="Arial"/>
          <w:sz w:val="22"/>
          <w:szCs w:val="22"/>
          <w:lang w:val="en-CA"/>
        </w:rPr>
      </w:pPr>
    </w:p>
    <w:p w14:paraId="2D089B08" w14:textId="77777777" w:rsidR="00DB473A" w:rsidRDefault="00DB473A" w:rsidP="00DB473A">
      <w:pPr>
        <w:jc w:val="both"/>
        <w:rPr>
          <w:rFonts w:ascii="Arial" w:hAnsi="Arial" w:cs="Arial"/>
          <w:sz w:val="22"/>
          <w:szCs w:val="22"/>
          <w:lang w:val="en-CA"/>
        </w:rPr>
      </w:pPr>
      <w:r>
        <w:rPr>
          <w:rFonts w:ascii="Arial" w:hAnsi="Arial" w:cs="Arial"/>
          <w:sz w:val="22"/>
          <w:szCs w:val="22"/>
          <w:lang w:val="en-CA"/>
        </w:rPr>
        <w:t xml:space="preserve">In addition to the foregoing factors identified in the ADB Survey, there are numerous “pain points” around </w:t>
      </w:r>
      <w:r w:rsidR="00DB507A">
        <w:rPr>
          <w:rFonts w:ascii="Arial" w:hAnsi="Arial" w:cs="Arial"/>
          <w:sz w:val="22"/>
          <w:szCs w:val="22"/>
          <w:lang w:val="en-CA"/>
        </w:rPr>
        <w:t>Trade Finance</w:t>
      </w:r>
      <w:r w:rsidR="00EA64D8">
        <w:rPr>
          <w:rFonts w:ascii="Arial" w:hAnsi="Arial" w:cs="Arial"/>
          <w:sz w:val="22"/>
          <w:szCs w:val="22"/>
          <w:lang w:val="en-CA"/>
        </w:rPr>
        <w:t xml:space="preserve"> </w:t>
      </w:r>
      <w:r>
        <w:rPr>
          <w:rFonts w:ascii="Arial" w:hAnsi="Arial" w:cs="Arial"/>
          <w:sz w:val="22"/>
          <w:szCs w:val="22"/>
          <w:lang w:val="en-CA"/>
        </w:rPr>
        <w:t xml:space="preserve">and </w:t>
      </w:r>
      <w:r w:rsidR="00DB507A">
        <w:rPr>
          <w:rFonts w:ascii="Arial" w:hAnsi="Arial" w:cs="Arial"/>
          <w:sz w:val="22"/>
          <w:szCs w:val="22"/>
          <w:lang w:val="en-CA"/>
        </w:rPr>
        <w:t>Supply C</w:t>
      </w:r>
      <w:r>
        <w:rPr>
          <w:rFonts w:ascii="Arial" w:hAnsi="Arial" w:cs="Arial"/>
          <w:sz w:val="22"/>
          <w:szCs w:val="22"/>
          <w:lang w:val="en-CA"/>
        </w:rPr>
        <w:t xml:space="preserve">hain </w:t>
      </w:r>
      <w:r w:rsidR="00DB507A">
        <w:rPr>
          <w:rFonts w:ascii="Arial" w:hAnsi="Arial" w:cs="Arial"/>
          <w:sz w:val="22"/>
          <w:szCs w:val="22"/>
          <w:lang w:val="en-CA"/>
        </w:rPr>
        <w:t>F</w:t>
      </w:r>
      <w:r>
        <w:rPr>
          <w:rFonts w:ascii="Arial" w:hAnsi="Arial" w:cs="Arial"/>
          <w:sz w:val="22"/>
          <w:szCs w:val="22"/>
          <w:lang w:val="en-CA"/>
        </w:rPr>
        <w:t xml:space="preserve">inance that could be particularly relevant to the realm of </w:t>
      </w:r>
      <w:r w:rsidR="00DB507A">
        <w:rPr>
          <w:rFonts w:ascii="Arial" w:hAnsi="Arial" w:cs="Arial"/>
          <w:sz w:val="22"/>
          <w:szCs w:val="22"/>
          <w:lang w:val="en-CA"/>
        </w:rPr>
        <w:t>Trade F</w:t>
      </w:r>
      <w:r>
        <w:rPr>
          <w:rFonts w:ascii="Arial" w:hAnsi="Arial" w:cs="Arial"/>
          <w:sz w:val="22"/>
          <w:szCs w:val="22"/>
          <w:lang w:val="en-CA"/>
        </w:rPr>
        <w:t>acilitation and international development.</w:t>
      </w:r>
    </w:p>
    <w:p w14:paraId="3E303E86" w14:textId="77777777" w:rsidR="009B2845" w:rsidRPr="00F871A1" w:rsidRDefault="00DB473A" w:rsidP="00F871A1">
      <w:pPr>
        <w:pStyle w:val="Heading3"/>
        <w:rPr>
          <w:b w:val="0"/>
          <w:u w:val="single"/>
          <w:lang w:val="en-CA"/>
        </w:rPr>
      </w:pPr>
      <w:bookmarkStart w:id="53" w:name="_Toc436042212"/>
      <w:bookmarkStart w:id="54" w:name="_Toc441728575"/>
      <w:r w:rsidRPr="00F871A1">
        <w:rPr>
          <w:b w:val="0"/>
          <w:u w:val="single"/>
          <w:lang w:val="en-CA"/>
        </w:rPr>
        <w:t>Trade Finance is Poorly Understood</w:t>
      </w:r>
      <w:bookmarkEnd w:id="53"/>
      <w:bookmarkEnd w:id="54"/>
    </w:p>
    <w:p w14:paraId="5BDB727F" w14:textId="77777777" w:rsidR="00DB473A" w:rsidRDefault="002E03D4" w:rsidP="00DB473A">
      <w:pPr>
        <w:jc w:val="both"/>
        <w:rPr>
          <w:rFonts w:ascii="Arial" w:hAnsi="Arial" w:cs="Arial"/>
          <w:sz w:val="22"/>
          <w:szCs w:val="22"/>
          <w:lang w:val="en-CA"/>
        </w:rPr>
      </w:pPr>
      <w:r>
        <w:rPr>
          <w:rFonts w:ascii="Arial" w:hAnsi="Arial" w:cs="Arial"/>
          <w:sz w:val="22"/>
          <w:szCs w:val="22"/>
          <w:lang w:val="en-CA"/>
        </w:rPr>
        <w:t xml:space="preserve">Trade </w:t>
      </w:r>
      <w:r w:rsidR="00DB507A">
        <w:rPr>
          <w:rFonts w:ascii="Arial" w:hAnsi="Arial" w:cs="Arial"/>
          <w:sz w:val="22"/>
          <w:szCs w:val="22"/>
          <w:lang w:val="en-CA"/>
        </w:rPr>
        <w:t xml:space="preserve">Finance </w:t>
      </w:r>
      <w:r w:rsidR="00911E86">
        <w:rPr>
          <w:rFonts w:ascii="Arial" w:hAnsi="Arial" w:cs="Arial"/>
          <w:sz w:val="22"/>
          <w:szCs w:val="22"/>
          <w:lang w:val="en-CA"/>
        </w:rPr>
        <w:t>(</w:t>
      </w:r>
      <w:r>
        <w:rPr>
          <w:rFonts w:ascii="Arial" w:hAnsi="Arial" w:cs="Arial"/>
          <w:sz w:val="22"/>
          <w:szCs w:val="22"/>
          <w:lang w:val="en-CA"/>
        </w:rPr>
        <w:t xml:space="preserve">and </w:t>
      </w:r>
      <w:r w:rsidR="00911E86">
        <w:rPr>
          <w:rFonts w:ascii="Arial" w:hAnsi="Arial" w:cs="Arial"/>
          <w:sz w:val="22"/>
          <w:szCs w:val="22"/>
          <w:lang w:val="en-CA"/>
        </w:rPr>
        <w:t>S</w:t>
      </w:r>
      <w:r>
        <w:rPr>
          <w:rFonts w:ascii="Arial" w:hAnsi="Arial" w:cs="Arial"/>
          <w:sz w:val="22"/>
          <w:szCs w:val="22"/>
          <w:lang w:val="en-CA"/>
        </w:rPr>
        <w:t xml:space="preserve">upply </w:t>
      </w:r>
      <w:r w:rsidR="00911E86">
        <w:rPr>
          <w:rFonts w:ascii="Arial" w:hAnsi="Arial" w:cs="Arial"/>
          <w:sz w:val="22"/>
          <w:szCs w:val="22"/>
          <w:lang w:val="en-CA"/>
        </w:rPr>
        <w:t>C</w:t>
      </w:r>
      <w:r>
        <w:rPr>
          <w:rFonts w:ascii="Arial" w:hAnsi="Arial" w:cs="Arial"/>
          <w:sz w:val="22"/>
          <w:szCs w:val="22"/>
          <w:lang w:val="en-CA"/>
        </w:rPr>
        <w:t xml:space="preserve">hain </w:t>
      </w:r>
      <w:r w:rsidR="00911E86">
        <w:rPr>
          <w:rFonts w:ascii="Arial" w:hAnsi="Arial" w:cs="Arial"/>
          <w:sz w:val="22"/>
          <w:szCs w:val="22"/>
          <w:lang w:val="en-CA"/>
        </w:rPr>
        <w:t>F</w:t>
      </w:r>
      <w:r>
        <w:rPr>
          <w:rFonts w:ascii="Arial" w:hAnsi="Arial" w:cs="Arial"/>
          <w:sz w:val="22"/>
          <w:szCs w:val="22"/>
          <w:lang w:val="en-CA"/>
        </w:rPr>
        <w:t>inance</w:t>
      </w:r>
      <w:r w:rsidR="00911E86">
        <w:rPr>
          <w:rFonts w:ascii="Arial" w:hAnsi="Arial" w:cs="Arial"/>
          <w:sz w:val="22"/>
          <w:szCs w:val="22"/>
          <w:lang w:val="en-CA"/>
        </w:rPr>
        <w:t>)</w:t>
      </w:r>
      <w:r>
        <w:rPr>
          <w:rFonts w:ascii="Arial" w:hAnsi="Arial" w:cs="Arial"/>
          <w:sz w:val="22"/>
          <w:szCs w:val="22"/>
          <w:lang w:val="en-CA"/>
        </w:rPr>
        <w:t xml:space="preserve"> is an esoteric, specialist form of financing, often perceived to be complex</w:t>
      </w:r>
      <w:r w:rsidR="00AF3285">
        <w:rPr>
          <w:rFonts w:ascii="Arial" w:hAnsi="Arial" w:cs="Arial"/>
          <w:sz w:val="22"/>
          <w:szCs w:val="22"/>
          <w:lang w:val="en-CA"/>
        </w:rPr>
        <w:t xml:space="preserve">. It is even </w:t>
      </w:r>
      <w:r>
        <w:rPr>
          <w:rFonts w:ascii="Arial" w:hAnsi="Arial" w:cs="Arial"/>
          <w:sz w:val="22"/>
          <w:szCs w:val="22"/>
          <w:lang w:val="en-CA"/>
        </w:rPr>
        <w:t>poorly understood by seasoned finance and treasury experts, whether on the banking side, the corporate side or the regulatory and policy side of the market.</w:t>
      </w:r>
      <w:r w:rsidR="00EA64D8">
        <w:rPr>
          <w:rFonts w:ascii="Arial" w:hAnsi="Arial" w:cs="Arial"/>
          <w:sz w:val="22"/>
          <w:szCs w:val="22"/>
          <w:lang w:val="en-CA"/>
        </w:rPr>
        <w:t xml:space="preserve"> This suggests an opportunity for education, competency development and targeted communication about </w:t>
      </w:r>
    </w:p>
    <w:p w14:paraId="0CC4477C" w14:textId="77777777" w:rsidR="002E03D4" w:rsidRDefault="002E03D4" w:rsidP="00DB473A">
      <w:pPr>
        <w:jc w:val="both"/>
        <w:rPr>
          <w:rFonts w:ascii="Arial" w:hAnsi="Arial" w:cs="Arial"/>
          <w:sz w:val="22"/>
          <w:szCs w:val="22"/>
          <w:lang w:val="en-CA"/>
        </w:rPr>
      </w:pPr>
    </w:p>
    <w:p w14:paraId="60F70F40" w14:textId="77777777" w:rsidR="002E03D4" w:rsidRDefault="002E03D4" w:rsidP="00DB473A">
      <w:pPr>
        <w:jc w:val="both"/>
        <w:rPr>
          <w:rFonts w:ascii="Arial" w:hAnsi="Arial" w:cs="Arial"/>
          <w:sz w:val="22"/>
          <w:szCs w:val="22"/>
          <w:lang w:val="en-CA"/>
        </w:rPr>
      </w:pPr>
      <w:r>
        <w:rPr>
          <w:rFonts w:ascii="Arial" w:hAnsi="Arial" w:cs="Arial"/>
          <w:sz w:val="22"/>
          <w:szCs w:val="22"/>
          <w:lang w:val="en-CA"/>
        </w:rPr>
        <w:t xml:space="preserve">Historically, </w:t>
      </w:r>
      <w:r w:rsidR="00DB507A">
        <w:rPr>
          <w:rFonts w:ascii="Arial" w:hAnsi="Arial" w:cs="Arial"/>
          <w:sz w:val="22"/>
          <w:szCs w:val="22"/>
          <w:lang w:val="en-CA"/>
        </w:rPr>
        <w:t>Trade Finance</w:t>
      </w:r>
      <w:r>
        <w:rPr>
          <w:rFonts w:ascii="Arial" w:hAnsi="Arial" w:cs="Arial"/>
          <w:sz w:val="22"/>
          <w:szCs w:val="22"/>
          <w:lang w:val="en-CA"/>
        </w:rPr>
        <w:t xml:space="preserve"> has operated under a self-imposed veil of complexity and secrecy</w:t>
      </w:r>
      <w:r w:rsidR="00EA64D8">
        <w:rPr>
          <w:rFonts w:ascii="Arial" w:hAnsi="Arial" w:cs="Arial"/>
          <w:sz w:val="22"/>
          <w:szCs w:val="22"/>
          <w:lang w:val="en-CA"/>
        </w:rPr>
        <w:t xml:space="preserve">, </w:t>
      </w:r>
      <w:r>
        <w:rPr>
          <w:rFonts w:ascii="Arial" w:hAnsi="Arial" w:cs="Arial"/>
          <w:sz w:val="22"/>
          <w:szCs w:val="22"/>
          <w:lang w:val="en-CA"/>
        </w:rPr>
        <w:t xml:space="preserve">one that is no longer to the benefit of the industry, or the clients served by that industry, given that the absence of transparency has (perhaps unintentionally) led to an under-appreciation of the positive impact and value of </w:t>
      </w:r>
      <w:r w:rsidR="00DB507A">
        <w:rPr>
          <w:rFonts w:ascii="Arial" w:hAnsi="Arial" w:cs="Arial"/>
          <w:sz w:val="22"/>
          <w:szCs w:val="22"/>
          <w:lang w:val="en-CA"/>
        </w:rPr>
        <w:t>Trade Finance</w:t>
      </w:r>
      <w:r>
        <w:rPr>
          <w:rFonts w:ascii="Arial" w:hAnsi="Arial" w:cs="Arial"/>
          <w:sz w:val="22"/>
          <w:szCs w:val="22"/>
          <w:lang w:val="en-CA"/>
        </w:rPr>
        <w:t xml:space="preserve"> in the creation of economic value.</w:t>
      </w:r>
    </w:p>
    <w:p w14:paraId="0110F4BA" w14:textId="77777777" w:rsidR="002E03D4" w:rsidRDefault="002E03D4" w:rsidP="00DB473A">
      <w:pPr>
        <w:jc w:val="both"/>
        <w:rPr>
          <w:rFonts w:ascii="Arial" w:hAnsi="Arial" w:cs="Arial"/>
          <w:sz w:val="22"/>
          <w:szCs w:val="22"/>
          <w:lang w:val="en-CA"/>
        </w:rPr>
      </w:pPr>
    </w:p>
    <w:p w14:paraId="02893B52" w14:textId="77777777" w:rsidR="002E03D4" w:rsidRDefault="002E03D4" w:rsidP="00DB473A">
      <w:pPr>
        <w:jc w:val="both"/>
        <w:rPr>
          <w:rFonts w:ascii="Arial" w:hAnsi="Arial" w:cs="Arial"/>
          <w:sz w:val="22"/>
          <w:szCs w:val="22"/>
          <w:lang w:val="en-CA"/>
        </w:rPr>
      </w:pPr>
      <w:r>
        <w:rPr>
          <w:rFonts w:ascii="Arial" w:hAnsi="Arial" w:cs="Arial"/>
          <w:sz w:val="22"/>
          <w:szCs w:val="22"/>
          <w:lang w:val="en-CA"/>
        </w:rPr>
        <w:t xml:space="preserve">A proposal that seeks to integrate or include </w:t>
      </w:r>
      <w:r w:rsidR="00B44CCA">
        <w:rPr>
          <w:rFonts w:ascii="Arial" w:hAnsi="Arial" w:cs="Arial"/>
          <w:sz w:val="22"/>
          <w:szCs w:val="22"/>
          <w:lang w:val="en-CA"/>
        </w:rPr>
        <w:t xml:space="preserve">Trade Finance </w:t>
      </w:r>
      <w:r>
        <w:rPr>
          <w:rFonts w:ascii="Arial" w:hAnsi="Arial" w:cs="Arial"/>
          <w:sz w:val="22"/>
          <w:szCs w:val="22"/>
          <w:lang w:val="en-CA"/>
        </w:rPr>
        <w:t xml:space="preserve">and </w:t>
      </w:r>
      <w:r w:rsidR="00B44CCA">
        <w:rPr>
          <w:rFonts w:ascii="Arial" w:hAnsi="Arial" w:cs="Arial"/>
          <w:sz w:val="22"/>
          <w:szCs w:val="22"/>
          <w:lang w:val="en-CA"/>
        </w:rPr>
        <w:t>S</w:t>
      </w:r>
      <w:r>
        <w:rPr>
          <w:rFonts w:ascii="Arial" w:hAnsi="Arial" w:cs="Arial"/>
          <w:sz w:val="22"/>
          <w:szCs w:val="22"/>
          <w:lang w:val="en-CA"/>
        </w:rPr>
        <w:t xml:space="preserve">upply </w:t>
      </w:r>
      <w:r w:rsidR="00B44CCA">
        <w:rPr>
          <w:rFonts w:ascii="Arial" w:hAnsi="Arial" w:cs="Arial"/>
          <w:sz w:val="22"/>
          <w:szCs w:val="22"/>
          <w:lang w:val="en-CA"/>
        </w:rPr>
        <w:t>C</w:t>
      </w:r>
      <w:r>
        <w:rPr>
          <w:rFonts w:ascii="Arial" w:hAnsi="Arial" w:cs="Arial"/>
          <w:sz w:val="22"/>
          <w:szCs w:val="22"/>
          <w:lang w:val="en-CA"/>
        </w:rPr>
        <w:t xml:space="preserve">hain </w:t>
      </w:r>
      <w:r w:rsidR="00B44CCA">
        <w:rPr>
          <w:rFonts w:ascii="Arial" w:hAnsi="Arial" w:cs="Arial"/>
          <w:sz w:val="22"/>
          <w:szCs w:val="22"/>
          <w:lang w:val="en-CA"/>
        </w:rPr>
        <w:t>F</w:t>
      </w:r>
      <w:r>
        <w:rPr>
          <w:rFonts w:ascii="Arial" w:hAnsi="Arial" w:cs="Arial"/>
          <w:sz w:val="22"/>
          <w:szCs w:val="22"/>
          <w:lang w:val="en-CA"/>
        </w:rPr>
        <w:t>inance into the discipline</w:t>
      </w:r>
      <w:r w:rsidR="00B44CCA">
        <w:rPr>
          <w:rFonts w:ascii="Arial" w:hAnsi="Arial" w:cs="Arial"/>
          <w:sz w:val="22"/>
          <w:szCs w:val="22"/>
          <w:lang w:val="en-CA"/>
        </w:rPr>
        <w:t>s</w:t>
      </w:r>
      <w:r>
        <w:rPr>
          <w:rFonts w:ascii="Arial" w:hAnsi="Arial" w:cs="Arial"/>
          <w:sz w:val="22"/>
          <w:szCs w:val="22"/>
          <w:lang w:val="en-CA"/>
        </w:rPr>
        <w:t xml:space="preserve"> of </w:t>
      </w:r>
      <w:r w:rsidR="00B44CCA">
        <w:rPr>
          <w:rFonts w:ascii="Arial" w:hAnsi="Arial" w:cs="Arial"/>
          <w:sz w:val="22"/>
          <w:szCs w:val="22"/>
          <w:lang w:val="en-CA"/>
        </w:rPr>
        <w:t>T</w:t>
      </w:r>
      <w:r>
        <w:rPr>
          <w:rFonts w:ascii="Arial" w:hAnsi="Arial" w:cs="Arial"/>
          <w:sz w:val="22"/>
          <w:szCs w:val="22"/>
          <w:lang w:val="en-CA"/>
        </w:rPr>
        <w:t xml:space="preserve">rade </w:t>
      </w:r>
      <w:r w:rsidR="00B44CCA">
        <w:rPr>
          <w:rFonts w:ascii="Arial" w:hAnsi="Arial" w:cs="Arial"/>
          <w:sz w:val="22"/>
          <w:szCs w:val="22"/>
          <w:lang w:val="en-CA"/>
        </w:rPr>
        <w:t>F</w:t>
      </w:r>
      <w:r>
        <w:rPr>
          <w:rFonts w:ascii="Arial" w:hAnsi="Arial" w:cs="Arial"/>
          <w:sz w:val="22"/>
          <w:szCs w:val="22"/>
          <w:lang w:val="en-CA"/>
        </w:rPr>
        <w:t xml:space="preserve">acilitation, including </w:t>
      </w:r>
      <w:r w:rsidR="00B44CCA">
        <w:rPr>
          <w:rFonts w:ascii="Arial" w:hAnsi="Arial" w:cs="Arial"/>
          <w:sz w:val="22"/>
          <w:szCs w:val="22"/>
          <w:lang w:val="en-CA"/>
        </w:rPr>
        <w:t>Single W</w:t>
      </w:r>
      <w:r>
        <w:rPr>
          <w:rFonts w:ascii="Arial" w:hAnsi="Arial" w:cs="Arial"/>
          <w:sz w:val="22"/>
          <w:szCs w:val="22"/>
          <w:lang w:val="en-CA"/>
        </w:rPr>
        <w:t xml:space="preserve">indow market access programs, must recognize and address this issue of inadequate understanding of </w:t>
      </w:r>
      <w:r w:rsidR="00DB507A">
        <w:rPr>
          <w:rFonts w:ascii="Arial" w:hAnsi="Arial" w:cs="Arial"/>
          <w:sz w:val="22"/>
          <w:szCs w:val="22"/>
          <w:lang w:val="en-CA"/>
        </w:rPr>
        <w:t>Trade Finance</w:t>
      </w:r>
      <w:r>
        <w:rPr>
          <w:rFonts w:ascii="Arial" w:hAnsi="Arial" w:cs="Arial"/>
          <w:sz w:val="22"/>
          <w:szCs w:val="22"/>
          <w:lang w:val="en-CA"/>
        </w:rPr>
        <w:t xml:space="preserve">, in order to ensure effective integration of these realms of activity. </w:t>
      </w:r>
    </w:p>
    <w:p w14:paraId="65B571A9" w14:textId="77777777" w:rsidR="002E03D4" w:rsidRPr="00F871A1" w:rsidRDefault="002E03D4" w:rsidP="00F871A1">
      <w:pPr>
        <w:pStyle w:val="Heading3"/>
        <w:rPr>
          <w:b w:val="0"/>
          <w:u w:val="single"/>
          <w:lang w:val="en-CA"/>
        </w:rPr>
      </w:pPr>
      <w:bookmarkStart w:id="55" w:name="_Toc436042213"/>
      <w:bookmarkStart w:id="56" w:name="_Toc441728576"/>
      <w:r w:rsidRPr="00F871A1">
        <w:rPr>
          <w:b w:val="0"/>
          <w:u w:val="single"/>
          <w:lang w:val="en-CA"/>
        </w:rPr>
        <w:t>Trade Financ</w:t>
      </w:r>
      <w:r w:rsidR="00EA64D8" w:rsidRPr="00F871A1">
        <w:rPr>
          <w:b w:val="0"/>
          <w:u w:val="single"/>
          <w:lang w:val="en-CA"/>
        </w:rPr>
        <w:t>ing</w:t>
      </w:r>
      <w:r w:rsidRPr="00F871A1">
        <w:rPr>
          <w:b w:val="0"/>
          <w:u w:val="single"/>
          <w:lang w:val="en-CA"/>
        </w:rPr>
        <w:t xml:space="preserve"> is Perceived as High-Risk</w:t>
      </w:r>
      <w:bookmarkEnd w:id="55"/>
      <w:bookmarkEnd w:id="56"/>
    </w:p>
    <w:p w14:paraId="7CD6408F" w14:textId="77777777" w:rsidR="002E03D4" w:rsidRDefault="002E03D4" w:rsidP="00DB473A">
      <w:pPr>
        <w:jc w:val="both"/>
        <w:rPr>
          <w:rFonts w:ascii="Arial" w:hAnsi="Arial" w:cs="Arial"/>
          <w:sz w:val="22"/>
          <w:szCs w:val="22"/>
          <w:lang w:val="en-CA"/>
        </w:rPr>
      </w:pPr>
      <w:r>
        <w:rPr>
          <w:rFonts w:ascii="Arial" w:hAnsi="Arial" w:cs="Arial"/>
          <w:sz w:val="22"/>
          <w:szCs w:val="22"/>
          <w:lang w:val="en-CA"/>
        </w:rPr>
        <w:t>The financing of international commerce, in addition to being poorly understood, is perceived, by virtue of its cross-border nature and frequent engagement in higher-risk markets, to be fundamentally high risk.</w:t>
      </w:r>
    </w:p>
    <w:p w14:paraId="4277AF93" w14:textId="77777777" w:rsidR="002E03D4" w:rsidRDefault="002E03D4" w:rsidP="00DB473A">
      <w:pPr>
        <w:jc w:val="both"/>
        <w:rPr>
          <w:rFonts w:ascii="Arial" w:hAnsi="Arial" w:cs="Arial"/>
          <w:sz w:val="22"/>
          <w:szCs w:val="22"/>
          <w:lang w:val="en-CA"/>
        </w:rPr>
      </w:pPr>
    </w:p>
    <w:p w14:paraId="04977D89" w14:textId="77777777" w:rsidR="00534109" w:rsidRDefault="002E03D4" w:rsidP="00DB473A">
      <w:pPr>
        <w:jc w:val="both"/>
        <w:rPr>
          <w:rFonts w:ascii="Arial" w:hAnsi="Arial" w:cs="Arial"/>
          <w:sz w:val="22"/>
          <w:szCs w:val="22"/>
          <w:lang w:val="en-CA"/>
        </w:rPr>
      </w:pPr>
      <w:r>
        <w:rPr>
          <w:rFonts w:ascii="Arial" w:hAnsi="Arial" w:cs="Arial"/>
          <w:sz w:val="22"/>
          <w:szCs w:val="22"/>
          <w:lang w:val="en-CA"/>
        </w:rPr>
        <w:lastRenderedPageBreak/>
        <w:t xml:space="preserve">Non-specialists with critical decision-making authority, such as central credit or risk committees in banks, can erroneously ascribe a very high risk to the business of </w:t>
      </w:r>
      <w:r w:rsidR="00DB507A">
        <w:rPr>
          <w:rFonts w:ascii="Arial" w:hAnsi="Arial" w:cs="Arial"/>
          <w:sz w:val="22"/>
          <w:szCs w:val="22"/>
          <w:lang w:val="en-CA"/>
        </w:rPr>
        <w:t>Trade Finance</w:t>
      </w:r>
      <w:r>
        <w:rPr>
          <w:rFonts w:ascii="Arial" w:hAnsi="Arial" w:cs="Arial"/>
          <w:sz w:val="22"/>
          <w:szCs w:val="22"/>
          <w:lang w:val="en-CA"/>
        </w:rPr>
        <w:t xml:space="preserve"> as a result of incomplete information, or an incorrect understanding of the transactional characteristics of </w:t>
      </w:r>
      <w:r w:rsidR="00DB507A">
        <w:rPr>
          <w:rFonts w:ascii="Arial" w:hAnsi="Arial" w:cs="Arial"/>
          <w:sz w:val="22"/>
          <w:szCs w:val="22"/>
          <w:lang w:val="en-CA"/>
        </w:rPr>
        <w:t>Trade Finance</w:t>
      </w:r>
      <w:r>
        <w:rPr>
          <w:rFonts w:ascii="Arial" w:hAnsi="Arial" w:cs="Arial"/>
          <w:sz w:val="22"/>
          <w:szCs w:val="22"/>
          <w:lang w:val="en-CA"/>
        </w:rPr>
        <w:t>.</w:t>
      </w:r>
    </w:p>
    <w:p w14:paraId="42B7B029" w14:textId="77777777" w:rsidR="00534109" w:rsidRDefault="00534109" w:rsidP="00DB473A">
      <w:pPr>
        <w:jc w:val="both"/>
        <w:rPr>
          <w:rFonts w:ascii="Arial" w:hAnsi="Arial" w:cs="Arial"/>
          <w:sz w:val="22"/>
          <w:szCs w:val="22"/>
          <w:lang w:val="en-CA"/>
        </w:rPr>
      </w:pPr>
    </w:p>
    <w:p w14:paraId="1BEDE200" w14:textId="77777777" w:rsidR="006E77AA" w:rsidRDefault="00534109" w:rsidP="00DB473A">
      <w:pPr>
        <w:jc w:val="both"/>
        <w:rPr>
          <w:rFonts w:ascii="Arial" w:hAnsi="Arial" w:cs="Arial"/>
          <w:sz w:val="22"/>
          <w:szCs w:val="22"/>
          <w:lang w:val="en-CA"/>
        </w:rPr>
      </w:pPr>
      <w:r>
        <w:rPr>
          <w:rFonts w:ascii="Arial" w:hAnsi="Arial" w:cs="Arial"/>
          <w:sz w:val="22"/>
          <w:szCs w:val="22"/>
          <w:lang w:val="en-CA"/>
        </w:rPr>
        <w:t xml:space="preserve">The reality, borne out by extensive collection and analysis of transaction-level data contributed by top </w:t>
      </w:r>
      <w:r w:rsidR="00DB507A">
        <w:rPr>
          <w:rFonts w:ascii="Arial" w:hAnsi="Arial" w:cs="Arial"/>
          <w:sz w:val="22"/>
          <w:szCs w:val="22"/>
          <w:lang w:val="en-CA"/>
        </w:rPr>
        <w:t>Trade Finance</w:t>
      </w:r>
      <w:r>
        <w:rPr>
          <w:rFonts w:ascii="Arial" w:hAnsi="Arial" w:cs="Arial"/>
          <w:sz w:val="22"/>
          <w:szCs w:val="22"/>
          <w:lang w:val="en-CA"/>
        </w:rPr>
        <w:t xml:space="preserve"> banks, is that this form of financing exhibits near-negligible levels of default and loss, even in some of the most challenging markets on the globe.</w:t>
      </w:r>
    </w:p>
    <w:p w14:paraId="1003C9F5" w14:textId="77777777" w:rsidR="006E77AA" w:rsidRDefault="006E77AA" w:rsidP="00DB473A">
      <w:pPr>
        <w:jc w:val="both"/>
        <w:rPr>
          <w:rFonts w:ascii="Arial" w:hAnsi="Arial" w:cs="Arial"/>
          <w:sz w:val="22"/>
          <w:szCs w:val="22"/>
          <w:lang w:val="en-CA"/>
        </w:rPr>
      </w:pPr>
    </w:p>
    <w:p w14:paraId="7C677911" w14:textId="77777777" w:rsidR="009B2845" w:rsidRDefault="006E77AA" w:rsidP="00DB473A">
      <w:pPr>
        <w:jc w:val="both"/>
        <w:rPr>
          <w:rFonts w:ascii="Arial" w:hAnsi="Arial" w:cs="Arial"/>
          <w:sz w:val="22"/>
          <w:szCs w:val="22"/>
          <w:lang w:val="en-CA"/>
        </w:rPr>
      </w:pPr>
      <w:r>
        <w:rPr>
          <w:rFonts w:ascii="Arial" w:hAnsi="Arial" w:cs="Arial"/>
          <w:sz w:val="22"/>
          <w:szCs w:val="22"/>
          <w:lang w:val="en-CA"/>
        </w:rPr>
        <w:t>The following table, from the ICC Trade Register</w:t>
      </w:r>
      <w:r w:rsidR="00B44CCA">
        <w:rPr>
          <w:rStyle w:val="FootnoteReference"/>
          <w:rFonts w:ascii="Arial" w:hAnsi="Arial" w:cs="Arial"/>
          <w:sz w:val="22"/>
          <w:szCs w:val="22"/>
          <w:lang w:val="en-CA"/>
        </w:rPr>
        <w:footnoteReference w:id="17"/>
      </w:r>
      <w:r>
        <w:rPr>
          <w:rFonts w:ascii="Arial" w:hAnsi="Arial" w:cs="Arial"/>
          <w:sz w:val="22"/>
          <w:szCs w:val="22"/>
          <w:lang w:val="en-CA"/>
        </w:rPr>
        <w:t xml:space="preserve"> Project which collects and analyzes default and loss data in traditional </w:t>
      </w:r>
      <w:r w:rsidR="00DB507A">
        <w:rPr>
          <w:rFonts w:ascii="Arial" w:hAnsi="Arial" w:cs="Arial"/>
          <w:sz w:val="22"/>
          <w:szCs w:val="22"/>
          <w:lang w:val="en-CA"/>
        </w:rPr>
        <w:t>Trade Finance</w:t>
      </w:r>
      <w:r w:rsidR="000278D6">
        <w:rPr>
          <w:rFonts w:ascii="Arial" w:hAnsi="Arial" w:cs="Arial"/>
          <w:sz w:val="22"/>
          <w:szCs w:val="22"/>
          <w:lang w:val="en-CA"/>
        </w:rPr>
        <w:t xml:space="preserve"> since 2009</w:t>
      </w:r>
      <w:r>
        <w:rPr>
          <w:rFonts w:ascii="Arial" w:hAnsi="Arial" w:cs="Arial"/>
          <w:sz w:val="22"/>
          <w:szCs w:val="22"/>
          <w:lang w:val="en-CA"/>
        </w:rPr>
        <w:t xml:space="preserve">, paints a striking picture of the very low default and loss experience in </w:t>
      </w:r>
      <w:r w:rsidR="00DB507A">
        <w:rPr>
          <w:rFonts w:ascii="Arial" w:hAnsi="Arial" w:cs="Arial"/>
          <w:sz w:val="22"/>
          <w:szCs w:val="22"/>
          <w:lang w:val="en-CA"/>
        </w:rPr>
        <w:t>Trade Finance</w:t>
      </w:r>
      <w:r>
        <w:rPr>
          <w:rFonts w:ascii="Arial" w:hAnsi="Arial" w:cs="Arial"/>
          <w:sz w:val="22"/>
          <w:szCs w:val="22"/>
          <w:lang w:val="en-CA"/>
        </w:rPr>
        <w:t xml:space="preserve">, over a period of </w:t>
      </w:r>
      <w:r w:rsidR="000278D6">
        <w:rPr>
          <w:rFonts w:ascii="Arial" w:hAnsi="Arial" w:cs="Arial"/>
          <w:sz w:val="22"/>
          <w:szCs w:val="22"/>
          <w:lang w:val="en-CA"/>
        </w:rPr>
        <w:t>multiple</w:t>
      </w:r>
      <w:r>
        <w:rPr>
          <w:rFonts w:ascii="Arial" w:hAnsi="Arial" w:cs="Arial"/>
          <w:sz w:val="22"/>
          <w:szCs w:val="22"/>
          <w:lang w:val="en-CA"/>
        </w:rPr>
        <w:t xml:space="preserve"> years and across millions of transactions from contributing banks that represent perhaps 60% of bank-intermediated </w:t>
      </w:r>
      <w:r w:rsidR="00DB507A">
        <w:rPr>
          <w:rFonts w:ascii="Arial" w:hAnsi="Arial" w:cs="Arial"/>
          <w:sz w:val="22"/>
          <w:szCs w:val="22"/>
          <w:lang w:val="en-CA"/>
        </w:rPr>
        <w:t>Trade Finance</w:t>
      </w:r>
      <w:r>
        <w:rPr>
          <w:rFonts w:ascii="Arial" w:hAnsi="Arial" w:cs="Arial"/>
          <w:sz w:val="22"/>
          <w:szCs w:val="22"/>
          <w:lang w:val="en-CA"/>
        </w:rPr>
        <w:t xml:space="preserve"> globally.</w:t>
      </w:r>
      <w:r w:rsidR="002E03D4">
        <w:rPr>
          <w:rFonts w:ascii="Arial" w:hAnsi="Arial" w:cs="Arial"/>
          <w:sz w:val="22"/>
          <w:szCs w:val="22"/>
          <w:lang w:val="en-CA"/>
        </w:rPr>
        <w:t xml:space="preserve"> </w:t>
      </w:r>
    </w:p>
    <w:p w14:paraId="289C82CE" w14:textId="77777777" w:rsidR="009B2845" w:rsidRDefault="009B2845" w:rsidP="00DB473A">
      <w:pPr>
        <w:jc w:val="both"/>
        <w:rPr>
          <w:rFonts w:ascii="Arial" w:hAnsi="Arial" w:cs="Arial"/>
          <w:sz w:val="22"/>
          <w:szCs w:val="22"/>
          <w:lang w:val="en-CA"/>
        </w:rPr>
      </w:pPr>
    </w:p>
    <w:p w14:paraId="1752D59B" w14:textId="77777777" w:rsidR="009B2845" w:rsidRDefault="00F871A1" w:rsidP="00F871A1">
      <w:pPr>
        <w:pStyle w:val="Caption"/>
        <w:rPr>
          <w:rFonts w:ascii="Arial" w:hAnsi="Arial" w:cs="Arial"/>
          <w:sz w:val="22"/>
          <w:szCs w:val="22"/>
          <w:lang w:val="en-CA"/>
        </w:rPr>
      </w:pPr>
      <w:bookmarkStart w:id="57" w:name="_Toc436042288"/>
      <w:r>
        <w:t xml:space="preserve">Figure </w:t>
      </w:r>
      <w:r>
        <w:fldChar w:fldCharType="begin"/>
      </w:r>
      <w:r>
        <w:instrText xml:space="preserve"> SEQ Figure \* ARABIC </w:instrText>
      </w:r>
      <w:r>
        <w:fldChar w:fldCharType="separate"/>
      </w:r>
      <w:r w:rsidR="00A73BD5">
        <w:rPr>
          <w:noProof/>
        </w:rPr>
        <w:t>24</w:t>
      </w:r>
      <w:r>
        <w:fldChar w:fldCharType="end"/>
      </w:r>
      <w:r>
        <w:t xml:space="preserve">: </w:t>
      </w:r>
      <w:r w:rsidRPr="00F871A1">
        <w:t>Trade Finance Default and Loss Rates</w:t>
      </w:r>
      <w:bookmarkEnd w:id="57"/>
    </w:p>
    <w:p w14:paraId="5FD95AB2" w14:textId="77777777" w:rsidR="009B2845" w:rsidRPr="007B19F8" w:rsidRDefault="009B2845" w:rsidP="009B2845">
      <w:pPr>
        <w:ind w:hanging="567"/>
        <w:jc w:val="center"/>
        <w:rPr>
          <w:rFonts w:ascii="Arial" w:hAnsi="Arial" w:cs="Arial"/>
          <w:sz w:val="22"/>
          <w:szCs w:val="22"/>
          <w:lang w:val="en-CA"/>
        </w:rPr>
      </w:pPr>
      <w:r w:rsidRPr="009B2845">
        <w:rPr>
          <w:noProof/>
          <w:lang w:val="en-GB" w:eastAsia="en-GB"/>
        </w:rPr>
        <w:drawing>
          <wp:inline distT="0" distB="0" distL="0" distR="0" wp14:anchorId="110C4CEB" wp14:editId="1FEF8DBE">
            <wp:extent cx="5554980" cy="21007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4560" cy="2100595"/>
                    </a:xfrm>
                    <a:prstGeom prst="rect">
                      <a:avLst/>
                    </a:prstGeom>
                    <a:noFill/>
                    <a:ln>
                      <a:noFill/>
                    </a:ln>
                  </pic:spPr>
                </pic:pic>
              </a:graphicData>
            </a:graphic>
          </wp:inline>
        </w:drawing>
      </w:r>
    </w:p>
    <w:p w14:paraId="30795221" w14:textId="77777777" w:rsidR="009B2845" w:rsidRPr="00F871A1" w:rsidRDefault="009B2845" w:rsidP="007B19F8">
      <w:pPr>
        <w:rPr>
          <w:rStyle w:val="Emphasis"/>
          <w:lang w:val="en-GB"/>
        </w:rPr>
      </w:pPr>
      <w:r w:rsidRPr="00F871A1">
        <w:rPr>
          <w:rStyle w:val="Emphasis"/>
          <w:lang w:val="en-GB"/>
        </w:rPr>
        <w:t>Source: ICC Trade Register, ICC Banking Commission, 2013</w:t>
      </w:r>
    </w:p>
    <w:p w14:paraId="3950924E" w14:textId="77777777" w:rsidR="000A489C" w:rsidRDefault="000A489C" w:rsidP="007B19F8">
      <w:pPr>
        <w:rPr>
          <w:rFonts w:ascii="Arial" w:hAnsi="Arial" w:cs="Arial"/>
          <w:sz w:val="22"/>
          <w:szCs w:val="22"/>
          <w:lang w:val="en-CA"/>
        </w:rPr>
      </w:pPr>
    </w:p>
    <w:p w14:paraId="63099DC4" w14:textId="77777777" w:rsidR="000A489C" w:rsidRPr="007B19F8" w:rsidRDefault="000A489C" w:rsidP="00EA64D8">
      <w:pPr>
        <w:rPr>
          <w:rFonts w:ascii="Arial" w:hAnsi="Arial" w:cs="Arial"/>
          <w:sz w:val="22"/>
          <w:szCs w:val="22"/>
          <w:lang w:val="en-CA"/>
        </w:rPr>
      </w:pPr>
      <w:r>
        <w:rPr>
          <w:rFonts w:ascii="Arial" w:hAnsi="Arial" w:cs="Arial"/>
          <w:sz w:val="22"/>
          <w:szCs w:val="22"/>
          <w:lang w:val="en-CA"/>
        </w:rPr>
        <w:t xml:space="preserve">The favourable default and risk profile of </w:t>
      </w:r>
      <w:r w:rsidR="00DB507A">
        <w:rPr>
          <w:rFonts w:ascii="Arial" w:hAnsi="Arial" w:cs="Arial"/>
          <w:sz w:val="22"/>
          <w:szCs w:val="22"/>
          <w:lang w:val="en-CA"/>
        </w:rPr>
        <w:t>Trade Finance</w:t>
      </w:r>
      <w:r>
        <w:rPr>
          <w:rFonts w:ascii="Arial" w:hAnsi="Arial" w:cs="Arial"/>
          <w:sz w:val="22"/>
          <w:szCs w:val="22"/>
          <w:lang w:val="en-CA"/>
        </w:rPr>
        <w:t xml:space="preserve"> supports the leveraging of this form of financing in support of international </w:t>
      </w:r>
      <w:r w:rsidRPr="00EA64D8">
        <w:rPr>
          <w:rFonts w:ascii="Arial" w:hAnsi="Arial" w:cs="Arial"/>
          <w:sz w:val="22"/>
          <w:szCs w:val="22"/>
          <w:lang w:val="en-CA"/>
        </w:rPr>
        <w:t>development</w:t>
      </w:r>
      <w:r>
        <w:rPr>
          <w:rFonts w:ascii="Arial" w:hAnsi="Arial" w:cs="Arial"/>
          <w:sz w:val="22"/>
          <w:szCs w:val="22"/>
          <w:lang w:val="en-CA"/>
        </w:rPr>
        <w:t xml:space="preserve"> and poverty reduction in what might be the most challenging (and thus highest-need) markets on the globe.</w:t>
      </w:r>
    </w:p>
    <w:p w14:paraId="02F64378" w14:textId="77777777" w:rsidR="00764C4D" w:rsidRPr="007B19F8" w:rsidRDefault="00764C4D" w:rsidP="007B19F8">
      <w:pPr>
        <w:rPr>
          <w:rFonts w:ascii="Arial" w:hAnsi="Arial" w:cs="Arial"/>
          <w:sz w:val="22"/>
          <w:szCs w:val="22"/>
          <w:lang w:val="en-CA"/>
        </w:rPr>
      </w:pPr>
    </w:p>
    <w:p w14:paraId="3C870F36" w14:textId="77777777" w:rsidR="000A489C" w:rsidRDefault="000A489C">
      <w:pPr>
        <w:rPr>
          <w:rFonts w:ascii="Arial" w:hAnsi="Arial" w:cs="Arial"/>
          <w:sz w:val="22"/>
          <w:szCs w:val="22"/>
          <w:u w:val="single"/>
          <w:lang w:val="en-CA"/>
        </w:rPr>
      </w:pPr>
      <w:r>
        <w:rPr>
          <w:rFonts w:ascii="Arial" w:hAnsi="Arial" w:cs="Arial"/>
          <w:sz w:val="22"/>
          <w:szCs w:val="22"/>
          <w:u w:val="single"/>
          <w:lang w:val="en-CA"/>
        </w:rPr>
        <w:br w:type="page"/>
      </w:r>
    </w:p>
    <w:p w14:paraId="245F6270" w14:textId="77777777" w:rsidR="000A489C" w:rsidRPr="00DC100D" w:rsidRDefault="000A489C" w:rsidP="00DC100D">
      <w:pPr>
        <w:pStyle w:val="Heading3"/>
        <w:rPr>
          <w:b w:val="0"/>
          <w:u w:val="single"/>
          <w:lang w:val="en-CA"/>
        </w:rPr>
      </w:pPr>
      <w:bookmarkStart w:id="58" w:name="_Toc436042214"/>
      <w:bookmarkStart w:id="59" w:name="_Toc441728577"/>
      <w:r w:rsidRPr="00DC100D">
        <w:rPr>
          <w:b w:val="0"/>
          <w:u w:val="single"/>
          <w:lang w:val="en-CA"/>
        </w:rPr>
        <w:lastRenderedPageBreak/>
        <w:t>Traditional Trade Finance is Paper and Process Intensive</w:t>
      </w:r>
      <w:bookmarkEnd w:id="58"/>
      <w:bookmarkEnd w:id="59"/>
    </w:p>
    <w:p w14:paraId="7A5028AB" w14:textId="77777777" w:rsidR="007C0214" w:rsidRDefault="000A489C" w:rsidP="000A489C">
      <w:pPr>
        <w:jc w:val="both"/>
        <w:rPr>
          <w:rFonts w:ascii="Arial" w:hAnsi="Arial" w:cs="Arial"/>
          <w:sz w:val="22"/>
          <w:szCs w:val="22"/>
          <w:lang w:val="en-CA"/>
        </w:rPr>
      </w:pPr>
      <w:r>
        <w:rPr>
          <w:rFonts w:ascii="Arial" w:hAnsi="Arial" w:cs="Arial"/>
          <w:sz w:val="22"/>
          <w:szCs w:val="22"/>
          <w:lang w:val="en-CA"/>
        </w:rPr>
        <w:t>The use of traditional mechanisms such as documentary letters of credit involves decades-old processes and transactions</w:t>
      </w:r>
      <w:r w:rsidR="007C0214">
        <w:rPr>
          <w:rFonts w:ascii="Arial" w:hAnsi="Arial" w:cs="Arial"/>
          <w:sz w:val="22"/>
          <w:szCs w:val="22"/>
          <w:lang w:val="en-CA"/>
        </w:rPr>
        <w:t xml:space="preserve">, significant paper flow and significant levels of human intervention, including levels of subjective analysis and </w:t>
      </w:r>
      <w:proofErr w:type="spellStart"/>
      <w:r w:rsidR="007C0214">
        <w:rPr>
          <w:rFonts w:ascii="Arial" w:hAnsi="Arial" w:cs="Arial"/>
          <w:sz w:val="22"/>
          <w:szCs w:val="22"/>
          <w:lang w:val="en-CA"/>
        </w:rPr>
        <w:t>decisioning</w:t>
      </w:r>
      <w:proofErr w:type="spellEnd"/>
      <w:r w:rsidR="007C0214">
        <w:rPr>
          <w:rFonts w:ascii="Arial" w:hAnsi="Arial" w:cs="Arial"/>
          <w:sz w:val="22"/>
          <w:szCs w:val="22"/>
          <w:lang w:val="en-CA"/>
        </w:rPr>
        <w:t>.</w:t>
      </w:r>
      <w:r w:rsidR="001A150E">
        <w:rPr>
          <w:rFonts w:ascii="Arial" w:hAnsi="Arial" w:cs="Arial"/>
          <w:sz w:val="22"/>
          <w:szCs w:val="22"/>
          <w:lang w:val="en-CA"/>
        </w:rPr>
        <w:t xml:space="preserve"> </w:t>
      </w:r>
      <w:r w:rsidR="00DB1426">
        <w:rPr>
          <w:rFonts w:ascii="Arial" w:hAnsi="Arial" w:cs="Arial"/>
          <w:sz w:val="22"/>
          <w:szCs w:val="22"/>
          <w:lang w:val="en-CA"/>
        </w:rPr>
        <w:t xml:space="preserve">These historic realities, coupled with the high transaction costs, have combined to drive </w:t>
      </w:r>
      <w:r w:rsidR="00313782">
        <w:rPr>
          <w:rFonts w:ascii="Arial" w:hAnsi="Arial" w:cs="Arial"/>
          <w:sz w:val="22"/>
          <w:szCs w:val="22"/>
          <w:lang w:val="en-CA"/>
        </w:rPr>
        <w:t>buyer</w:t>
      </w:r>
      <w:r w:rsidR="00DB1426">
        <w:rPr>
          <w:rFonts w:ascii="Arial" w:hAnsi="Arial" w:cs="Arial"/>
          <w:sz w:val="22"/>
          <w:szCs w:val="22"/>
          <w:lang w:val="en-CA"/>
        </w:rPr>
        <w:t xml:space="preserve">s and </w:t>
      </w:r>
      <w:r w:rsidR="00936C60">
        <w:rPr>
          <w:rFonts w:ascii="Arial" w:hAnsi="Arial" w:cs="Arial"/>
          <w:sz w:val="22"/>
          <w:szCs w:val="22"/>
          <w:lang w:val="en-CA"/>
        </w:rPr>
        <w:t>supplier</w:t>
      </w:r>
      <w:r w:rsidR="00DB1426">
        <w:rPr>
          <w:rFonts w:ascii="Arial" w:hAnsi="Arial" w:cs="Arial"/>
          <w:sz w:val="22"/>
          <w:szCs w:val="22"/>
          <w:lang w:val="en-CA"/>
        </w:rPr>
        <w:t xml:space="preserve">s to seek alternate solutions – the most promising of which has been a shift to open account trade flows and </w:t>
      </w:r>
      <w:r w:rsidR="00416929">
        <w:rPr>
          <w:rFonts w:ascii="Arial" w:hAnsi="Arial" w:cs="Arial"/>
          <w:sz w:val="22"/>
          <w:szCs w:val="22"/>
          <w:lang w:val="en-CA"/>
        </w:rPr>
        <w:t>Supply Chain F</w:t>
      </w:r>
      <w:r w:rsidR="00DB1426">
        <w:rPr>
          <w:rFonts w:ascii="Arial" w:hAnsi="Arial" w:cs="Arial"/>
          <w:sz w:val="22"/>
          <w:szCs w:val="22"/>
          <w:lang w:val="en-CA"/>
        </w:rPr>
        <w:t>inance.</w:t>
      </w:r>
    </w:p>
    <w:p w14:paraId="70351AFC" w14:textId="77777777" w:rsidR="00DB1426" w:rsidRDefault="00DB1426" w:rsidP="000A489C">
      <w:pPr>
        <w:jc w:val="both"/>
        <w:rPr>
          <w:rFonts w:ascii="Arial" w:hAnsi="Arial" w:cs="Arial"/>
          <w:sz w:val="22"/>
          <w:szCs w:val="22"/>
          <w:lang w:val="en-CA"/>
        </w:rPr>
      </w:pPr>
    </w:p>
    <w:p w14:paraId="405920EB" w14:textId="77777777" w:rsidR="00DB1426" w:rsidRDefault="00611156" w:rsidP="000A489C">
      <w:pPr>
        <w:jc w:val="both"/>
        <w:rPr>
          <w:rFonts w:ascii="Arial" w:hAnsi="Arial" w:cs="Arial"/>
          <w:sz w:val="22"/>
          <w:szCs w:val="22"/>
          <w:lang w:val="en-CA"/>
        </w:rPr>
      </w:pPr>
      <w:r>
        <w:rPr>
          <w:rFonts w:ascii="Arial" w:hAnsi="Arial" w:cs="Arial"/>
          <w:sz w:val="22"/>
          <w:szCs w:val="22"/>
          <w:lang w:val="en-CA"/>
        </w:rPr>
        <w:t xml:space="preserve">Given that leading models in </w:t>
      </w:r>
      <w:r w:rsidR="00416929">
        <w:rPr>
          <w:rFonts w:ascii="Arial" w:hAnsi="Arial" w:cs="Arial"/>
          <w:sz w:val="22"/>
          <w:szCs w:val="22"/>
          <w:lang w:val="en-CA"/>
        </w:rPr>
        <w:t>Trade F</w:t>
      </w:r>
      <w:r>
        <w:rPr>
          <w:rFonts w:ascii="Arial" w:hAnsi="Arial" w:cs="Arial"/>
          <w:sz w:val="22"/>
          <w:szCs w:val="22"/>
          <w:lang w:val="en-CA"/>
        </w:rPr>
        <w:t xml:space="preserve">acilitation and </w:t>
      </w:r>
      <w:r w:rsidR="00416929">
        <w:rPr>
          <w:rFonts w:ascii="Arial" w:hAnsi="Arial" w:cs="Arial"/>
          <w:sz w:val="22"/>
          <w:szCs w:val="22"/>
          <w:lang w:val="en-CA"/>
        </w:rPr>
        <w:t>S</w:t>
      </w:r>
      <w:r>
        <w:rPr>
          <w:rFonts w:ascii="Arial" w:hAnsi="Arial" w:cs="Arial"/>
          <w:sz w:val="22"/>
          <w:szCs w:val="22"/>
          <w:lang w:val="en-CA"/>
        </w:rPr>
        <w:t xml:space="preserve">ingle </w:t>
      </w:r>
      <w:r w:rsidR="00416929">
        <w:rPr>
          <w:rFonts w:ascii="Arial" w:hAnsi="Arial" w:cs="Arial"/>
          <w:sz w:val="22"/>
          <w:szCs w:val="22"/>
          <w:lang w:val="en-CA"/>
        </w:rPr>
        <w:t>W</w:t>
      </w:r>
      <w:r>
        <w:rPr>
          <w:rFonts w:ascii="Arial" w:hAnsi="Arial" w:cs="Arial"/>
          <w:sz w:val="22"/>
          <w:szCs w:val="22"/>
          <w:lang w:val="en-CA"/>
        </w:rPr>
        <w:t>indow market access have sought to leverage technology</w:t>
      </w:r>
      <w:r w:rsidR="00F1078D">
        <w:rPr>
          <w:rFonts w:ascii="Arial" w:hAnsi="Arial" w:cs="Arial"/>
          <w:sz w:val="22"/>
          <w:szCs w:val="22"/>
          <w:lang w:val="en-CA"/>
        </w:rPr>
        <w:t xml:space="preserve"> to the greatest extent, there might legitimately be a perception that there is a </w:t>
      </w:r>
      <w:proofErr w:type="spellStart"/>
      <w:r w:rsidR="00F1078D">
        <w:rPr>
          <w:rFonts w:ascii="Arial" w:hAnsi="Arial" w:cs="Arial"/>
          <w:sz w:val="22"/>
          <w:szCs w:val="22"/>
          <w:lang w:val="en-CA"/>
        </w:rPr>
        <w:t>mis</w:t>
      </w:r>
      <w:proofErr w:type="spellEnd"/>
      <w:r w:rsidR="00F1078D">
        <w:rPr>
          <w:rFonts w:ascii="Arial" w:hAnsi="Arial" w:cs="Arial"/>
          <w:sz w:val="22"/>
          <w:szCs w:val="22"/>
          <w:lang w:val="en-CA"/>
        </w:rPr>
        <w:t xml:space="preserve">-match in the evolution rates of </w:t>
      </w:r>
      <w:r w:rsidR="00DB507A">
        <w:rPr>
          <w:rFonts w:ascii="Arial" w:hAnsi="Arial" w:cs="Arial"/>
          <w:sz w:val="22"/>
          <w:szCs w:val="22"/>
          <w:lang w:val="en-CA"/>
        </w:rPr>
        <w:t>Trade Finance</w:t>
      </w:r>
      <w:r w:rsidR="00F1078D">
        <w:rPr>
          <w:rFonts w:ascii="Arial" w:hAnsi="Arial" w:cs="Arial"/>
          <w:sz w:val="22"/>
          <w:szCs w:val="22"/>
          <w:lang w:val="en-CA"/>
        </w:rPr>
        <w:t xml:space="preserve"> and </w:t>
      </w:r>
      <w:r w:rsidR="00416929">
        <w:rPr>
          <w:rFonts w:ascii="Arial" w:hAnsi="Arial" w:cs="Arial"/>
          <w:sz w:val="22"/>
          <w:szCs w:val="22"/>
          <w:lang w:val="en-CA"/>
        </w:rPr>
        <w:t>Trade F</w:t>
      </w:r>
      <w:r w:rsidR="00F1078D">
        <w:rPr>
          <w:rFonts w:ascii="Arial" w:hAnsi="Arial" w:cs="Arial"/>
          <w:sz w:val="22"/>
          <w:szCs w:val="22"/>
          <w:lang w:val="en-CA"/>
        </w:rPr>
        <w:t>acilitation.</w:t>
      </w:r>
    </w:p>
    <w:p w14:paraId="3650BC73" w14:textId="77777777" w:rsidR="00F1078D" w:rsidRDefault="00F1078D" w:rsidP="000A489C">
      <w:pPr>
        <w:jc w:val="both"/>
        <w:rPr>
          <w:rFonts w:ascii="Arial" w:hAnsi="Arial" w:cs="Arial"/>
          <w:sz w:val="22"/>
          <w:szCs w:val="22"/>
          <w:lang w:val="en-CA"/>
        </w:rPr>
      </w:pPr>
    </w:p>
    <w:p w14:paraId="525A62E4" w14:textId="77777777" w:rsidR="00F1078D" w:rsidRDefault="00457BC2" w:rsidP="000A489C">
      <w:pPr>
        <w:jc w:val="both"/>
        <w:rPr>
          <w:rFonts w:ascii="Arial" w:hAnsi="Arial" w:cs="Arial"/>
          <w:sz w:val="22"/>
          <w:szCs w:val="22"/>
          <w:lang w:val="en-CA"/>
        </w:rPr>
      </w:pPr>
      <w:r>
        <w:rPr>
          <w:rFonts w:ascii="Arial" w:hAnsi="Arial" w:cs="Arial"/>
          <w:sz w:val="22"/>
          <w:szCs w:val="22"/>
          <w:lang w:val="en-CA"/>
        </w:rPr>
        <w:t>D</w:t>
      </w:r>
      <w:r w:rsidR="00F1078D">
        <w:rPr>
          <w:rFonts w:ascii="Arial" w:hAnsi="Arial" w:cs="Arial"/>
          <w:sz w:val="22"/>
          <w:szCs w:val="22"/>
          <w:lang w:val="en-CA"/>
        </w:rPr>
        <w:t xml:space="preserve">eveloping markets </w:t>
      </w:r>
      <w:r>
        <w:rPr>
          <w:rFonts w:ascii="Arial" w:hAnsi="Arial" w:cs="Arial"/>
          <w:sz w:val="22"/>
          <w:szCs w:val="22"/>
          <w:lang w:val="en-CA"/>
        </w:rPr>
        <w:t xml:space="preserve">are not constrained by limitations inherent in legacy technology. Those </w:t>
      </w:r>
      <w:r w:rsidR="00F1078D">
        <w:rPr>
          <w:rFonts w:ascii="Arial" w:hAnsi="Arial" w:cs="Arial"/>
          <w:sz w:val="22"/>
          <w:szCs w:val="22"/>
          <w:lang w:val="en-CA"/>
        </w:rPr>
        <w:t xml:space="preserve">that benefit from the </w:t>
      </w:r>
      <w:r>
        <w:rPr>
          <w:rFonts w:ascii="Arial" w:hAnsi="Arial" w:cs="Arial"/>
          <w:sz w:val="22"/>
          <w:szCs w:val="22"/>
          <w:lang w:val="en-CA"/>
        </w:rPr>
        <w:t>option</w:t>
      </w:r>
      <w:r w:rsidR="00F1078D">
        <w:rPr>
          <w:rFonts w:ascii="Arial" w:hAnsi="Arial" w:cs="Arial"/>
          <w:sz w:val="22"/>
          <w:szCs w:val="22"/>
          <w:lang w:val="en-CA"/>
        </w:rPr>
        <w:t xml:space="preserve"> to ‘leapfrog’ </w:t>
      </w:r>
      <w:r>
        <w:rPr>
          <w:rFonts w:ascii="Arial" w:hAnsi="Arial" w:cs="Arial"/>
          <w:sz w:val="22"/>
          <w:szCs w:val="22"/>
          <w:lang w:val="en-CA"/>
        </w:rPr>
        <w:t xml:space="preserve">these </w:t>
      </w:r>
      <w:r w:rsidR="00F1078D">
        <w:rPr>
          <w:rFonts w:ascii="Arial" w:hAnsi="Arial" w:cs="Arial"/>
          <w:sz w:val="22"/>
          <w:szCs w:val="22"/>
          <w:lang w:val="en-CA"/>
        </w:rPr>
        <w:t>legacy technologies</w:t>
      </w:r>
      <w:r w:rsidR="000278D6">
        <w:rPr>
          <w:rFonts w:ascii="Arial" w:hAnsi="Arial" w:cs="Arial"/>
          <w:sz w:val="22"/>
          <w:szCs w:val="22"/>
          <w:lang w:val="en-CA"/>
        </w:rPr>
        <w:t xml:space="preserve"> (literally, the notion that one can simply skip altogether, or jump over, expensive old technologies) </w:t>
      </w:r>
      <w:r w:rsidR="00F1078D">
        <w:rPr>
          <w:rFonts w:ascii="Arial" w:hAnsi="Arial" w:cs="Arial"/>
          <w:sz w:val="22"/>
          <w:szCs w:val="22"/>
          <w:lang w:val="en-CA"/>
        </w:rPr>
        <w:t xml:space="preserve"> </w:t>
      </w:r>
      <w:r w:rsidR="00B560F5">
        <w:rPr>
          <w:rFonts w:ascii="Arial" w:hAnsi="Arial" w:cs="Arial"/>
          <w:sz w:val="22"/>
          <w:szCs w:val="22"/>
          <w:lang w:val="en-CA"/>
        </w:rPr>
        <w:t>and build models on the basis of the latest capabilities</w:t>
      </w:r>
      <w:r w:rsidR="00783CAA">
        <w:rPr>
          <w:rFonts w:ascii="Arial" w:hAnsi="Arial" w:cs="Arial"/>
          <w:sz w:val="22"/>
          <w:szCs w:val="22"/>
          <w:lang w:val="en-CA"/>
        </w:rPr>
        <w:t xml:space="preserve"> are also the markets most in need of the combined proposition of facilitation and </w:t>
      </w:r>
      <w:r w:rsidR="00971831">
        <w:rPr>
          <w:rFonts w:ascii="Arial" w:hAnsi="Arial" w:cs="Arial"/>
          <w:sz w:val="22"/>
          <w:szCs w:val="22"/>
          <w:lang w:val="en-CA"/>
        </w:rPr>
        <w:t>financing</w:t>
      </w:r>
      <w:r w:rsidR="00783CAA">
        <w:rPr>
          <w:rFonts w:ascii="Arial" w:hAnsi="Arial" w:cs="Arial"/>
          <w:sz w:val="22"/>
          <w:szCs w:val="22"/>
          <w:lang w:val="en-CA"/>
        </w:rPr>
        <w:t>.</w:t>
      </w:r>
    </w:p>
    <w:p w14:paraId="709099DE" w14:textId="77777777" w:rsidR="00783CAA" w:rsidRDefault="00783CAA" w:rsidP="000A489C">
      <w:pPr>
        <w:jc w:val="both"/>
        <w:rPr>
          <w:rFonts w:ascii="Arial" w:hAnsi="Arial" w:cs="Arial"/>
          <w:sz w:val="22"/>
          <w:szCs w:val="22"/>
          <w:lang w:val="en-CA"/>
        </w:rPr>
      </w:pPr>
    </w:p>
    <w:p w14:paraId="766BE011" w14:textId="77777777" w:rsidR="00416929" w:rsidRDefault="00783CAA" w:rsidP="000A489C">
      <w:pPr>
        <w:jc w:val="both"/>
        <w:rPr>
          <w:rFonts w:ascii="Arial" w:hAnsi="Arial" w:cs="Arial"/>
          <w:sz w:val="22"/>
          <w:szCs w:val="22"/>
          <w:lang w:val="en-CA"/>
        </w:rPr>
      </w:pPr>
      <w:r w:rsidRPr="00BF1943">
        <w:rPr>
          <w:rFonts w:ascii="Arial" w:hAnsi="Arial" w:cs="Arial"/>
          <w:sz w:val="22"/>
          <w:szCs w:val="22"/>
          <w:lang w:val="en-CA"/>
        </w:rPr>
        <w:t>Trade</w:t>
      </w:r>
      <w:r>
        <w:rPr>
          <w:rFonts w:ascii="Arial" w:hAnsi="Arial" w:cs="Arial"/>
          <w:sz w:val="22"/>
          <w:szCs w:val="22"/>
          <w:lang w:val="en-CA"/>
        </w:rPr>
        <w:t xml:space="preserve"> </w:t>
      </w:r>
      <w:r w:rsidR="00416929">
        <w:rPr>
          <w:rFonts w:ascii="Arial" w:hAnsi="Arial" w:cs="Arial"/>
          <w:sz w:val="22"/>
          <w:szCs w:val="22"/>
          <w:lang w:val="en-CA"/>
        </w:rPr>
        <w:t>F</w:t>
      </w:r>
      <w:r w:rsidR="00BF1943">
        <w:rPr>
          <w:rFonts w:ascii="Arial" w:hAnsi="Arial" w:cs="Arial"/>
          <w:sz w:val="22"/>
          <w:szCs w:val="22"/>
          <w:lang w:val="en-CA"/>
        </w:rPr>
        <w:t xml:space="preserve">inance </w:t>
      </w:r>
      <w:r>
        <w:rPr>
          <w:rFonts w:ascii="Arial" w:hAnsi="Arial" w:cs="Arial"/>
          <w:sz w:val="22"/>
          <w:szCs w:val="22"/>
          <w:lang w:val="en-CA"/>
        </w:rPr>
        <w:t xml:space="preserve">and </w:t>
      </w:r>
      <w:r w:rsidR="00416929">
        <w:rPr>
          <w:rFonts w:ascii="Arial" w:hAnsi="Arial" w:cs="Arial"/>
          <w:sz w:val="22"/>
          <w:szCs w:val="22"/>
          <w:lang w:val="en-CA"/>
        </w:rPr>
        <w:t>S</w:t>
      </w:r>
      <w:r>
        <w:rPr>
          <w:rFonts w:ascii="Arial" w:hAnsi="Arial" w:cs="Arial"/>
          <w:sz w:val="22"/>
          <w:szCs w:val="22"/>
          <w:lang w:val="en-CA"/>
        </w:rPr>
        <w:t xml:space="preserve">upply </w:t>
      </w:r>
      <w:r w:rsidR="00416929">
        <w:rPr>
          <w:rFonts w:ascii="Arial" w:hAnsi="Arial" w:cs="Arial"/>
          <w:sz w:val="22"/>
          <w:szCs w:val="22"/>
          <w:lang w:val="en-CA"/>
        </w:rPr>
        <w:t>C</w:t>
      </w:r>
      <w:r>
        <w:rPr>
          <w:rFonts w:ascii="Arial" w:hAnsi="Arial" w:cs="Arial"/>
          <w:sz w:val="22"/>
          <w:szCs w:val="22"/>
          <w:lang w:val="en-CA"/>
        </w:rPr>
        <w:t xml:space="preserve">hain </w:t>
      </w:r>
      <w:r w:rsidR="00416929">
        <w:rPr>
          <w:rFonts w:ascii="Arial" w:hAnsi="Arial" w:cs="Arial"/>
          <w:sz w:val="22"/>
          <w:szCs w:val="22"/>
          <w:lang w:val="en-CA"/>
        </w:rPr>
        <w:t>F</w:t>
      </w:r>
      <w:r>
        <w:rPr>
          <w:rFonts w:ascii="Arial" w:hAnsi="Arial" w:cs="Arial"/>
          <w:sz w:val="22"/>
          <w:szCs w:val="22"/>
          <w:lang w:val="en-CA"/>
        </w:rPr>
        <w:t xml:space="preserve">inance practitioners have recognized the imperative to evolve, and there has been a transformational evolution in eliminating paper and process from even the most traditional of </w:t>
      </w:r>
      <w:r w:rsidR="00DB507A">
        <w:rPr>
          <w:rFonts w:ascii="Arial" w:hAnsi="Arial" w:cs="Arial"/>
          <w:sz w:val="22"/>
          <w:szCs w:val="22"/>
          <w:lang w:val="en-CA"/>
        </w:rPr>
        <w:t>Trade Finance</w:t>
      </w:r>
      <w:r>
        <w:rPr>
          <w:rFonts w:ascii="Arial" w:hAnsi="Arial" w:cs="Arial"/>
          <w:sz w:val="22"/>
          <w:szCs w:val="22"/>
          <w:lang w:val="en-CA"/>
        </w:rPr>
        <w:t xml:space="preserve"> solutions. </w:t>
      </w:r>
    </w:p>
    <w:p w14:paraId="237FE749" w14:textId="77777777" w:rsidR="000278D6" w:rsidRDefault="000278D6" w:rsidP="000A489C">
      <w:pPr>
        <w:jc w:val="both"/>
        <w:rPr>
          <w:rFonts w:ascii="Arial" w:hAnsi="Arial" w:cs="Arial"/>
          <w:sz w:val="22"/>
          <w:szCs w:val="22"/>
          <w:lang w:val="en-CA"/>
        </w:rPr>
      </w:pPr>
    </w:p>
    <w:p w14:paraId="7CD89FC7" w14:textId="77777777" w:rsidR="00783CAA" w:rsidRDefault="00783CAA" w:rsidP="000A489C">
      <w:pPr>
        <w:jc w:val="both"/>
        <w:rPr>
          <w:rFonts w:ascii="Arial" w:hAnsi="Arial" w:cs="Arial"/>
          <w:sz w:val="22"/>
          <w:szCs w:val="22"/>
          <w:lang w:val="en-CA"/>
        </w:rPr>
      </w:pPr>
      <w:r>
        <w:rPr>
          <w:rFonts w:ascii="Arial" w:hAnsi="Arial" w:cs="Arial"/>
          <w:sz w:val="22"/>
          <w:szCs w:val="22"/>
          <w:lang w:val="en-CA"/>
        </w:rPr>
        <w:t>Market uptake of the data-based “Bank Payment Obligation” is increasing while the dematerialization of marine bills of lading has been achieved and commercialized most notably through the efforts</w:t>
      </w:r>
      <w:r w:rsidR="00BF1943">
        <w:rPr>
          <w:rFonts w:ascii="Arial" w:hAnsi="Arial" w:cs="Arial"/>
          <w:sz w:val="22"/>
          <w:szCs w:val="22"/>
          <w:lang w:val="en-CA"/>
        </w:rPr>
        <w:t xml:space="preserve"> </w:t>
      </w:r>
      <w:r w:rsidR="005C626D">
        <w:rPr>
          <w:rFonts w:ascii="Arial" w:hAnsi="Arial" w:cs="Arial"/>
          <w:sz w:val="22"/>
          <w:szCs w:val="22"/>
          <w:lang w:val="en-CA"/>
        </w:rPr>
        <w:t>of a</w:t>
      </w:r>
      <w:r w:rsidR="00BF1943">
        <w:rPr>
          <w:rFonts w:ascii="Arial" w:hAnsi="Arial" w:cs="Arial"/>
          <w:sz w:val="22"/>
          <w:szCs w:val="22"/>
          <w:lang w:val="en-CA"/>
        </w:rPr>
        <w:t xml:space="preserve"> company called </w:t>
      </w:r>
      <w:proofErr w:type="spellStart"/>
      <w:r>
        <w:rPr>
          <w:rFonts w:ascii="Arial" w:hAnsi="Arial" w:cs="Arial"/>
          <w:sz w:val="22"/>
          <w:szCs w:val="22"/>
          <w:lang w:val="en-CA"/>
        </w:rPr>
        <w:t>essDocs</w:t>
      </w:r>
      <w:proofErr w:type="spellEnd"/>
      <w:r w:rsidR="00416929">
        <w:rPr>
          <w:rStyle w:val="FootnoteReference"/>
          <w:rFonts w:ascii="Arial" w:hAnsi="Arial" w:cs="Arial"/>
          <w:sz w:val="22"/>
          <w:szCs w:val="22"/>
          <w:lang w:val="en-CA"/>
        </w:rPr>
        <w:footnoteReference w:id="18"/>
      </w:r>
      <w:r>
        <w:rPr>
          <w:rFonts w:ascii="Arial" w:hAnsi="Arial" w:cs="Arial"/>
          <w:sz w:val="22"/>
          <w:szCs w:val="22"/>
          <w:lang w:val="en-CA"/>
        </w:rPr>
        <w:t xml:space="preserve"> among other market players.</w:t>
      </w:r>
    </w:p>
    <w:p w14:paraId="1D768158" w14:textId="77777777" w:rsidR="00DC100D" w:rsidRDefault="00DC100D" w:rsidP="000A489C">
      <w:pPr>
        <w:jc w:val="both"/>
        <w:rPr>
          <w:rFonts w:ascii="Arial" w:hAnsi="Arial" w:cs="Arial"/>
          <w:sz w:val="22"/>
          <w:szCs w:val="22"/>
          <w:lang w:val="en-CA"/>
        </w:rPr>
      </w:pPr>
    </w:p>
    <w:p w14:paraId="664CBDBF" w14:textId="77777777" w:rsidR="00DC100D" w:rsidRDefault="00DC100D" w:rsidP="00DC100D">
      <w:pPr>
        <w:pStyle w:val="Caption"/>
        <w:rPr>
          <w:rFonts w:ascii="Arial" w:hAnsi="Arial" w:cs="Arial"/>
          <w:sz w:val="22"/>
          <w:szCs w:val="22"/>
          <w:lang w:val="en-CA"/>
        </w:rPr>
      </w:pPr>
      <w:bookmarkStart w:id="60" w:name="_Toc436042289"/>
      <w:r>
        <w:t xml:space="preserve">Figure </w:t>
      </w:r>
      <w:r>
        <w:fldChar w:fldCharType="begin"/>
      </w:r>
      <w:r>
        <w:instrText xml:space="preserve"> SEQ Figure \* ARABIC </w:instrText>
      </w:r>
      <w:r>
        <w:fldChar w:fldCharType="separate"/>
      </w:r>
      <w:r w:rsidR="00A73BD5">
        <w:rPr>
          <w:noProof/>
        </w:rPr>
        <w:t>25</w:t>
      </w:r>
      <w:r>
        <w:fldChar w:fldCharType="end"/>
      </w:r>
      <w:r>
        <w:t>:</w:t>
      </w:r>
      <w:r w:rsidRPr="00DC100D">
        <w:t xml:space="preserve"> Positioning the Bank Payment Obligation</w:t>
      </w:r>
      <w:bookmarkEnd w:id="60"/>
    </w:p>
    <w:p w14:paraId="29182BBE" w14:textId="77777777" w:rsidR="00783CAA" w:rsidRPr="000A489C" w:rsidRDefault="001A150E" w:rsidP="000278D6">
      <w:pPr>
        <w:ind w:left="-851"/>
        <w:jc w:val="center"/>
        <w:rPr>
          <w:rFonts w:ascii="Arial" w:hAnsi="Arial" w:cs="Arial"/>
          <w:sz w:val="22"/>
          <w:szCs w:val="22"/>
          <w:lang w:val="en-CA"/>
        </w:rPr>
      </w:pPr>
      <w:r w:rsidRPr="001A150E">
        <w:rPr>
          <w:noProof/>
          <w:lang w:val="en-GB" w:eastAsia="en-GB"/>
        </w:rPr>
        <w:drawing>
          <wp:inline distT="0" distB="0" distL="0" distR="0" wp14:anchorId="441D789B" wp14:editId="39A8B032">
            <wp:extent cx="5600700" cy="2712288"/>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978" cy="2718234"/>
                    </a:xfrm>
                    <a:prstGeom prst="rect">
                      <a:avLst/>
                    </a:prstGeom>
                    <a:noFill/>
                    <a:ln>
                      <a:solidFill>
                        <a:schemeClr val="accent1"/>
                      </a:solidFill>
                    </a:ln>
                  </pic:spPr>
                </pic:pic>
              </a:graphicData>
            </a:graphic>
          </wp:inline>
        </w:drawing>
      </w:r>
    </w:p>
    <w:p w14:paraId="1F52EC52" w14:textId="77777777" w:rsidR="00810C63" w:rsidRPr="00DC100D" w:rsidRDefault="001A150E" w:rsidP="00810C63">
      <w:pPr>
        <w:rPr>
          <w:rStyle w:val="Emphasis"/>
          <w:lang w:val="en-GB"/>
        </w:rPr>
      </w:pPr>
      <w:r w:rsidRPr="00DC100D">
        <w:rPr>
          <w:rStyle w:val="Emphasis"/>
          <w:lang w:val="en-GB"/>
        </w:rPr>
        <w:t>Source: SWIFT</w:t>
      </w:r>
    </w:p>
    <w:p w14:paraId="4B40C687" w14:textId="77777777" w:rsidR="00810C63" w:rsidRPr="00810C63" w:rsidRDefault="00810C63" w:rsidP="00810C63">
      <w:pPr>
        <w:rPr>
          <w:rFonts w:ascii="Arial" w:hAnsi="Arial" w:cs="Arial"/>
          <w:sz w:val="22"/>
          <w:szCs w:val="22"/>
        </w:rPr>
      </w:pPr>
    </w:p>
    <w:p w14:paraId="0F0D007D" w14:textId="77777777" w:rsidR="00810C63" w:rsidRPr="00DC100D" w:rsidRDefault="00810C63" w:rsidP="00DC100D">
      <w:pPr>
        <w:pStyle w:val="Heading3"/>
        <w:rPr>
          <w:b w:val="0"/>
          <w:u w:val="single"/>
          <w:lang w:val="en-CA"/>
        </w:rPr>
      </w:pPr>
      <w:bookmarkStart w:id="61" w:name="_Toc436042215"/>
      <w:bookmarkStart w:id="62" w:name="_Toc441728578"/>
      <w:r w:rsidRPr="00DC100D">
        <w:rPr>
          <w:b w:val="0"/>
          <w:u w:val="single"/>
          <w:lang w:val="en-CA"/>
        </w:rPr>
        <w:lastRenderedPageBreak/>
        <w:t>Underservicing of SMEs and Developing Markets</w:t>
      </w:r>
      <w:bookmarkEnd w:id="61"/>
      <w:bookmarkEnd w:id="62"/>
    </w:p>
    <w:p w14:paraId="00D86DEA" w14:textId="77777777" w:rsidR="00810C63" w:rsidRDefault="00810C63" w:rsidP="00810C63">
      <w:pPr>
        <w:jc w:val="both"/>
        <w:rPr>
          <w:rFonts w:ascii="Arial" w:hAnsi="Arial" w:cs="Arial"/>
          <w:sz w:val="22"/>
          <w:szCs w:val="22"/>
          <w:lang w:val="en-CA"/>
        </w:rPr>
      </w:pPr>
      <w:r>
        <w:rPr>
          <w:rFonts w:ascii="Arial" w:hAnsi="Arial" w:cs="Arial"/>
          <w:sz w:val="22"/>
          <w:szCs w:val="22"/>
          <w:lang w:val="en-CA"/>
        </w:rPr>
        <w:t>Banks in general have historically been berated for focusing on the higher</w:t>
      </w:r>
      <w:r w:rsidR="00F13FEE">
        <w:rPr>
          <w:rFonts w:ascii="Arial" w:hAnsi="Arial" w:cs="Arial"/>
          <w:sz w:val="22"/>
          <w:szCs w:val="22"/>
          <w:lang w:val="en-CA"/>
        </w:rPr>
        <w:t xml:space="preserve"> </w:t>
      </w:r>
      <w:r>
        <w:rPr>
          <w:rFonts w:ascii="Arial" w:hAnsi="Arial" w:cs="Arial"/>
          <w:sz w:val="22"/>
          <w:szCs w:val="22"/>
          <w:lang w:val="en-CA"/>
        </w:rPr>
        <w:t xml:space="preserve">end of the market, typically </w:t>
      </w:r>
      <w:r w:rsidR="008D2FA0">
        <w:rPr>
          <w:rFonts w:ascii="Arial" w:hAnsi="Arial" w:cs="Arial"/>
          <w:sz w:val="22"/>
          <w:szCs w:val="22"/>
          <w:lang w:val="en-CA"/>
        </w:rPr>
        <w:t xml:space="preserve">ranging from </w:t>
      </w:r>
      <w:r>
        <w:rPr>
          <w:rFonts w:ascii="Arial" w:hAnsi="Arial" w:cs="Arial"/>
          <w:sz w:val="22"/>
          <w:szCs w:val="22"/>
          <w:lang w:val="en-CA"/>
        </w:rPr>
        <w:t xml:space="preserve">large corporate to multinational, significantly underserving the requirements of SME clients. In the context of </w:t>
      </w:r>
      <w:r w:rsidR="00DB507A">
        <w:rPr>
          <w:rFonts w:ascii="Arial" w:hAnsi="Arial" w:cs="Arial"/>
          <w:sz w:val="22"/>
          <w:szCs w:val="22"/>
          <w:lang w:val="en-CA"/>
        </w:rPr>
        <w:t>Trade Finance</w:t>
      </w:r>
      <w:r>
        <w:rPr>
          <w:rFonts w:ascii="Arial" w:hAnsi="Arial" w:cs="Arial"/>
          <w:sz w:val="22"/>
          <w:szCs w:val="22"/>
          <w:lang w:val="en-CA"/>
        </w:rPr>
        <w:t>, the same critique is levelled, with additional issues around an underserving of developing and emerging markets.</w:t>
      </w:r>
    </w:p>
    <w:p w14:paraId="09FD6DD2" w14:textId="77777777" w:rsidR="000E308D" w:rsidRDefault="000E308D" w:rsidP="00810C63">
      <w:pPr>
        <w:jc w:val="both"/>
        <w:rPr>
          <w:rFonts w:ascii="Arial" w:hAnsi="Arial" w:cs="Arial"/>
          <w:sz w:val="22"/>
          <w:szCs w:val="22"/>
          <w:lang w:val="en-CA"/>
        </w:rPr>
      </w:pPr>
    </w:p>
    <w:p w14:paraId="5A6AD387" w14:textId="77777777" w:rsidR="000E308D" w:rsidRDefault="000E308D" w:rsidP="00810C63">
      <w:pPr>
        <w:jc w:val="both"/>
        <w:rPr>
          <w:rFonts w:ascii="Arial" w:hAnsi="Arial" w:cs="Arial"/>
          <w:sz w:val="22"/>
          <w:szCs w:val="22"/>
          <w:lang w:val="en-CA"/>
        </w:rPr>
      </w:pPr>
      <w:r>
        <w:rPr>
          <w:rFonts w:ascii="Arial" w:hAnsi="Arial" w:cs="Arial"/>
          <w:sz w:val="22"/>
          <w:szCs w:val="22"/>
          <w:lang w:val="en-CA"/>
        </w:rPr>
        <w:t xml:space="preserve">In the post-crisis environment, with numerous major </w:t>
      </w:r>
      <w:r w:rsidRPr="00284EF7">
        <w:rPr>
          <w:rFonts w:ascii="Arial" w:hAnsi="Arial" w:cs="Arial"/>
          <w:sz w:val="22"/>
          <w:szCs w:val="22"/>
          <w:lang w:val="en-CA"/>
        </w:rPr>
        <w:t>financial institutions</w:t>
      </w:r>
      <w:r>
        <w:rPr>
          <w:rFonts w:ascii="Arial" w:hAnsi="Arial" w:cs="Arial"/>
          <w:sz w:val="22"/>
          <w:szCs w:val="22"/>
          <w:lang w:val="en-CA"/>
        </w:rPr>
        <w:t xml:space="preserve"> being the beneficiaries of a public sector, tax-funded bailout, the issue of SME financing has garnered significant attention to the extent of authorities mandating banks to become more responsive to small and medium-sized enterprises. </w:t>
      </w:r>
    </w:p>
    <w:p w14:paraId="4F41B6E6" w14:textId="77777777" w:rsidR="00930665" w:rsidRDefault="00930665" w:rsidP="00810C63">
      <w:pPr>
        <w:jc w:val="both"/>
        <w:rPr>
          <w:rFonts w:ascii="Arial" w:hAnsi="Arial" w:cs="Arial"/>
          <w:sz w:val="22"/>
          <w:szCs w:val="22"/>
          <w:lang w:val="en-CA"/>
        </w:rPr>
      </w:pPr>
    </w:p>
    <w:p w14:paraId="2712776A" w14:textId="77777777" w:rsidR="00930665" w:rsidRDefault="00930665" w:rsidP="00810C63">
      <w:pPr>
        <w:jc w:val="both"/>
        <w:rPr>
          <w:rFonts w:ascii="Arial" w:hAnsi="Arial" w:cs="Arial"/>
          <w:sz w:val="22"/>
          <w:szCs w:val="22"/>
          <w:lang w:val="en-CA"/>
        </w:rPr>
      </w:pPr>
      <w:r>
        <w:rPr>
          <w:rFonts w:ascii="Arial" w:hAnsi="Arial" w:cs="Arial"/>
          <w:sz w:val="22"/>
          <w:szCs w:val="22"/>
          <w:lang w:val="en-CA"/>
        </w:rPr>
        <w:t xml:space="preserve">There is significant attention around the need to adequately support SMEs as drivers of a wide range of economies. Similarly, the role of trade in enabling international </w:t>
      </w:r>
      <w:r w:rsidRPr="00284EF7">
        <w:rPr>
          <w:rFonts w:ascii="Arial" w:hAnsi="Arial" w:cs="Arial"/>
          <w:sz w:val="22"/>
          <w:szCs w:val="22"/>
          <w:lang w:val="en-CA"/>
        </w:rPr>
        <w:t>development</w:t>
      </w:r>
      <w:r>
        <w:rPr>
          <w:rFonts w:ascii="Arial" w:hAnsi="Arial" w:cs="Arial"/>
          <w:sz w:val="22"/>
          <w:szCs w:val="22"/>
          <w:lang w:val="en-CA"/>
        </w:rPr>
        <w:t xml:space="preserve"> is getting increasing traction in policy circles.</w:t>
      </w:r>
    </w:p>
    <w:p w14:paraId="0A7BD987" w14:textId="77777777" w:rsidR="00930665" w:rsidRDefault="00930665" w:rsidP="00810C63">
      <w:pPr>
        <w:jc w:val="both"/>
        <w:rPr>
          <w:rFonts w:ascii="Arial" w:hAnsi="Arial" w:cs="Arial"/>
          <w:sz w:val="22"/>
          <w:szCs w:val="22"/>
          <w:lang w:val="en-CA"/>
        </w:rPr>
      </w:pPr>
    </w:p>
    <w:p w14:paraId="4C54D67A" w14:textId="77777777" w:rsidR="00930665" w:rsidRPr="00810C63" w:rsidRDefault="00930665" w:rsidP="00810C63">
      <w:pPr>
        <w:jc w:val="both"/>
        <w:rPr>
          <w:rFonts w:ascii="Arial" w:hAnsi="Arial" w:cs="Arial"/>
          <w:sz w:val="22"/>
          <w:szCs w:val="22"/>
        </w:rPr>
      </w:pPr>
      <w:r w:rsidRPr="00284EF7">
        <w:rPr>
          <w:rFonts w:ascii="Arial" w:hAnsi="Arial" w:cs="Arial"/>
          <w:sz w:val="22"/>
          <w:szCs w:val="22"/>
          <w:lang w:val="en-CA"/>
        </w:rPr>
        <w:t>Developments</w:t>
      </w:r>
      <w:r>
        <w:rPr>
          <w:rFonts w:ascii="Arial" w:hAnsi="Arial" w:cs="Arial"/>
          <w:sz w:val="22"/>
          <w:szCs w:val="22"/>
          <w:lang w:val="en-CA"/>
        </w:rPr>
        <w:t xml:space="preserve"> in </w:t>
      </w:r>
      <w:r w:rsidR="00DB507A">
        <w:rPr>
          <w:rFonts w:ascii="Arial" w:hAnsi="Arial" w:cs="Arial"/>
          <w:sz w:val="22"/>
          <w:szCs w:val="22"/>
          <w:lang w:val="en-CA"/>
        </w:rPr>
        <w:t>Trade Finance</w:t>
      </w:r>
      <w:r>
        <w:rPr>
          <w:rFonts w:ascii="Arial" w:hAnsi="Arial" w:cs="Arial"/>
          <w:sz w:val="22"/>
          <w:szCs w:val="22"/>
          <w:lang w:val="en-CA"/>
        </w:rPr>
        <w:t xml:space="preserve">, specifically the evolution of propositions in </w:t>
      </w:r>
      <w:r w:rsidR="00416929">
        <w:rPr>
          <w:rFonts w:ascii="Arial" w:hAnsi="Arial" w:cs="Arial"/>
          <w:sz w:val="22"/>
          <w:szCs w:val="22"/>
          <w:lang w:val="en-CA"/>
        </w:rPr>
        <w:t>Supply C</w:t>
      </w:r>
      <w:r>
        <w:rPr>
          <w:rFonts w:ascii="Arial" w:hAnsi="Arial" w:cs="Arial"/>
          <w:sz w:val="22"/>
          <w:szCs w:val="22"/>
          <w:lang w:val="en-CA"/>
        </w:rPr>
        <w:t xml:space="preserve">hain </w:t>
      </w:r>
      <w:r w:rsidR="00416929">
        <w:rPr>
          <w:rFonts w:ascii="Arial" w:hAnsi="Arial" w:cs="Arial"/>
          <w:sz w:val="22"/>
          <w:szCs w:val="22"/>
          <w:lang w:val="en-CA"/>
        </w:rPr>
        <w:t>F</w:t>
      </w:r>
      <w:r>
        <w:rPr>
          <w:rFonts w:ascii="Arial" w:hAnsi="Arial" w:cs="Arial"/>
          <w:sz w:val="22"/>
          <w:szCs w:val="22"/>
          <w:lang w:val="en-CA"/>
        </w:rPr>
        <w:t xml:space="preserve">inance, provide a solid basis on which to service SMEs, including SME suppliers located in developing markets that are supplying large </w:t>
      </w:r>
      <w:r w:rsidR="00313782">
        <w:rPr>
          <w:rFonts w:ascii="Arial" w:hAnsi="Arial" w:cs="Arial"/>
          <w:sz w:val="22"/>
          <w:szCs w:val="22"/>
          <w:lang w:val="en-CA"/>
        </w:rPr>
        <w:t>buyer</w:t>
      </w:r>
      <w:r>
        <w:rPr>
          <w:rFonts w:ascii="Arial" w:hAnsi="Arial" w:cs="Arial"/>
          <w:sz w:val="22"/>
          <w:szCs w:val="22"/>
          <w:lang w:val="en-CA"/>
        </w:rPr>
        <w:t>s.</w:t>
      </w:r>
      <w:r w:rsidR="00145872">
        <w:rPr>
          <w:rFonts w:ascii="Arial" w:hAnsi="Arial" w:cs="Arial"/>
          <w:sz w:val="22"/>
          <w:szCs w:val="22"/>
          <w:lang w:val="en-CA"/>
        </w:rPr>
        <w:t xml:space="preserve"> Buyer-centric </w:t>
      </w:r>
      <w:r w:rsidR="00416929">
        <w:rPr>
          <w:rFonts w:ascii="Arial" w:hAnsi="Arial" w:cs="Arial"/>
          <w:sz w:val="22"/>
          <w:szCs w:val="22"/>
          <w:lang w:val="en-CA"/>
        </w:rPr>
        <w:t>S</w:t>
      </w:r>
      <w:r w:rsidR="00145872">
        <w:rPr>
          <w:rFonts w:ascii="Arial" w:hAnsi="Arial" w:cs="Arial"/>
          <w:sz w:val="22"/>
          <w:szCs w:val="22"/>
          <w:lang w:val="en-CA"/>
        </w:rPr>
        <w:t xml:space="preserve">upply </w:t>
      </w:r>
      <w:r w:rsidR="00416929">
        <w:rPr>
          <w:rFonts w:ascii="Arial" w:hAnsi="Arial" w:cs="Arial"/>
          <w:sz w:val="22"/>
          <w:szCs w:val="22"/>
          <w:lang w:val="en-CA"/>
        </w:rPr>
        <w:t>C</w:t>
      </w:r>
      <w:r w:rsidR="00145872">
        <w:rPr>
          <w:rFonts w:ascii="Arial" w:hAnsi="Arial" w:cs="Arial"/>
          <w:sz w:val="22"/>
          <w:szCs w:val="22"/>
          <w:lang w:val="en-CA"/>
        </w:rPr>
        <w:t xml:space="preserve">hain </w:t>
      </w:r>
      <w:r w:rsidR="00416929">
        <w:rPr>
          <w:rFonts w:ascii="Arial" w:hAnsi="Arial" w:cs="Arial"/>
          <w:sz w:val="22"/>
          <w:szCs w:val="22"/>
          <w:lang w:val="en-CA"/>
        </w:rPr>
        <w:t>F</w:t>
      </w:r>
      <w:r w:rsidR="00145872">
        <w:rPr>
          <w:rFonts w:ascii="Arial" w:hAnsi="Arial" w:cs="Arial"/>
          <w:sz w:val="22"/>
          <w:szCs w:val="22"/>
          <w:lang w:val="en-CA"/>
        </w:rPr>
        <w:t>inance programs allow SMEs to gain access to affordable financing on the basis of the credit capacity of the importing corporate.</w:t>
      </w:r>
    </w:p>
    <w:p w14:paraId="6DB4D644" w14:textId="77777777" w:rsidR="00810C63" w:rsidRPr="00810C63" w:rsidRDefault="00AC52E5" w:rsidP="00810C63">
      <w:pPr>
        <w:rPr>
          <w:rFonts w:ascii="Arial" w:hAnsi="Arial" w:cs="Arial"/>
          <w:sz w:val="22"/>
          <w:szCs w:val="22"/>
          <w:lang w:val="en-GB"/>
        </w:rPr>
      </w:pPr>
      <w:r>
        <w:rPr>
          <w:lang w:val="en-GB"/>
        </w:rPr>
        <w:t xml:space="preserve"> </w:t>
      </w:r>
    </w:p>
    <w:p w14:paraId="4D8CE7A3" w14:textId="77777777" w:rsidR="00F13FEE" w:rsidRDefault="00F13FEE">
      <w:pPr>
        <w:rPr>
          <w:rFonts w:ascii="Arial" w:hAnsi="Arial" w:cs="Arial"/>
          <w:b/>
          <w:color w:val="000080"/>
          <w:sz w:val="22"/>
          <w:szCs w:val="22"/>
          <w:lang w:eastAsia="en-US"/>
        </w:rPr>
      </w:pPr>
      <w:r>
        <w:rPr>
          <w:rFonts w:ascii="Arial" w:hAnsi="Arial" w:cs="Arial"/>
          <w:b/>
          <w:color w:val="000080"/>
        </w:rPr>
        <w:br w:type="page"/>
      </w:r>
    </w:p>
    <w:p w14:paraId="319F38A6" w14:textId="77777777" w:rsidR="00F77C58" w:rsidRPr="00A73BD5" w:rsidRDefault="00A73BD5" w:rsidP="00A73BD5">
      <w:pPr>
        <w:pStyle w:val="Heading2"/>
        <w:rPr>
          <w:szCs w:val="22"/>
        </w:rPr>
      </w:pPr>
      <w:bookmarkStart w:id="63" w:name="_Toc436042216"/>
      <w:bookmarkStart w:id="64" w:name="_Toc441728579"/>
      <w:r w:rsidRPr="00A73BD5">
        <w:rPr>
          <w:szCs w:val="22"/>
        </w:rPr>
        <w:lastRenderedPageBreak/>
        <w:t>ILLUSTRATIVE PRACTICES IN TRADE FACILITATION</w:t>
      </w:r>
      <w:bookmarkEnd w:id="63"/>
      <w:bookmarkEnd w:id="64"/>
    </w:p>
    <w:p w14:paraId="444D0961" w14:textId="77777777" w:rsidR="002C49BF" w:rsidRDefault="002C49BF" w:rsidP="002C49BF">
      <w:pPr>
        <w:jc w:val="both"/>
        <w:rPr>
          <w:rFonts w:ascii="Arial" w:hAnsi="Arial" w:cs="Arial"/>
          <w:sz w:val="22"/>
          <w:szCs w:val="22"/>
        </w:rPr>
      </w:pPr>
      <w:r w:rsidRPr="002C49BF">
        <w:rPr>
          <w:rFonts w:ascii="Arial" w:hAnsi="Arial" w:cs="Arial"/>
          <w:sz w:val="22"/>
          <w:szCs w:val="22"/>
        </w:rPr>
        <w:t xml:space="preserve">The focus of </w:t>
      </w:r>
      <w:r w:rsidR="00416929">
        <w:rPr>
          <w:rFonts w:ascii="Arial" w:hAnsi="Arial" w:cs="Arial"/>
          <w:sz w:val="22"/>
          <w:szCs w:val="22"/>
        </w:rPr>
        <w:t>T</w:t>
      </w:r>
      <w:r w:rsidRPr="002C49BF">
        <w:rPr>
          <w:rFonts w:ascii="Arial" w:hAnsi="Arial" w:cs="Arial"/>
          <w:sz w:val="22"/>
          <w:szCs w:val="22"/>
        </w:rPr>
        <w:t xml:space="preserve">rade </w:t>
      </w:r>
      <w:r w:rsidR="00416929">
        <w:rPr>
          <w:rFonts w:ascii="Arial" w:hAnsi="Arial" w:cs="Arial"/>
          <w:sz w:val="22"/>
          <w:szCs w:val="22"/>
        </w:rPr>
        <w:t>F</w:t>
      </w:r>
      <w:r w:rsidRPr="002C49BF">
        <w:rPr>
          <w:rFonts w:ascii="Arial" w:hAnsi="Arial" w:cs="Arial"/>
          <w:sz w:val="22"/>
          <w:szCs w:val="22"/>
        </w:rPr>
        <w:t xml:space="preserve">acilitation practice at this time is primarily on non-financial aspects of international trade. At the highest level, </w:t>
      </w:r>
      <w:r w:rsidR="00416929">
        <w:rPr>
          <w:rFonts w:ascii="Arial" w:hAnsi="Arial" w:cs="Arial"/>
          <w:sz w:val="22"/>
          <w:szCs w:val="22"/>
        </w:rPr>
        <w:t>T</w:t>
      </w:r>
      <w:r w:rsidRPr="002C49BF">
        <w:rPr>
          <w:rFonts w:ascii="Arial" w:hAnsi="Arial" w:cs="Arial"/>
          <w:sz w:val="22"/>
          <w:szCs w:val="22"/>
        </w:rPr>
        <w:t xml:space="preserve">rade </w:t>
      </w:r>
      <w:r w:rsidR="00416929">
        <w:rPr>
          <w:rFonts w:ascii="Arial" w:hAnsi="Arial" w:cs="Arial"/>
          <w:sz w:val="22"/>
          <w:szCs w:val="22"/>
        </w:rPr>
        <w:t>F</w:t>
      </w:r>
      <w:r w:rsidRPr="002C49BF">
        <w:rPr>
          <w:rFonts w:ascii="Arial" w:hAnsi="Arial" w:cs="Arial"/>
          <w:sz w:val="22"/>
          <w:szCs w:val="22"/>
        </w:rPr>
        <w:t>acilitation</w:t>
      </w:r>
      <w:r>
        <w:rPr>
          <w:rFonts w:ascii="Arial" w:hAnsi="Arial" w:cs="Arial"/>
          <w:sz w:val="22"/>
          <w:szCs w:val="22"/>
        </w:rPr>
        <w:t xml:space="preserve"> aims to enable efficient trade by</w:t>
      </w:r>
      <w:r w:rsidR="002C0D41">
        <w:rPr>
          <w:rStyle w:val="FootnoteReference"/>
          <w:rFonts w:ascii="Arial" w:hAnsi="Arial" w:cs="Arial"/>
          <w:sz w:val="22"/>
          <w:szCs w:val="22"/>
        </w:rPr>
        <w:footnoteReference w:id="19"/>
      </w:r>
      <w:r>
        <w:rPr>
          <w:rFonts w:ascii="Arial" w:hAnsi="Arial" w:cs="Arial"/>
          <w:sz w:val="22"/>
          <w:szCs w:val="22"/>
        </w:rPr>
        <w:t xml:space="preserve"> developing and implementing an enabling environment on numerous dimensions, including:</w:t>
      </w:r>
    </w:p>
    <w:p w14:paraId="5A6D963E" w14:textId="77777777" w:rsidR="002C49BF" w:rsidRDefault="002C49BF" w:rsidP="002C49BF">
      <w:pPr>
        <w:jc w:val="both"/>
        <w:rPr>
          <w:rFonts w:ascii="Arial" w:hAnsi="Arial" w:cs="Arial"/>
          <w:sz w:val="22"/>
          <w:szCs w:val="22"/>
        </w:rPr>
      </w:pPr>
    </w:p>
    <w:p w14:paraId="3929B7B8" w14:textId="77777777" w:rsidR="002C49BF" w:rsidRDefault="002C49BF" w:rsidP="002C49BF">
      <w:pPr>
        <w:pStyle w:val="ListParagraph"/>
        <w:numPr>
          <w:ilvl w:val="0"/>
          <w:numId w:val="5"/>
        </w:numPr>
        <w:jc w:val="both"/>
        <w:rPr>
          <w:rFonts w:ascii="Arial" w:hAnsi="Arial" w:cs="Arial"/>
          <w:sz w:val="22"/>
          <w:szCs w:val="22"/>
        </w:rPr>
      </w:pPr>
      <w:r>
        <w:rPr>
          <w:rFonts w:ascii="Arial" w:hAnsi="Arial" w:cs="Arial"/>
          <w:sz w:val="22"/>
          <w:szCs w:val="22"/>
        </w:rPr>
        <w:t>Effective customs clearance procedures</w:t>
      </w:r>
    </w:p>
    <w:p w14:paraId="1079D69A" w14:textId="77777777" w:rsidR="002C49BF" w:rsidRDefault="002C49BF" w:rsidP="002C49BF">
      <w:pPr>
        <w:pStyle w:val="ListParagraph"/>
        <w:numPr>
          <w:ilvl w:val="0"/>
          <w:numId w:val="5"/>
        </w:numPr>
        <w:jc w:val="both"/>
        <w:rPr>
          <w:rFonts w:ascii="Arial" w:hAnsi="Arial" w:cs="Arial"/>
          <w:sz w:val="22"/>
          <w:szCs w:val="22"/>
        </w:rPr>
      </w:pPr>
      <w:r>
        <w:rPr>
          <w:rFonts w:ascii="Arial" w:hAnsi="Arial" w:cs="Arial"/>
          <w:sz w:val="22"/>
          <w:szCs w:val="22"/>
        </w:rPr>
        <w:t>Efficient logistics infrastructures</w:t>
      </w:r>
    </w:p>
    <w:p w14:paraId="2D2A93BC" w14:textId="77777777" w:rsidR="002C49BF" w:rsidRDefault="002C49BF" w:rsidP="002C49BF">
      <w:pPr>
        <w:pStyle w:val="ListParagraph"/>
        <w:numPr>
          <w:ilvl w:val="0"/>
          <w:numId w:val="5"/>
        </w:numPr>
        <w:jc w:val="both"/>
        <w:rPr>
          <w:rFonts w:ascii="Arial" w:hAnsi="Arial" w:cs="Arial"/>
          <w:sz w:val="22"/>
          <w:szCs w:val="22"/>
        </w:rPr>
      </w:pPr>
      <w:r>
        <w:rPr>
          <w:rFonts w:ascii="Arial" w:hAnsi="Arial" w:cs="Arial"/>
          <w:sz w:val="22"/>
          <w:szCs w:val="22"/>
        </w:rPr>
        <w:t>Enabling policy initiatives and environments</w:t>
      </w:r>
    </w:p>
    <w:p w14:paraId="55725934" w14:textId="77777777" w:rsidR="002C49BF" w:rsidRDefault="002C49BF" w:rsidP="002C49BF">
      <w:pPr>
        <w:pStyle w:val="ListParagraph"/>
        <w:numPr>
          <w:ilvl w:val="0"/>
          <w:numId w:val="5"/>
        </w:numPr>
        <w:jc w:val="both"/>
        <w:rPr>
          <w:rFonts w:ascii="Arial" w:hAnsi="Arial" w:cs="Arial"/>
          <w:sz w:val="22"/>
          <w:szCs w:val="22"/>
        </w:rPr>
      </w:pPr>
      <w:r>
        <w:rPr>
          <w:rFonts w:ascii="Arial" w:hAnsi="Arial" w:cs="Arial"/>
          <w:sz w:val="22"/>
          <w:szCs w:val="22"/>
        </w:rPr>
        <w:t>Standardization of administrative procedures</w:t>
      </w:r>
    </w:p>
    <w:p w14:paraId="1ED50BCA" w14:textId="77777777" w:rsidR="002C49BF" w:rsidRPr="002C49BF" w:rsidRDefault="002C49BF" w:rsidP="002C49BF">
      <w:pPr>
        <w:pStyle w:val="ListParagraph"/>
        <w:ind w:left="840"/>
        <w:jc w:val="both"/>
        <w:rPr>
          <w:rFonts w:ascii="Arial" w:hAnsi="Arial" w:cs="Arial"/>
          <w:sz w:val="22"/>
          <w:szCs w:val="22"/>
        </w:rPr>
      </w:pPr>
    </w:p>
    <w:p w14:paraId="6E320D6F" w14:textId="77777777" w:rsidR="002C49BF" w:rsidRDefault="002C49BF" w:rsidP="002C49BF">
      <w:pPr>
        <w:jc w:val="both"/>
        <w:rPr>
          <w:rFonts w:ascii="Arial" w:hAnsi="Arial" w:cs="Arial"/>
          <w:sz w:val="22"/>
          <w:szCs w:val="22"/>
        </w:rPr>
      </w:pPr>
    </w:p>
    <w:p w14:paraId="113A5F5A" w14:textId="77777777" w:rsidR="00FF1097" w:rsidRDefault="00A73BD5" w:rsidP="00A73BD5">
      <w:pPr>
        <w:pStyle w:val="Caption"/>
        <w:rPr>
          <w:rFonts w:ascii="Arial" w:hAnsi="Arial" w:cs="Arial"/>
          <w:sz w:val="22"/>
          <w:szCs w:val="22"/>
        </w:rPr>
      </w:pPr>
      <w:bookmarkStart w:id="65" w:name="_Toc436042290"/>
      <w:r>
        <w:t xml:space="preserve">Figure </w:t>
      </w:r>
      <w:r>
        <w:fldChar w:fldCharType="begin"/>
      </w:r>
      <w:r>
        <w:instrText xml:space="preserve"> SEQ Figure \* ARABIC </w:instrText>
      </w:r>
      <w:r>
        <w:fldChar w:fldCharType="separate"/>
      </w:r>
      <w:r>
        <w:rPr>
          <w:noProof/>
        </w:rPr>
        <w:t>26</w:t>
      </w:r>
      <w:r>
        <w:fldChar w:fldCharType="end"/>
      </w:r>
      <w:r>
        <w:t>:Trade Facilitation Flows</w:t>
      </w:r>
      <w:bookmarkEnd w:id="65"/>
    </w:p>
    <w:p w14:paraId="0768B546" w14:textId="77777777" w:rsidR="00FF1097" w:rsidRDefault="00F13FEE" w:rsidP="00F13FEE">
      <w:pPr>
        <w:jc w:val="center"/>
        <w:rPr>
          <w:rFonts w:ascii="Arial" w:hAnsi="Arial" w:cs="Arial"/>
          <w:sz w:val="22"/>
          <w:szCs w:val="22"/>
        </w:rPr>
      </w:pPr>
      <w:r w:rsidRPr="00F13FEE">
        <w:rPr>
          <w:noProof/>
          <w:lang w:val="en-GB" w:eastAsia="en-GB"/>
        </w:rPr>
        <w:drawing>
          <wp:inline distT="0" distB="0" distL="0" distR="0" wp14:anchorId="177C387F" wp14:editId="13901ACF">
            <wp:extent cx="5547160" cy="398526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5248" cy="3998255"/>
                    </a:xfrm>
                    <a:prstGeom prst="rect">
                      <a:avLst/>
                    </a:prstGeom>
                    <a:noFill/>
                    <a:ln>
                      <a:solidFill>
                        <a:schemeClr val="accent1"/>
                      </a:solidFill>
                    </a:ln>
                  </pic:spPr>
                </pic:pic>
              </a:graphicData>
            </a:graphic>
          </wp:inline>
        </w:drawing>
      </w:r>
    </w:p>
    <w:p w14:paraId="56FEED09" w14:textId="77777777" w:rsidR="002C49BF" w:rsidRPr="00A73BD5" w:rsidRDefault="00F13FEE" w:rsidP="00A73BD5">
      <w:pPr>
        <w:rPr>
          <w:rStyle w:val="Emphasis"/>
          <w:lang w:val="en-GB"/>
        </w:rPr>
      </w:pPr>
      <w:r w:rsidRPr="00A73BD5">
        <w:rPr>
          <w:rStyle w:val="Emphasis"/>
          <w:lang w:val="en-GB"/>
        </w:rPr>
        <w:t>Source: Trade Facilitation and the Single Window, UN/ESCWA, 2011</w:t>
      </w:r>
    </w:p>
    <w:p w14:paraId="0CD84B5D" w14:textId="77777777" w:rsidR="00F13FEE" w:rsidRDefault="00F13FEE" w:rsidP="003469BB">
      <w:pPr>
        <w:jc w:val="both"/>
        <w:rPr>
          <w:rFonts w:ascii="Arial" w:hAnsi="Arial" w:cs="Arial"/>
          <w:sz w:val="22"/>
          <w:szCs w:val="22"/>
          <w:lang w:val="en-CA"/>
        </w:rPr>
      </w:pPr>
    </w:p>
    <w:p w14:paraId="60CFE123" w14:textId="77777777" w:rsidR="00F13FEE" w:rsidRDefault="00F13FEE" w:rsidP="003469BB">
      <w:pPr>
        <w:jc w:val="both"/>
        <w:rPr>
          <w:rFonts w:ascii="Arial" w:hAnsi="Arial" w:cs="Arial"/>
          <w:sz w:val="22"/>
          <w:szCs w:val="22"/>
          <w:lang w:val="en-CA"/>
        </w:rPr>
      </w:pPr>
    </w:p>
    <w:p w14:paraId="21FCD7F4" w14:textId="77777777" w:rsidR="00F13FEE" w:rsidRDefault="00F13FEE" w:rsidP="003469BB">
      <w:pPr>
        <w:jc w:val="both"/>
        <w:rPr>
          <w:rFonts w:ascii="Arial" w:hAnsi="Arial" w:cs="Arial"/>
          <w:sz w:val="22"/>
          <w:szCs w:val="22"/>
          <w:lang w:val="en-CA"/>
        </w:rPr>
      </w:pPr>
    </w:p>
    <w:p w14:paraId="7BF5761E" w14:textId="77777777" w:rsidR="00F13FEE" w:rsidRDefault="00F13FEE" w:rsidP="00F13FEE">
      <w:pPr>
        <w:jc w:val="both"/>
        <w:rPr>
          <w:rFonts w:ascii="Arial" w:hAnsi="Arial" w:cs="Arial"/>
          <w:sz w:val="22"/>
          <w:szCs w:val="22"/>
        </w:rPr>
      </w:pPr>
      <w:r>
        <w:rPr>
          <w:rFonts w:ascii="Arial" w:hAnsi="Arial" w:cs="Arial"/>
          <w:sz w:val="22"/>
          <w:szCs w:val="22"/>
        </w:rPr>
        <w:t xml:space="preserve">Trade Facilitation models differ somewhat across jurisdictions, as do their primary objectives and areas of focus. The differences are sometimes core to the objectives of a program. The various definitions of Trade Facilitation, documented in the graphic below, </w:t>
      </w:r>
      <w:r>
        <w:rPr>
          <w:rFonts w:ascii="Arial" w:hAnsi="Arial" w:cs="Arial"/>
          <w:sz w:val="22"/>
          <w:szCs w:val="22"/>
        </w:rPr>
        <w:lastRenderedPageBreak/>
        <w:t>provide an indication of the range of views on the nature and scope of Trade Facilitation programs and activity.</w:t>
      </w:r>
    </w:p>
    <w:p w14:paraId="12C14BDF" w14:textId="77777777" w:rsidR="00F13FEE" w:rsidRDefault="00F13FEE" w:rsidP="003469BB">
      <w:pPr>
        <w:jc w:val="both"/>
        <w:rPr>
          <w:rFonts w:ascii="Arial" w:hAnsi="Arial" w:cs="Arial"/>
          <w:sz w:val="22"/>
          <w:szCs w:val="22"/>
          <w:lang w:val="en-CA"/>
        </w:rPr>
      </w:pPr>
    </w:p>
    <w:p w14:paraId="1C885DF1" w14:textId="77777777" w:rsidR="00BA2770" w:rsidRDefault="00BA2770" w:rsidP="00BA2770">
      <w:pPr>
        <w:jc w:val="center"/>
        <w:rPr>
          <w:rFonts w:ascii="Arial" w:hAnsi="Arial" w:cs="Arial"/>
          <w:sz w:val="22"/>
          <w:szCs w:val="22"/>
          <w:lang w:val="en-CA"/>
        </w:rPr>
      </w:pPr>
      <w:r w:rsidRPr="00BA2770">
        <w:rPr>
          <w:noProof/>
          <w:lang w:val="en-GB" w:eastAsia="en-GB"/>
        </w:rPr>
        <w:drawing>
          <wp:inline distT="0" distB="0" distL="0" distR="0" wp14:anchorId="1A61334B" wp14:editId="1DF991A6">
            <wp:extent cx="3951269" cy="5353050"/>
            <wp:effectExtent l="19050" t="19050" r="1143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1269" cy="5353050"/>
                    </a:xfrm>
                    <a:prstGeom prst="rect">
                      <a:avLst/>
                    </a:prstGeom>
                    <a:noFill/>
                    <a:ln>
                      <a:solidFill>
                        <a:schemeClr val="accent1"/>
                      </a:solidFill>
                    </a:ln>
                  </pic:spPr>
                </pic:pic>
              </a:graphicData>
            </a:graphic>
          </wp:inline>
        </w:drawing>
      </w:r>
    </w:p>
    <w:p w14:paraId="3688954F" w14:textId="77777777" w:rsidR="00BA2770" w:rsidRPr="00A73BD5" w:rsidRDefault="00BA2770" w:rsidP="003469BB">
      <w:pPr>
        <w:jc w:val="both"/>
        <w:rPr>
          <w:i/>
          <w:szCs w:val="22"/>
          <w:lang w:val="en-CA"/>
        </w:rPr>
      </w:pPr>
      <w:r w:rsidRPr="00A73BD5">
        <w:rPr>
          <w:i/>
          <w:szCs w:val="22"/>
          <w:lang w:val="en-CA"/>
        </w:rPr>
        <w:t>Source: Designing and Implementing Trade Facilitation in Asia and the Pacific, ADB/UNESCAP, 2009</w:t>
      </w:r>
    </w:p>
    <w:p w14:paraId="30D4B85D" w14:textId="77777777" w:rsidR="00BA2770" w:rsidRDefault="00BA2770" w:rsidP="003469BB">
      <w:pPr>
        <w:jc w:val="both"/>
        <w:rPr>
          <w:rFonts w:ascii="Arial" w:hAnsi="Arial" w:cs="Arial"/>
          <w:sz w:val="22"/>
          <w:szCs w:val="22"/>
          <w:lang w:val="en-CA"/>
        </w:rPr>
      </w:pPr>
    </w:p>
    <w:p w14:paraId="6BB19841" w14:textId="77777777" w:rsidR="00DD6D6F" w:rsidRPr="00A73BD5" w:rsidRDefault="00971237" w:rsidP="00A73BD5">
      <w:pPr>
        <w:pStyle w:val="Heading3"/>
        <w:rPr>
          <w:sz w:val="24"/>
        </w:rPr>
      </w:pPr>
      <w:bookmarkStart w:id="66" w:name="_Toc436042217"/>
      <w:bookmarkStart w:id="67" w:name="_Toc441728580"/>
      <w:r w:rsidRPr="00A73BD5">
        <w:rPr>
          <w:sz w:val="24"/>
        </w:rPr>
        <w:t>Single Window Initi</w:t>
      </w:r>
      <w:r w:rsidR="0072426B" w:rsidRPr="00A73BD5">
        <w:rPr>
          <w:sz w:val="24"/>
        </w:rPr>
        <w:t>at</w:t>
      </w:r>
      <w:r w:rsidRPr="00A73BD5">
        <w:rPr>
          <w:sz w:val="24"/>
        </w:rPr>
        <w:t>ives</w:t>
      </w:r>
      <w:bookmarkEnd w:id="66"/>
      <w:bookmarkEnd w:id="67"/>
    </w:p>
    <w:p w14:paraId="172AF8F7" w14:textId="77777777" w:rsidR="005333B5" w:rsidRDefault="00832F74" w:rsidP="00971237">
      <w:pPr>
        <w:rPr>
          <w:rFonts w:ascii="Arial" w:hAnsi="Arial" w:cs="Arial"/>
          <w:sz w:val="22"/>
          <w:szCs w:val="22"/>
        </w:rPr>
      </w:pPr>
      <w:r w:rsidRPr="00832F74">
        <w:rPr>
          <w:rFonts w:ascii="Arial" w:hAnsi="Arial" w:cs="Arial"/>
          <w:sz w:val="22"/>
          <w:szCs w:val="22"/>
        </w:rPr>
        <w:t>As specified in UN/CEFACT Recommendation Number 33</w:t>
      </w:r>
      <w:r>
        <w:rPr>
          <w:rStyle w:val="FootnoteReference"/>
          <w:rFonts w:ascii="Arial" w:hAnsi="Arial" w:cs="Arial"/>
          <w:sz w:val="22"/>
          <w:szCs w:val="22"/>
        </w:rPr>
        <w:footnoteReference w:id="20"/>
      </w:r>
      <w:r w:rsidRPr="00832F74">
        <w:rPr>
          <w:rFonts w:ascii="Arial" w:hAnsi="Arial" w:cs="Arial"/>
          <w:sz w:val="22"/>
          <w:szCs w:val="22"/>
        </w:rPr>
        <w:t>, the Single Window concept covered in these Guidelines refers to a facility that allows parties involved in trade and transport to lodge standardized information and documents with a single entry point to fulfil all import, export, and transit-related regulatory requirements. If information is electronic, then individual data elements should only be submitted once</w:t>
      </w:r>
      <w:r w:rsidR="00F13FEE">
        <w:rPr>
          <w:rFonts w:ascii="Arial" w:hAnsi="Arial" w:cs="Arial"/>
          <w:sz w:val="22"/>
          <w:szCs w:val="22"/>
        </w:rPr>
        <w:t>.</w:t>
      </w:r>
      <w:r w:rsidR="004C5558">
        <w:rPr>
          <w:rFonts w:ascii="Arial" w:hAnsi="Arial" w:cs="Arial"/>
          <w:sz w:val="22"/>
          <w:szCs w:val="22"/>
        </w:rPr>
        <w:t xml:space="preserve">  </w:t>
      </w:r>
    </w:p>
    <w:p w14:paraId="669DDF3D" w14:textId="77777777" w:rsidR="005333B5" w:rsidRDefault="005333B5" w:rsidP="00971237">
      <w:pPr>
        <w:rPr>
          <w:rFonts w:ascii="Arial" w:hAnsi="Arial" w:cs="Arial"/>
          <w:sz w:val="22"/>
          <w:szCs w:val="22"/>
        </w:rPr>
      </w:pPr>
    </w:p>
    <w:p w14:paraId="518A1A40" w14:textId="77777777" w:rsidR="00A73BD5" w:rsidRDefault="00A73BD5" w:rsidP="00A73BD5">
      <w:pPr>
        <w:pStyle w:val="Caption"/>
        <w:rPr>
          <w:rFonts w:ascii="Arial" w:hAnsi="Arial" w:cs="Arial"/>
          <w:sz w:val="22"/>
          <w:szCs w:val="22"/>
        </w:rPr>
      </w:pPr>
      <w:bookmarkStart w:id="68" w:name="_Toc436042291"/>
      <w:r>
        <w:t xml:space="preserve">Figure </w:t>
      </w:r>
      <w:r>
        <w:fldChar w:fldCharType="begin"/>
      </w:r>
      <w:r>
        <w:instrText xml:space="preserve"> SEQ Figure \* ARABIC </w:instrText>
      </w:r>
      <w:r>
        <w:fldChar w:fldCharType="separate"/>
      </w:r>
      <w:r>
        <w:rPr>
          <w:noProof/>
        </w:rPr>
        <w:t>27</w:t>
      </w:r>
      <w:r>
        <w:fldChar w:fldCharType="end"/>
      </w:r>
      <w:r>
        <w:t>: Single Window Model</w:t>
      </w:r>
      <w:bookmarkEnd w:id="68"/>
    </w:p>
    <w:p w14:paraId="3A1DE317" w14:textId="77777777" w:rsidR="005333B5" w:rsidRDefault="005333B5" w:rsidP="005333B5">
      <w:pPr>
        <w:jc w:val="center"/>
        <w:rPr>
          <w:rFonts w:ascii="Arial" w:hAnsi="Arial" w:cs="Arial"/>
          <w:sz w:val="22"/>
          <w:szCs w:val="22"/>
        </w:rPr>
      </w:pPr>
      <w:r w:rsidRPr="005333B5">
        <w:rPr>
          <w:noProof/>
          <w:lang w:val="en-GB" w:eastAsia="en-GB"/>
        </w:rPr>
        <w:lastRenderedPageBreak/>
        <w:drawing>
          <wp:inline distT="0" distB="0" distL="0" distR="0" wp14:anchorId="0A555923" wp14:editId="0749404D">
            <wp:extent cx="2967178" cy="2781300"/>
            <wp:effectExtent l="19050" t="1905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2194" cy="2795375"/>
                    </a:xfrm>
                    <a:prstGeom prst="rect">
                      <a:avLst/>
                    </a:prstGeom>
                    <a:noFill/>
                    <a:ln>
                      <a:solidFill>
                        <a:schemeClr val="accent1"/>
                      </a:solidFill>
                    </a:ln>
                  </pic:spPr>
                </pic:pic>
              </a:graphicData>
            </a:graphic>
          </wp:inline>
        </w:drawing>
      </w:r>
    </w:p>
    <w:p w14:paraId="279DBB07" w14:textId="77777777" w:rsidR="005333B5" w:rsidRPr="00A73BD5" w:rsidRDefault="005333B5" w:rsidP="005333B5">
      <w:pPr>
        <w:jc w:val="both"/>
        <w:rPr>
          <w:i/>
          <w:szCs w:val="22"/>
          <w:lang w:val="en-CA"/>
        </w:rPr>
      </w:pPr>
      <w:r w:rsidRPr="00A73BD5">
        <w:rPr>
          <w:i/>
          <w:szCs w:val="22"/>
          <w:lang w:val="en-CA"/>
        </w:rPr>
        <w:t>Source: WTO Trade Facilitation Agreement: A Business Guide for Developing Countries, ITC, Quoting UNECE</w:t>
      </w:r>
    </w:p>
    <w:p w14:paraId="691CD4EE" w14:textId="77777777" w:rsidR="005333B5" w:rsidRDefault="005333B5" w:rsidP="005333B5">
      <w:pPr>
        <w:jc w:val="both"/>
        <w:rPr>
          <w:rFonts w:ascii="Arial" w:hAnsi="Arial" w:cs="Arial"/>
          <w:sz w:val="22"/>
          <w:szCs w:val="22"/>
          <w:lang w:val="en-CA"/>
        </w:rPr>
      </w:pPr>
    </w:p>
    <w:p w14:paraId="1221A30D" w14:textId="77777777" w:rsidR="005333B5" w:rsidRDefault="005333B5" w:rsidP="005333B5">
      <w:pPr>
        <w:ind w:hanging="993"/>
        <w:jc w:val="center"/>
        <w:rPr>
          <w:rFonts w:ascii="Arial" w:hAnsi="Arial" w:cs="Arial"/>
          <w:sz w:val="22"/>
          <w:szCs w:val="22"/>
          <w:lang w:val="en-CA"/>
        </w:rPr>
      </w:pPr>
      <w:r w:rsidRPr="005333B5">
        <w:rPr>
          <w:noProof/>
          <w:lang w:val="en-GB" w:eastAsia="en-GB"/>
        </w:rPr>
        <w:drawing>
          <wp:inline distT="0" distB="0" distL="0" distR="0" wp14:anchorId="2034805F" wp14:editId="192D9168">
            <wp:extent cx="6534150" cy="260873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34150" cy="2608738"/>
                    </a:xfrm>
                    <a:prstGeom prst="rect">
                      <a:avLst/>
                    </a:prstGeom>
                    <a:noFill/>
                    <a:ln>
                      <a:noFill/>
                    </a:ln>
                  </pic:spPr>
                </pic:pic>
              </a:graphicData>
            </a:graphic>
          </wp:inline>
        </w:drawing>
      </w:r>
    </w:p>
    <w:p w14:paraId="2F78F57A" w14:textId="77777777" w:rsidR="005333B5" w:rsidRDefault="005333B5" w:rsidP="00971237">
      <w:pPr>
        <w:rPr>
          <w:rFonts w:ascii="Arial" w:hAnsi="Arial" w:cs="Arial"/>
          <w:sz w:val="22"/>
          <w:szCs w:val="22"/>
        </w:rPr>
      </w:pPr>
    </w:p>
    <w:p w14:paraId="4E6E154C" w14:textId="77777777" w:rsidR="003469BB" w:rsidRPr="00A73BD5" w:rsidRDefault="0072426B" w:rsidP="00A73BD5">
      <w:pPr>
        <w:pStyle w:val="Heading3"/>
        <w:rPr>
          <w:sz w:val="24"/>
        </w:rPr>
      </w:pPr>
      <w:bookmarkStart w:id="69" w:name="_Toc436042218"/>
      <w:bookmarkStart w:id="70" w:name="_Toc441728581"/>
      <w:r w:rsidRPr="00A73BD5">
        <w:rPr>
          <w:sz w:val="24"/>
        </w:rPr>
        <w:t>Linking Facilitation and Finance</w:t>
      </w:r>
      <w:bookmarkEnd w:id="69"/>
      <w:bookmarkEnd w:id="70"/>
    </w:p>
    <w:p w14:paraId="7033E57D" w14:textId="77777777" w:rsidR="00DD6D6F" w:rsidRDefault="00E55D8E" w:rsidP="00971237">
      <w:pPr>
        <w:jc w:val="both"/>
        <w:rPr>
          <w:rFonts w:ascii="Arial" w:hAnsi="Arial" w:cs="Arial"/>
          <w:sz w:val="22"/>
          <w:szCs w:val="22"/>
          <w:lang w:val="en-CA"/>
        </w:rPr>
      </w:pPr>
      <w:r>
        <w:rPr>
          <w:rFonts w:ascii="Arial" w:hAnsi="Arial" w:cs="Arial"/>
          <w:sz w:val="22"/>
          <w:szCs w:val="22"/>
          <w:lang w:val="en-CA"/>
        </w:rPr>
        <w:t xml:space="preserve">Trade </w:t>
      </w:r>
      <w:r w:rsidR="00832F74">
        <w:rPr>
          <w:rFonts w:ascii="Arial" w:hAnsi="Arial" w:cs="Arial"/>
          <w:sz w:val="22"/>
          <w:szCs w:val="22"/>
          <w:lang w:val="en-CA"/>
        </w:rPr>
        <w:t xml:space="preserve">Facilitation </w:t>
      </w:r>
      <w:r>
        <w:rPr>
          <w:rFonts w:ascii="Arial" w:hAnsi="Arial" w:cs="Arial"/>
          <w:sz w:val="22"/>
          <w:szCs w:val="22"/>
          <w:lang w:val="en-CA"/>
        </w:rPr>
        <w:t xml:space="preserve">has not typically encompassed significant attention to the financing aspect of international trade, even broadly defined in terms of the four elements of </w:t>
      </w:r>
      <w:r w:rsidR="00DB507A">
        <w:rPr>
          <w:rFonts w:ascii="Arial" w:hAnsi="Arial" w:cs="Arial"/>
          <w:sz w:val="22"/>
          <w:szCs w:val="22"/>
          <w:lang w:val="en-CA"/>
        </w:rPr>
        <w:t>Trade Finance</w:t>
      </w:r>
      <w:r w:rsidR="00284EF7">
        <w:rPr>
          <w:rFonts w:ascii="Arial" w:hAnsi="Arial" w:cs="Arial"/>
          <w:sz w:val="22"/>
          <w:szCs w:val="22"/>
          <w:lang w:val="en-CA"/>
        </w:rPr>
        <w:t xml:space="preserve"> introduced earlier in this document (payment, financing, risk mitigation and information flow)</w:t>
      </w:r>
      <w:r>
        <w:rPr>
          <w:rFonts w:ascii="Arial" w:hAnsi="Arial" w:cs="Arial"/>
          <w:sz w:val="22"/>
          <w:szCs w:val="22"/>
          <w:lang w:val="en-CA"/>
        </w:rPr>
        <w:t>.</w:t>
      </w:r>
    </w:p>
    <w:p w14:paraId="11F7E74C" w14:textId="77777777" w:rsidR="00D46CFB" w:rsidRDefault="00D46CFB" w:rsidP="00971237">
      <w:pPr>
        <w:jc w:val="both"/>
        <w:rPr>
          <w:rFonts w:ascii="Arial" w:hAnsi="Arial" w:cs="Arial"/>
          <w:sz w:val="22"/>
          <w:szCs w:val="22"/>
          <w:lang w:val="en-CA"/>
        </w:rPr>
      </w:pPr>
    </w:p>
    <w:p w14:paraId="6E70FDE3" w14:textId="77777777" w:rsidR="00E55D8E" w:rsidRDefault="00E55D8E" w:rsidP="00971237">
      <w:pPr>
        <w:jc w:val="both"/>
        <w:rPr>
          <w:rFonts w:ascii="Arial" w:hAnsi="Arial" w:cs="Arial"/>
          <w:sz w:val="22"/>
          <w:szCs w:val="22"/>
          <w:lang w:val="en-CA"/>
        </w:rPr>
      </w:pPr>
      <w:r>
        <w:rPr>
          <w:rFonts w:ascii="Arial" w:hAnsi="Arial" w:cs="Arial"/>
          <w:sz w:val="22"/>
          <w:szCs w:val="22"/>
          <w:lang w:val="en-CA"/>
        </w:rPr>
        <w:t xml:space="preserve">The core proposition of this initiative, and a fundamental message of this paper, is to propose that </w:t>
      </w:r>
      <w:r w:rsidR="00832F74">
        <w:rPr>
          <w:rFonts w:ascii="Arial" w:hAnsi="Arial" w:cs="Arial"/>
          <w:sz w:val="22"/>
          <w:szCs w:val="22"/>
          <w:lang w:val="en-CA"/>
        </w:rPr>
        <w:t>T</w:t>
      </w:r>
      <w:r>
        <w:rPr>
          <w:rFonts w:ascii="Arial" w:hAnsi="Arial" w:cs="Arial"/>
          <w:sz w:val="22"/>
          <w:szCs w:val="22"/>
          <w:lang w:val="en-CA"/>
        </w:rPr>
        <w:t xml:space="preserve">rade </w:t>
      </w:r>
      <w:r w:rsidR="00832F74">
        <w:rPr>
          <w:rFonts w:ascii="Arial" w:hAnsi="Arial" w:cs="Arial"/>
          <w:sz w:val="22"/>
          <w:szCs w:val="22"/>
          <w:lang w:val="en-CA"/>
        </w:rPr>
        <w:t>F</w:t>
      </w:r>
      <w:r>
        <w:rPr>
          <w:rFonts w:ascii="Arial" w:hAnsi="Arial" w:cs="Arial"/>
          <w:sz w:val="22"/>
          <w:szCs w:val="22"/>
          <w:lang w:val="en-CA"/>
        </w:rPr>
        <w:t xml:space="preserve">acilitation ought to extend, proactively, to include attention to the dimension of </w:t>
      </w:r>
      <w:r w:rsidR="00832F74">
        <w:rPr>
          <w:rFonts w:ascii="Arial" w:hAnsi="Arial" w:cs="Arial"/>
          <w:sz w:val="22"/>
          <w:szCs w:val="22"/>
          <w:lang w:val="en-CA"/>
        </w:rPr>
        <w:t>T</w:t>
      </w:r>
      <w:r>
        <w:rPr>
          <w:rFonts w:ascii="Arial" w:hAnsi="Arial" w:cs="Arial"/>
          <w:sz w:val="22"/>
          <w:szCs w:val="22"/>
          <w:lang w:val="en-CA"/>
        </w:rPr>
        <w:t xml:space="preserve">rade </w:t>
      </w:r>
      <w:r w:rsidR="00832F74">
        <w:rPr>
          <w:rFonts w:ascii="Arial" w:hAnsi="Arial" w:cs="Arial"/>
          <w:sz w:val="22"/>
          <w:szCs w:val="22"/>
          <w:lang w:val="en-CA"/>
        </w:rPr>
        <w:t xml:space="preserve">Finance </w:t>
      </w:r>
      <w:r>
        <w:rPr>
          <w:rFonts w:ascii="Arial" w:hAnsi="Arial" w:cs="Arial"/>
          <w:sz w:val="22"/>
          <w:szCs w:val="22"/>
          <w:lang w:val="en-CA"/>
        </w:rPr>
        <w:t xml:space="preserve">and </w:t>
      </w:r>
      <w:r w:rsidR="00832F74">
        <w:rPr>
          <w:rFonts w:ascii="Arial" w:hAnsi="Arial" w:cs="Arial"/>
          <w:sz w:val="22"/>
          <w:szCs w:val="22"/>
          <w:lang w:val="en-CA"/>
        </w:rPr>
        <w:t>S</w:t>
      </w:r>
      <w:r>
        <w:rPr>
          <w:rFonts w:ascii="Arial" w:hAnsi="Arial" w:cs="Arial"/>
          <w:sz w:val="22"/>
          <w:szCs w:val="22"/>
          <w:lang w:val="en-CA"/>
        </w:rPr>
        <w:t xml:space="preserve">upply </w:t>
      </w:r>
      <w:r w:rsidR="00832F74">
        <w:rPr>
          <w:rFonts w:ascii="Arial" w:hAnsi="Arial" w:cs="Arial"/>
          <w:sz w:val="22"/>
          <w:szCs w:val="22"/>
          <w:lang w:val="en-CA"/>
        </w:rPr>
        <w:t>C</w:t>
      </w:r>
      <w:r>
        <w:rPr>
          <w:rFonts w:ascii="Arial" w:hAnsi="Arial" w:cs="Arial"/>
          <w:sz w:val="22"/>
          <w:szCs w:val="22"/>
          <w:lang w:val="en-CA"/>
        </w:rPr>
        <w:t xml:space="preserve">hain </w:t>
      </w:r>
      <w:r w:rsidR="00832F74">
        <w:rPr>
          <w:rFonts w:ascii="Arial" w:hAnsi="Arial" w:cs="Arial"/>
          <w:sz w:val="22"/>
          <w:szCs w:val="22"/>
          <w:lang w:val="en-CA"/>
        </w:rPr>
        <w:t>F</w:t>
      </w:r>
      <w:r>
        <w:rPr>
          <w:rFonts w:ascii="Arial" w:hAnsi="Arial" w:cs="Arial"/>
          <w:sz w:val="22"/>
          <w:szCs w:val="22"/>
          <w:lang w:val="en-CA"/>
        </w:rPr>
        <w:t>inance.</w:t>
      </w:r>
    </w:p>
    <w:p w14:paraId="7FC8DEE7" w14:textId="77777777" w:rsidR="00D46CFB" w:rsidRPr="00D46CFB" w:rsidRDefault="00D46CFB" w:rsidP="00D46CFB">
      <w:pPr>
        <w:autoSpaceDE w:val="0"/>
        <w:autoSpaceDN w:val="0"/>
        <w:adjustRightInd w:val="0"/>
        <w:rPr>
          <w:color w:val="000000"/>
          <w:sz w:val="24"/>
          <w:szCs w:val="24"/>
          <w:lang w:val="en-CA"/>
        </w:rPr>
      </w:pPr>
    </w:p>
    <w:p w14:paraId="581C446B" w14:textId="77777777" w:rsidR="00D46CFB" w:rsidRPr="00D46CFB" w:rsidRDefault="00D46CFB" w:rsidP="00422964">
      <w:pPr>
        <w:pBdr>
          <w:top w:val="single" w:sz="4" w:space="1" w:color="auto"/>
          <w:bottom w:val="single" w:sz="4" w:space="1" w:color="auto"/>
        </w:pBdr>
        <w:autoSpaceDE w:val="0"/>
        <w:autoSpaceDN w:val="0"/>
        <w:adjustRightInd w:val="0"/>
        <w:rPr>
          <w:rFonts w:ascii="Arial" w:hAnsi="Arial" w:cs="Arial"/>
          <w:color w:val="000000"/>
          <w:sz w:val="22"/>
          <w:szCs w:val="22"/>
          <w:lang w:val="en-CA"/>
        </w:rPr>
      </w:pPr>
      <w:r w:rsidRPr="00D46CFB">
        <w:rPr>
          <w:rFonts w:ascii="Arial" w:hAnsi="Arial" w:cs="Arial"/>
          <w:b/>
          <w:bCs/>
          <w:color w:val="000000"/>
          <w:sz w:val="22"/>
          <w:szCs w:val="22"/>
          <w:lang w:val="en-CA"/>
        </w:rPr>
        <w:lastRenderedPageBreak/>
        <w:t xml:space="preserve">Is it timely to explore the extension of </w:t>
      </w:r>
      <w:r w:rsidR="00886184">
        <w:rPr>
          <w:rFonts w:ascii="Arial" w:hAnsi="Arial" w:cs="Arial"/>
          <w:b/>
          <w:bCs/>
          <w:color w:val="000000"/>
          <w:sz w:val="22"/>
          <w:szCs w:val="22"/>
          <w:lang w:val="en-CA"/>
        </w:rPr>
        <w:t>T</w:t>
      </w:r>
      <w:r w:rsidRPr="00D46CFB">
        <w:rPr>
          <w:rFonts w:ascii="Arial" w:hAnsi="Arial" w:cs="Arial"/>
          <w:b/>
          <w:bCs/>
          <w:color w:val="000000"/>
          <w:sz w:val="22"/>
          <w:szCs w:val="22"/>
          <w:lang w:val="en-CA"/>
        </w:rPr>
        <w:t xml:space="preserve">rade </w:t>
      </w:r>
      <w:r w:rsidR="00886184">
        <w:rPr>
          <w:rFonts w:ascii="Arial" w:hAnsi="Arial" w:cs="Arial"/>
          <w:b/>
          <w:bCs/>
          <w:color w:val="000000"/>
          <w:sz w:val="22"/>
          <w:szCs w:val="22"/>
          <w:lang w:val="en-CA"/>
        </w:rPr>
        <w:t>F</w:t>
      </w:r>
      <w:r w:rsidRPr="00D46CFB">
        <w:rPr>
          <w:rFonts w:ascii="Arial" w:hAnsi="Arial" w:cs="Arial"/>
          <w:b/>
          <w:bCs/>
          <w:color w:val="000000"/>
          <w:sz w:val="22"/>
          <w:szCs w:val="22"/>
          <w:lang w:val="en-CA"/>
        </w:rPr>
        <w:t xml:space="preserve">acilitation, promotion and development efforts, to include a component focused on trade and supply chain finance? </w:t>
      </w:r>
    </w:p>
    <w:p w14:paraId="4F79AA7E" w14:textId="77777777" w:rsidR="00D46CFB" w:rsidRPr="00422964" w:rsidRDefault="00D46CFB" w:rsidP="00422964">
      <w:pPr>
        <w:pBdr>
          <w:top w:val="single" w:sz="4" w:space="1" w:color="auto"/>
          <w:bottom w:val="single" w:sz="4" w:space="1" w:color="auto"/>
        </w:pBdr>
        <w:jc w:val="both"/>
        <w:rPr>
          <w:rFonts w:ascii="Arial" w:hAnsi="Arial" w:cs="Arial"/>
          <w:sz w:val="22"/>
          <w:szCs w:val="22"/>
          <w:lang w:val="en-CA"/>
        </w:rPr>
      </w:pPr>
      <w:r w:rsidRPr="00422964">
        <w:rPr>
          <w:rFonts w:ascii="Arial" w:hAnsi="Arial" w:cs="Arial"/>
          <w:color w:val="000000"/>
          <w:sz w:val="22"/>
          <w:szCs w:val="22"/>
          <w:lang w:val="en-CA"/>
        </w:rPr>
        <w:t>Trade promotion and development activities have tended to concentrate on areas such as feasibility analysis, market entry, development of local partnerships and related areas, with (generally) limited focus on the financing and liquidity dimension of international commerce. Is there an opportunity to put greater focus on financing in the context of trade development and promotion activities, and if so, in what form might this be most effectively accomplished?</w:t>
      </w:r>
      <w:r w:rsidR="003128A0">
        <w:rPr>
          <w:rFonts w:ascii="Arial" w:hAnsi="Arial" w:cs="Arial"/>
          <w:color w:val="000000"/>
          <w:sz w:val="22"/>
          <w:szCs w:val="22"/>
          <w:lang w:val="en-CA"/>
        </w:rPr>
        <w:t xml:space="preserve"> </w:t>
      </w:r>
      <w:r w:rsidRPr="00422964">
        <w:rPr>
          <w:rFonts w:ascii="Arial" w:hAnsi="Arial" w:cs="Arial"/>
          <w:sz w:val="22"/>
          <w:szCs w:val="22"/>
          <w:lang w:val="en-CA"/>
        </w:rPr>
        <w:t>Best-practice trade development and promotion programs do include a degree of focus on the financing dimension; the question is, whether such a component ought to become a more common element of trade development and promotion programs.</w:t>
      </w:r>
    </w:p>
    <w:p w14:paraId="098E73A7" w14:textId="77777777" w:rsidR="00422964" w:rsidRPr="00A73BD5" w:rsidRDefault="00A73BD5" w:rsidP="00A73BD5">
      <w:pPr>
        <w:jc w:val="both"/>
        <w:rPr>
          <w:i/>
          <w:szCs w:val="22"/>
          <w:lang w:val="en-CA"/>
        </w:rPr>
      </w:pPr>
      <w:r>
        <w:rPr>
          <w:i/>
          <w:szCs w:val="22"/>
          <w:lang w:val="en-CA"/>
        </w:rPr>
        <w:t xml:space="preserve">Source: </w:t>
      </w:r>
      <w:r w:rsidR="00422964" w:rsidRPr="00A73BD5">
        <w:rPr>
          <w:i/>
          <w:szCs w:val="22"/>
          <w:lang w:val="en-CA"/>
        </w:rPr>
        <w:t>Asia Pacific Trade Facilitation Forum, Beijing 2013</w:t>
      </w:r>
      <w:r w:rsidR="003128A0" w:rsidRPr="00A73BD5">
        <w:rPr>
          <w:i/>
          <w:szCs w:val="22"/>
          <w:lang w:val="en-CA"/>
        </w:rPr>
        <w:t xml:space="preserve">, </w:t>
      </w:r>
      <w:r w:rsidR="00422964" w:rsidRPr="00A73BD5">
        <w:rPr>
          <w:i/>
          <w:szCs w:val="22"/>
          <w:lang w:val="en-CA"/>
        </w:rPr>
        <w:t xml:space="preserve">Background Paper: Expanding Trade </w:t>
      </w:r>
      <w:r>
        <w:rPr>
          <w:i/>
          <w:szCs w:val="22"/>
          <w:lang w:val="en-CA"/>
        </w:rPr>
        <w:t>t</w:t>
      </w:r>
      <w:r w:rsidR="00422964" w:rsidRPr="00A73BD5">
        <w:rPr>
          <w:i/>
          <w:szCs w:val="22"/>
          <w:lang w:val="en-CA"/>
        </w:rPr>
        <w:t>hrough Supply Chain Finance</w:t>
      </w:r>
      <w:r w:rsidR="003128A0" w:rsidRPr="00A73BD5">
        <w:rPr>
          <w:i/>
          <w:szCs w:val="22"/>
          <w:lang w:val="en-CA"/>
        </w:rPr>
        <w:t xml:space="preserve">, </w:t>
      </w:r>
      <w:r w:rsidR="00422964" w:rsidRPr="00A73BD5">
        <w:rPr>
          <w:i/>
          <w:szCs w:val="22"/>
          <w:lang w:val="en-CA"/>
        </w:rPr>
        <w:t>OPUS Advisory Services International Inc. with/For Asian Development Bank</w:t>
      </w:r>
    </w:p>
    <w:p w14:paraId="38F772E8" w14:textId="77777777" w:rsidR="00E55D8E" w:rsidRDefault="00E55D8E" w:rsidP="00422964">
      <w:pPr>
        <w:ind w:left="-567"/>
        <w:jc w:val="both"/>
        <w:rPr>
          <w:rFonts w:ascii="Arial" w:hAnsi="Arial" w:cs="Arial"/>
          <w:sz w:val="22"/>
          <w:szCs w:val="22"/>
          <w:lang w:val="en-CA"/>
        </w:rPr>
      </w:pPr>
    </w:p>
    <w:p w14:paraId="080012B0" w14:textId="77777777" w:rsidR="00E55D8E" w:rsidRDefault="00FF1097" w:rsidP="00422964">
      <w:pPr>
        <w:ind w:left="-567"/>
        <w:jc w:val="both"/>
        <w:rPr>
          <w:rFonts w:ascii="Arial" w:hAnsi="Arial" w:cs="Arial"/>
          <w:sz w:val="22"/>
          <w:szCs w:val="22"/>
          <w:lang w:val="en-CA"/>
        </w:rPr>
      </w:pPr>
      <w:r>
        <w:rPr>
          <w:rFonts w:ascii="Arial" w:hAnsi="Arial" w:cs="Arial"/>
          <w:sz w:val="22"/>
          <w:szCs w:val="22"/>
          <w:lang w:val="en-CA"/>
        </w:rPr>
        <w:t xml:space="preserve">The commercial reality, almost globally, is that trade is fundamentally reliant on access to adequate levels of financing. The efforts of </w:t>
      </w:r>
      <w:r w:rsidR="00832F74">
        <w:rPr>
          <w:rFonts w:ascii="Arial" w:hAnsi="Arial" w:cs="Arial"/>
          <w:sz w:val="22"/>
          <w:szCs w:val="22"/>
          <w:lang w:val="en-CA"/>
        </w:rPr>
        <w:t>Trade F</w:t>
      </w:r>
      <w:r>
        <w:rPr>
          <w:rFonts w:ascii="Arial" w:hAnsi="Arial" w:cs="Arial"/>
          <w:sz w:val="22"/>
          <w:szCs w:val="22"/>
          <w:lang w:val="en-CA"/>
        </w:rPr>
        <w:t xml:space="preserve">acilitation practitioners and the objectives of facilitation programs have generated meaningful successes and material positive impact, however it is </w:t>
      </w:r>
      <w:r w:rsidR="00F709F5">
        <w:rPr>
          <w:rFonts w:ascii="Arial" w:hAnsi="Arial" w:cs="Arial"/>
          <w:sz w:val="22"/>
          <w:szCs w:val="22"/>
          <w:lang w:val="en-CA"/>
        </w:rPr>
        <w:t xml:space="preserve">a premise of this initiative, to be validated, </w:t>
      </w:r>
      <w:r>
        <w:rPr>
          <w:rFonts w:ascii="Arial" w:hAnsi="Arial" w:cs="Arial"/>
          <w:sz w:val="22"/>
          <w:szCs w:val="22"/>
          <w:lang w:val="en-CA"/>
        </w:rPr>
        <w:t xml:space="preserve">that there is additional potential in integrating a financing component </w:t>
      </w:r>
      <w:r w:rsidR="00971831">
        <w:rPr>
          <w:rFonts w:ascii="Arial" w:hAnsi="Arial" w:cs="Arial"/>
          <w:sz w:val="22"/>
          <w:szCs w:val="22"/>
          <w:lang w:val="en-CA"/>
        </w:rPr>
        <w:t>into</w:t>
      </w:r>
      <w:r>
        <w:rPr>
          <w:rFonts w:ascii="Arial" w:hAnsi="Arial" w:cs="Arial"/>
          <w:sz w:val="22"/>
          <w:szCs w:val="22"/>
          <w:lang w:val="en-CA"/>
        </w:rPr>
        <w:t xml:space="preserve"> next-generation </w:t>
      </w:r>
      <w:r w:rsidR="00886184">
        <w:rPr>
          <w:rFonts w:ascii="Arial" w:hAnsi="Arial" w:cs="Arial"/>
          <w:sz w:val="22"/>
          <w:szCs w:val="22"/>
          <w:lang w:val="en-CA"/>
        </w:rPr>
        <w:t>T</w:t>
      </w:r>
      <w:r>
        <w:rPr>
          <w:rFonts w:ascii="Arial" w:hAnsi="Arial" w:cs="Arial"/>
          <w:sz w:val="22"/>
          <w:szCs w:val="22"/>
          <w:lang w:val="en-CA"/>
        </w:rPr>
        <w:t xml:space="preserve">rade </w:t>
      </w:r>
      <w:r w:rsidR="00886184">
        <w:rPr>
          <w:rFonts w:ascii="Arial" w:hAnsi="Arial" w:cs="Arial"/>
          <w:sz w:val="22"/>
          <w:szCs w:val="22"/>
          <w:lang w:val="en-CA"/>
        </w:rPr>
        <w:t>F</w:t>
      </w:r>
      <w:r>
        <w:rPr>
          <w:rFonts w:ascii="Arial" w:hAnsi="Arial" w:cs="Arial"/>
          <w:sz w:val="22"/>
          <w:szCs w:val="22"/>
          <w:lang w:val="en-CA"/>
        </w:rPr>
        <w:t>acilitation practices and disciplines.</w:t>
      </w:r>
    </w:p>
    <w:p w14:paraId="05D9ACB4" w14:textId="77777777" w:rsidR="00422964" w:rsidRDefault="00422964" w:rsidP="00422964">
      <w:pPr>
        <w:ind w:left="-567"/>
        <w:jc w:val="both"/>
        <w:rPr>
          <w:rFonts w:ascii="Arial" w:hAnsi="Arial" w:cs="Arial"/>
          <w:sz w:val="22"/>
          <w:szCs w:val="22"/>
          <w:lang w:val="en-CA"/>
        </w:rPr>
      </w:pPr>
    </w:p>
    <w:p w14:paraId="0AC322CD" w14:textId="77777777" w:rsidR="00DA1A64" w:rsidRDefault="00DA1A64" w:rsidP="00DA1A64">
      <w:pPr>
        <w:ind w:left="-567"/>
        <w:jc w:val="both"/>
        <w:rPr>
          <w:rFonts w:ascii="Arial" w:hAnsi="Arial" w:cs="Arial"/>
          <w:sz w:val="22"/>
          <w:szCs w:val="22"/>
        </w:rPr>
      </w:pPr>
      <w:r>
        <w:rPr>
          <w:rFonts w:ascii="Arial" w:hAnsi="Arial" w:cs="Arial"/>
          <w:sz w:val="22"/>
          <w:szCs w:val="22"/>
        </w:rPr>
        <w:t xml:space="preserve">A global, concerted and consistent approach to the creation of an enabling environment around </w:t>
      </w:r>
      <w:r w:rsidR="00DB507A">
        <w:rPr>
          <w:rFonts w:ascii="Arial" w:hAnsi="Arial" w:cs="Arial"/>
          <w:sz w:val="22"/>
          <w:szCs w:val="22"/>
        </w:rPr>
        <w:t>Trade Finance</w:t>
      </w:r>
      <w:r>
        <w:rPr>
          <w:rFonts w:ascii="Arial" w:hAnsi="Arial" w:cs="Arial"/>
          <w:sz w:val="22"/>
          <w:szCs w:val="22"/>
        </w:rPr>
        <w:t xml:space="preserve"> will be an important addition to the growth of trade flows and the related increase in international development and poverty reduction.</w:t>
      </w:r>
    </w:p>
    <w:p w14:paraId="7B1AC8CB" w14:textId="77777777" w:rsidR="00A255A6" w:rsidRDefault="00A255A6" w:rsidP="00A255A6">
      <w:pPr>
        <w:jc w:val="both"/>
        <w:rPr>
          <w:rFonts w:ascii="Arial" w:hAnsi="Arial" w:cs="Arial"/>
          <w:sz w:val="22"/>
          <w:szCs w:val="22"/>
          <w:lang w:val="en-CA"/>
        </w:rPr>
      </w:pPr>
    </w:p>
    <w:p w14:paraId="4D960809" w14:textId="77777777" w:rsidR="00DA1A64" w:rsidRDefault="00DA1A64" w:rsidP="00DA1A64">
      <w:pPr>
        <w:ind w:left="-567"/>
        <w:jc w:val="both"/>
        <w:rPr>
          <w:rFonts w:ascii="Arial" w:hAnsi="Arial" w:cs="Arial"/>
          <w:sz w:val="22"/>
          <w:szCs w:val="22"/>
        </w:rPr>
      </w:pPr>
      <w:r>
        <w:rPr>
          <w:rFonts w:ascii="Arial" w:hAnsi="Arial" w:cs="Arial"/>
          <w:sz w:val="22"/>
          <w:szCs w:val="22"/>
        </w:rPr>
        <w:t xml:space="preserve">While </w:t>
      </w:r>
      <w:r w:rsidR="00DB507A">
        <w:rPr>
          <w:rFonts w:ascii="Arial" w:hAnsi="Arial" w:cs="Arial"/>
          <w:sz w:val="22"/>
          <w:szCs w:val="22"/>
        </w:rPr>
        <w:t>Trade Finance</w:t>
      </w:r>
      <w:r w:rsidR="00F709F5">
        <w:rPr>
          <w:rFonts w:ascii="Arial" w:hAnsi="Arial" w:cs="Arial"/>
          <w:sz w:val="22"/>
          <w:szCs w:val="22"/>
        </w:rPr>
        <w:t xml:space="preserve"> </w:t>
      </w:r>
      <w:r w:rsidRPr="00F709F5">
        <w:rPr>
          <w:rFonts w:ascii="Arial" w:hAnsi="Arial" w:cs="Arial"/>
          <w:sz w:val="22"/>
          <w:szCs w:val="22"/>
        </w:rPr>
        <w:t xml:space="preserve">and </w:t>
      </w:r>
      <w:r w:rsidR="00832F74">
        <w:rPr>
          <w:rFonts w:ascii="Arial" w:hAnsi="Arial" w:cs="Arial"/>
          <w:sz w:val="22"/>
          <w:szCs w:val="22"/>
        </w:rPr>
        <w:t>S</w:t>
      </w:r>
      <w:r w:rsidR="00832F74" w:rsidRPr="00F709F5">
        <w:rPr>
          <w:rFonts w:ascii="Arial" w:hAnsi="Arial" w:cs="Arial"/>
          <w:sz w:val="22"/>
          <w:szCs w:val="22"/>
        </w:rPr>
        <w:t xml:space="preserve">upply </w:t>
      </w:r>
      <w:r w:rsidR="00832F74">
        <w:rPr>
          <w:rFonts w:ascii="Arial" w:hAnsi="Arial" w:cs="Arial"/>
          <w:sz w:val="22"/>
          <w:szCs w:val="22"/>
        </w:rPr>
        <w:t>C</w:t>
      </w:r>
      <w:r w:rsidRPr="00F709F5">
        <w:rPr>
          <w:rFonts w:ascii="Arial" w:hAnsi="Arial" w:cs="Arial"/>
          <w:sz w:val="22"/>
          <w:szCs w:val="22"/>
        </w:rPr>
        <w:t>hain</w:t>
      </w:r>
      <w:r>
        <w:rPr>
          <w:rFonts w:ascii="Arial" w:hAnsi="Arial" w:cs="Arial"/>
          <w:sz w:val="22"/>
          <w:szCs w:val="22"/>
        </w:rPr>
        <w:t xml:space="preserve"> </w:t>
      </w:r>
      <w:r w:rsidR="00832F74">
        <w:rPr>
          <w:rFonts w:ascii="Arial" w:hAnsi="Arial" w:cs="Arial"/>
          <w:sz w:val="22"/>
          <w:szCs w:val="22"/>
        </w:rPr>
        <w:t>F</w:t>
      </w:r>
      <w:r>
        <w:rPr>
          <w:rFonts w:ascii="Arial" w:hAnsi="Arial" w:cs="Arial"/>
          <w:sz w:val="22"/>
          <w:szCs w:val="22"/>
        </w:rPr>
        <w:t>inance enjoy an unprecedented level of profile and visibility in international institutions such as the WTO, the IMF and various multilateral organizations, the reality is that these disciplines do not typically attract significant attention at the level of domestic public policy.</w:t>
      </w:r>
    </w:p>
    <w:p w14:paraId="0FBF1784" w14:textId="77777777" w:rsidR="00A255A6" w:rsidRDefault="00A255A6">
      <w:pPr>
        <w:rPr>
          <w:rFonts w:ascii="Arial" w:hAnsi="Arial" w:cs="Arial"/>
          <w:sz w:val="22"/>
          <w:szCs w:val="22"/>
        </w:rPr>
      </w:pPr>
    </w:p>
    <w:p w14:paraId="30F5D90D" w14:textId="77777777" w:rsidR="00A255A6" w:rsidRPr="00AF7EBD" w:rsidRDefault="00682F8E" w:rsidP="00AF7EBD">
      <w:pPr>
        <w:ind w:left="-567"/>
        <w:jc w:val="both"/>
        <w:rPr>
          <w:rFonts w:ascii="Arial" w:hAnsi="Arial" w:cs="Arial"/>
          <w:sz w:val="22"/>
          <w:szCs w:val="22"/>
        </w:rPr>
      </w:pPr>
      <w:r>
        <w:rPr>
          <w:rFonts w:ascii="Arial" w:hAnsi="Arial" w:cs="Arial"/>
          <w:sz w:val="22"/>
          <w:szCs w:val="22"/>
        </w:rPr>
        <w:t xml:space="preserve">There are clear opportunities to create linkages between </w:t>
      </w:r>
      <w:r w:rsidR="00832F74">
        <w:rPr>
          <w:rFonts w:ascii="Arial" w:hAnsi="Arial" w:cs="Arial"/>
          <w:sz w:val="22"/>
          <w:szCs w:val="22"/>
        </w:rPr>
        <w:t>Trade F</w:t>
      </w:r>
      <w:r>
        <w:rPr>
          <w:rFonts w:ascii="Arial" w:hAnsi="Arial" w:cs="Arial"/>
          <w:sz w:val="22"/>
          <w:szCs w:val="22"/>
        </w:rPr>
        <w:t xml:space="preserve">acilitation programs and various forms of </w:t>
      </w:r>
      <w:r w:rsidR="00832F74">
        <w:rPr>
          <w:rFonts w:ascii="Arial" w:hAnsi="Arial" w:cs="Arial"/>
          <w:sz w:val="22"/>
          <w:szCs w:val="22"/>
        </w:rPr>
        <w:t>T</w:t>
      </w:r>
      <w:r>
        <w:rPr>
          <w:rFonts w:ascii="Arial" w:hAnsi="Arial" w:cs="Arial"/>
          <w:sz w:val="22"/>
          <w:szCs w:val="22"/>
        </w:rPr>
        <w:t xml:space="preserve">rade </w:t>
      </w:r>
      <w:r w:rsidR="00832F74">
        <w:rPr>
          <w:rFonts w:ascii="Arial" w:hAnsi="Arial" w:cs="Arial"/>
          <w:sz w:val="22"/>
          <w:szCs w:val="22"/>
        </w:rPr>
        <w:t xml:space="preserve">Finance </w:t>
      </w:r>
      <w:r>
        <w:rPr>
          <w:rFonts w:ascii="Arial" w:hAnsi="Arial" w:cs="Arial"/>
          <w:sz w:val="22"/>
          <w:szCs w:val="22"/>
        </w:rPr>
        <w:t xml:space="preserve">and </w:t>
      </w:r>
      <w:r w:rsidR="00832F74">
        <w:rPr>
          <w:rFonts w:ascii="Arial" w:hAnsi="Arial" w:cs="Arial"/>
          <w:sz w:val="22"/>
          <w:szCs w:val="22"/>
        </w:rPr>
        <w:t>S</w:t>
      </w:r>
      <w:r>
        <w:rPr>
          <w:rFonts w:ascii="Arial" w:hAnsi="Arial" w:cs="Arial"/>
          <w:sz w:val="22"/>
          <w:szCs w:val="22"/>
        </w:rPr>
        <w:t xml:space="preserve">upply </w:t>
      </w:r>
      <w:r w:rsidR="00832F74">
        <w:rPr>
          <w:rFonts w:ascii="Arial" w:hAnsi="Arial" w:cs="Arial"/>
          <w:sz w:val="22"/>
          <w:szCs w:val="22"/>
        </w:rPr>
        <w:t>C</w:t>
      </w:r>
      <w:r>
        <w:rPr>
          <w:rFonts w:ascii="Arial" w:hAnsi="Arial" w:cs="Arial"/>
          <w:sz w:val="22"/>
          <w:szCs w:val="22"/>
        </w:rPr>
        <w:t xml:space="preserve">hain </w:t>
      </w:r>
      <w:r w:rsidR="00832F74">
        <w:rPr>
          <w:rFonts w:ascii="Arial" w:hAnsi="Arial" w:cs="Arial"/>
          <w:sz w:val="22"/>
          <w:szCs w:val="22"/>
        </w:rPr>
        <w:t>F</w:t>
      </w:r>
      <w:r>
        <w:rPr>
          <w:rFonts w:ascii="Arial" w:hAnsi="Arial" w:cs="Arial"/>
          <w:sz w:val="22"/>
          <w:szCs w:val="22"/>
        </w:rPr>
        <w:t xml:space="preserve">inance, as illustrated </w:t>
      </w:r>
      <w:r w:rsidR="00832F74">
        <w:rPr>
          <w:rFonts w:ascii="Arial" w:hAnsi="Arial" w:cs="Arial"/>
          <w:sz w:val="22"/>
          <w:szCs w:val="22"/>
        </w:rPr>
        <w:t xml:space="preserve">for example </w:t>
      </w:r>
      <w:r>
        <w:rPr>
          <w:rFonts w:ascii="Arial" w:hAnsi="Arial" w:cs="Arial"/>
          <w:sz w:val="22"/>
          <w:szCs w:val="22"/>
        </w:rPr>
        <w:t>by the Buy-Ship-Pay model and the related event-based financing representation of a trade transaction lifecycle.</w:t>
      </w:r>
    </w:p>
    <w:sectPr w:rsidR="00A255A6" w:rsidRPr="00AF7EBD" w:rsidSect="0056591A">
      <w:headerReference w:type="default" r:id="rId38"/>
      <w:footerReference w:type="default" r:id="rId39"/>
      <w:pgSz w:w="12240" w:h="15840"/>
      <w:pgMar w:top="1440" w:right="1800" w:bottom="1440" w:left="1800" w:header="720" w:footer="720" w:gutter="0"/>
      <w:pgBorders w:display="firstPage" w:offsetFrom="page">
        <w:top w:val="single" w:sz="12" w:space="24" w:color="000080"/>
        <w:left w:val="single" w:sz="12" w:space="24" w:color="000080"/>
        <w:bottom w:val="single" w:sz="12" w:space="24" w:color="000080"/>
        <w:right w:val="single" w:sz="12" w:space="24" w:color="000080"/>
      </w:pgBorders>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06C06" w14:textId="77777777" w:rsidR="00D906FF" w:rsidRDefault="00D906FF">
      <w:r>
        <w:separator/>
      </w:r>
    </w:p>
  </w:endnote>
  <w:endnote w:type="continuationSeparator" w:id="0">
    <w:p w14:paraId="598CD2C5" w14:textId="77777777" w:rsidR="00D906FF" w:rsidRDefault="00D90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4D"/>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Light">
    <w:charset w:val="00"/>
    <w:family w:val="auto"/>
    <w:pitch w:val="variable"/>
    <w:sig w:usb0="800000AF" w:usb1="4000204A"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9256C" w14:textId="77777777" w:rsidR="0042272E" w:rsidRPr="00DE398D" w:rsidRDefault="0042272E" w:rsidP="00A1268E">
    <w:pPr>
      <w:pStyle w:val="Footer"/>
      <w:jc w:val="center"/>
      <w:rPr>
        <w:color w:val="000080"/>
        <w:sz w:val="22"/>
        <w:szCs w:val="22"/>
        <w:lang w:val="en-US"/>
      </w:rPr>
    </w:pPr>
    <w:r w:rsidRPr="00DE398D">
      <w:rPr>
        <w:color w:val="000080"/>
        <w:lang w:val="en-US"/>
      </w:rPr>
      <w:t>______________________________________________________________________</w:t>
    </w:r>
    <w:r w:rsidRPr="00DE398D">
      <w:rPr>
        <w:color w:val="000080"/>
        <w:lang w:val="en-US"/>
      </w:rPr>
      <w:br/>
    </w:r>
    <w:r w:rsidR="00FD6954">
      <w:rPr>
        <w:color w:val="000080"/>
        <w:lang w:val="en-US"/>
      </w:rPr>
      <w:t>January 2016</w:t>
    </w:r>
    <w:r w:rsidRPr="00DE398D">
      <w:rPr>
        <w:color w:val="000080"/>
        <w:lang w:val="en-US"/>
      </w:rPr>
      <w:tab/>
    </w:r>
    <w:r>
      <w:rPr>
        <w:rStyle w:val="PageNumber"/>
        <w:color w:val="000080"/>
        <w:szCs w:val="24"/>
      </w:rPr>
      <w:t>UN/CEFACT</w:t>
    </w:r>
    <w:r w:rsidRPr="00DE398D">
      <w:rPr>
        <w:color w:val="000080"/>
        <w:sz w:val="22"/>
        <w:szCs w:val="22"/>
        <w:lang w:val="en-US"/>
      </w:rPr>
      <w:tab/>
    </w:r>
    <w:r w:rsidRPr="00F539B4">
      <w:rPr>
        <w:rStyle w:val="PageNumber"/>
        <w:b/>
        <w:color w:val="000080"/>
        <w:sz w:val="22"/>
        <w:szCs w:val="22"/>
      </w:rPr>
      <w:t xml:space="preserve">Page </w:t>
    </w:r>
    <w:r w:rsidRPr="00F539B4">
      <w:rPr>
        <w:rStyle w:val="PageNumber"/>
        <w:b/>
        <w:color w:val="000080"/>
        <w:sz w:val="22"/>
        <w:szCs w:val="22"/>
      </w:rPr>
      <w:fldChar w:fldCharType="begin"/>
    </w:r>
    <w:r w:rsidRPr="00F539B4">
      <w:rPr>
        <w:rStyle w:val="PageNumber"/>
        <w:b/>
        <w:color w:val="000080"/>
        <w:sz w:val="22"/>
        <w:szCs w:val="22"/>
      </w:rPr>
      <w:instrText xml:space="preserve"> PAGE </w:instrText>
    </w:r>
    <w:r w:rsidRPr="00F539B4">
      <w:rPr>
        <w:rStyle w:val="PageNumber"/>
        <w:b/>
        <w:color w:val="000080"/>
        <w:sz w:val="22"/>
        <w:szCs w:val="22"/>
      </w:rPr>
      <w:fldChar w:fldCharType="separate"/>
    </w:r>
    <w:r w:rsidR="00081BF5">
      <w:rPr>
        <w:rStyle w:val="PageNumber"/>
        <w:b/>
        <w:noProof/>
        <w:color w:val="000080"/>
        <w:sz w:val="22"/>
        <w:szCs w:val="22"/>
      </w:rPr>
      <w:t>7</w:t>
    </w:r>
    <w:r w:rsidRPr="00F539B4">
      <w:rPr>
        <w:rStyle w:val="PageNumber"/>
        <w:b/>
        <w:color w:val="000080"/>
        <w:sz w:val="22"/>
        <w:szCs w:val="22"/>
      </w:rPr>
      <w:fldChar w:fldCharType="end"/>
    </w:r>
    <w:r w:rsidRPr="00F539B4">
      <w:rPr>
        <w:rStyle w:val="PageNumber"/>
        <w:b/>
        <w:color w:val="000080"/>
        <w:sz w:val="22"/>
        <w:szCs w:val="22"/>
      </w:rPr>
      <w:t xml:space="preserve"> of </w:t>
    </w:r>
    <w:r w:rsidRPr="00F539B4">
      <w:rPr>
        <w:rStyle w:val="PageNumber"/>
        <w:b/>
        <w:color w:val="000080"/>
        <w:sz w:val="22"/>
        <w:szCs w:val="22"/>
      </w:rPr>
      <w:fldChar w:fldCharType="begin"/>
    </w:r>
    <w:r w:rsidRPr="00F539B4">
      <w:rPr>
        <w:rStyle w:val="PageNumber"/>
        <w:b/>
        <w:color w:val="000080"/>
        <w:sz w:val="22"/>
        <w:szCs w:val="22"/>
      </w:rPr>
      <w:instrText xml:space="preserve"> NUMPAGES </w:instrText>
    </w:r>
    <w:r w:rsidRPr="00F539B4">
      <w:rPr>
        <w:rStyle w:val="PageNumber"/>
        <w:b/>
        <w:color w:val="000080"/>
        <w:sz w:val="22"/>
        <w:szCs w:val="22"/>
      </w:rPr>
      <w:fldChar w:fldCharType="separate"/>
    </w:r>
    <w:r w:rsidR="00081BF5">
      <w:rPr>
        <w:rStyle w:val="PageNumber"/>
        <w:b/>
        <w:noProof/>
        <w:color w:val="000080"/>
        <w:sz w:val="22"/>
        <w:szCs w:val="22"/>
      </w:rPr>
      <w:t>44</w:t>
    </w:r>
    <w:r w:rsidRPr="00F539B4">
      <w:rPr>
        <w:rStyle w:val="PageNumber"/>
        <w:b/>
        <w:color w:val="000080"/>
        <w:sz w:val="22"/>
        <w:szCs w:val="22"/>
      </w:rPr>
      <w:fldChar w:fldCharType="end"/>
    </w:r>
    <w:r>
      <w:rPr>
        <w:rStyle w:val="PageNumber"/>
        <w:b/>
        <w:color w:val="000080"/>
        <w:sz w:val="22"/>
        <w:szCs w:val="22"/>
      </w:rPr>
      <w:br/>
    </w:r>
    <w:r w:rsidRPr="00DE398D">
      <w:rPr>
        <w:rStyle w:val="PageNumber"/>
        <w:color w:val="000080"/>
        <w:sz w:val="22"/>
        <w:szCs w:val="22"/>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4EE764" w14:textId="77777777" w:rsidR="00D906FF" w:rsidRDefault="00D906FF">
      <w:r>
        <w:separator/>
      </w:r>
    </w:p>
  </w:footnote>
  <w:footnote w:type="continuationSeparator" w:id="0">
    <w:p w14:paraId="43EE7D43" w14:textId="77777777" w:rsidR="00D906FF" w:rsidRDefault="00D906FF">
      <w:r>
        <w:continuationSeparator/>
      </w:r>
    </w:p>
  </w:footnote>
  <w:footnote w:id="1">
    <w:p w14:paraId="76B750F6" w14:textId="77777777" w:rsidR="0042272E" w:rsidRPr="00236ED1" w:rsidRDefault="0042272E">
      <w:pPr>
        <w:pStyle w:val="FootnoteText"/>
        <w:rPr>
          <w:lang w:val="nl-NL"/>
        </w:rPr>
      </w:pPr>
      <w:r>
        <w:rPr>
          <w:rStyle w:val="FootnoteReference"/>
        </w:rPr>
        <w:footnoteRef/>
      </w:r>
      <w:r>
        <w:t xml:space="preserve"> </w:t>
      </w:r>
      <w:r w:rsidRPr="004A1F5E">
        <w:t>https://ec.europa.eu/europeaid/sites/devco/files/brochure-acp-trade-hubs-and-spokes-programme-ii-2014_en.pdf</w:t>
      </w:r>
    </w:p>
  </w:footnote>
  <w:footnote w:id="2">
    <w:p w14:paraId="71A9E420" w14:textId="77777777" w:rsidR="0042272E" w:rsidRPr="00236ED1" w:rsidRDefault="0042272E" w:rsidP="004A1F5E">
      <w:pPr>
        <w:pStyle w:val="FootnoteText"/>
        <w:rPr>
          <w:lang w:val="nl-NL"/>
        </w:rPr>
      </w:pPr>
      <w:r>
        <w:rPr>
          <w:rStyle w:val="FootnoteReference"/>
        </w:rPr>
        <w:footnoteRef/>
      </w:r>
      <w:r w:rsidRPr="00236ED1">
        <w:rPr>
          <w:lang w:val="nl-NL"/>
        </w:rPr>
        <w:t xml:space="preserve"> http://www.unece.org/trade/ctied/ctied7/ece_trade_324e.pdf</w:t>
      </w:r>
    </w:p>
  </w:footnote>
  <w:footnote w:id="3">
    <w:p w14:paraId="1DA19C15" w14:textId="77777777" w:rsidR="0042272E" w:rsidRPr="00236ED1" w:rsidRDefault="0042272E">
      <w:pPr>
        <w:pStyle w:val="FootnoteText"/>
        <w:rPr>
          <w:lang w:val="nl-NL"/>
        </w:rPr>
      </w:pPr>
      <w:r>
        <w:rPr>
          <w:rStyle w:val="FootnoteReference"/>
        </w:rPr>
        <w:footnoteRef/>
      </w:r>
      <w:r w:rsidRPr="00236ED1">
        <w:rPr>
          <w:lang w:val="nl-NL"/>
        </w:rPr>
        <w:t xml:space="preserve"> http://www.swift.com/index.page?lang=en</w:t>
      </w:r>
    </w:p>
  </w:footnote>
  <w:footnote w:id="4">
    <w:p w14:paraId="5BEDA03A" w14:textId="77777777" w:rsidR="0042272E" w:rsidRPr="00236ED1" w:rsidRDefault="0042272E">
      <w:pPr>
        <w:pStyle w:val="FootnoteText"/>
        <w:rPr>
          <w:lang w:val="nl-NL"/>
        </w:rPr>
      </w:pPr>
      <w:r>
        <w:rPr>
          <w:rStyle w:val="FootnoteReference"/>
        </w:rPr>
        <w:footnoteRef/>
      </w:r>
      <w:r w:rsidRPr="00236ED1">
        <w:rPr>
          <w:lang w:val="nl-NL"/>
        </w:rPr>
        <w:t xml:space="preserve"> http://tfig.unece.org/contents/buy-ship-pay-model.htm</w:t>
      </w:r>
    </w:p>
  </w:footnote>
  <w:footnote w:id="5">
    <w:p w14:paraId="4628BFAA" w14:textId="77777777" w:rsidR="0042272E" w:rsidRPr="00D714D3" w:rsidRDefault="0042272E">
      <w:pPr>
        <w:pStyle w:val="FootnoteText"/>
        <w:rPr>
          <w:lang w:val="nl-NL"/>
        </w:rPr>
      </w:pPr>
      <w:r>
        <w:rPr>
          <w:rStyle w:val="FootnoteReference"/>
        </w:rPr>
        <w:footnoteRef/>
      </w:r>
      <w:r w:rsidRPr="00D714D3">
        <w:rPr>
          <w:lang w:val="nl-NL"/>
        </w:rPr>
        <w:t xml:space="preserve"> http://www.investopedia.com/articles/06/cashconversioncycle.asp</w:t>
      </w:r>
    </w:p>
  </w:footnote>
  <w:footnote w:id="6">
    <w:p w14:paraId="244DBA7F" w14:textId="77777777" w:rsidR="0042272E" w:rsidRPr="005364BD" w:rsidRDefault="0042272E">
      <w:pPr>
        <w:pStyle w:val="FootnoteText"/>
        <w:rPr>
          <w:lang w:val="nl-NL"/>
        </w:rPr>
      </w:pPr>
      <w:r>
        <w:rPr>
          <w:rStyle w:val="FootnoteReference"/>
        </w:rPr>
        <w:footnoteRef/>
      </w:r>
      <w:r w:rsidRPr="005364BD">
        <w:rPr>
          <w:lang w:val="nl-NL"/>
        </w:rPr>
        <w:t xml:space="preserve"> http://www.investopedia.com/articles/06/cashconversioncycle.asp</w:t>
      </w:r>
    </w:p>
  </w:footnote>
  <w:footnote w:id="7">
    <w:p w14:paraId="54F85687" w14:textId="77777777" w:rsidR="0042272E" w:rsidRPr="00FE680B" w:rsidRDefault="0042272E">
      <w:pPr>
        <w:pStyle w:val="FootnoteText"/>
      </w:pPr>
      <w:r>
        <w:rPr>
          <w:rStyle w:val="FootnoteReference"/>
        </w:rPr>
        <w:footnoteRef/>
      </w:r>
      <w:r>
        <w:t xml:space="preserve"> </w:t>
      </w:r>
      <w:proofErr w:type="spellStart"/>
      <w:r w:rsidRPr="00236ED1">
        <w:t>bsp</w:t>
      </w:r>
      <w:proofErr w:type="spellEnd"/>
      <w:r w:rsidRPr="00236ED1">
        <w:t xml:space="preserve"> = ‘basis</w:t>
      </w:r>
      <w:r>
        <w:t xml:space="preserve"> </w:t>
      </w:r>
      <w:r w:rsidRPr="00236ED1">
        <w:t>points’, see http://www.investopedia.com/terms/b/basispoint.asp</w:t>
      </w:r>
    </w:p>
  </w:footnote>
  <w:footnote w:id="8">
    <w:p w14:paraId="561C6251" w14:textId="77777777" w:rsidR="0042272E" w:rsidRPr="00FE680B" w:rsidRDefault="0042272E">
      <w:pPr>
        <w:pStyle w:val="FootnoteText"/>
      </w:pPr>
      <w:r>
        <w:rPr>
          <w:rStyle w:val="FootnoteReference"/>
        </w:rPr>
        <w:footnoteRef/>
      </w:r>
      <w:r>
        <w:t xml:space="preserve"> </w:t>
      </w:r>
      <w:r w:rsidRPr="00FE680B">
        <w:t>http://www.investopedia.com/terms/e/export-credit-agency.asp</w:t>
      </w:r>
    </w:p>
  </w:footnote>
  <w:footnote w:id="9">
    <w:p w14:paraId="19F49F23" w14:textId="77777777" w:rsidR="0042272E" w:rsidRPr="0002261E" w:rsidRDefault="0042272E">
      <w:pPr>
        <w:pStyle w:val="FootnoteText"/>
      </w:pPr>
      <w:r>
        <w:rPr>
          <w:rStyle w:val="FootnoteReference"/>
        </w:rPr>
        <w:footnoteRef/>
      </w:r>
      <w:r>
        <w:t xml:space="preserve"> </w:t>
      </w:r>
      <w:r w:rsidRPr="0002261E">
        <w:t>http://www.ifc.org/wps/wcm/connect/corp_ext_content/ifc_external_corporate_site/home</w:t>
      </w:r>
    </w:p>
  </w:footnote>
  <w:footnote w:id="10">
    <w:p w14:paraId="5889AFCB" w14:textId="77777777" w:rsidR="0042272E" w:rsidRPr="0004398A" w:rsidRDefault="0042272E">
      <w:pPr>
        <w:pStyle w:val="FootnoteText"/>
      </w:pPr>
      <w:r>
        <w:rPr>
          <w:rStyle w:val="FootnoteReference"/>
        </w:rPr>
        <w:footnoteRef/>
      </w:r>
      <w:r>
        <w:t xml:space="preserve"> </w:t>
      </w:r>
      <w:r w:rsidRPr="0004398A">
        <w:t>https://docs.wto.org/dol2fe/Pages/FE_Search/FE_S_S006.aspx?Query=((@Symbol=WT/WGTDF/*+OR+@Symbol=JOB*)+AND+(@Title="expert+group"+AND+@Title="trade+finance"+AND+@Title=report))&amp;Language=ENGLISH&amp;Context=QuerySearch&amp;btsType=&amp;SourcePage=FE_B_007&amp;&amp;languageUIChanged=true#</w:t>
      </w:r>
    </w:p>
  </w:footnote>
  <w:footnote w:id="11">
    <w:p w14:paraId="3529F3C9" w14:textId="77777777" w:rsidR="0042272E" w:rsidRPr="00DB507A" w:rsidRDefault="0042272E">
      <w:pPr>
        <w:pStyle w:val="FootnoteText"/>
      </w:pPr>
      <w:r>
        <w:rPr>
          <w:rStyle w:val="FootnoteReference"/>
        </w:rPr>
        <w:footnoteRef/>
      </w:r>
      <w:r>
        <w:t xml:space="preserve"> </w:t>
      </w:r>
      <w:r w:rsidRPr="00DB507A">
        <w:t>Source: ICC Banking Commission, “Rethinking Trade and Trade Finance, 2014</w:t>
      </w:r>
      <w:r>
        <w:t xml:space="preserve"> and 2015 Editions</w:t>
      </w:r>
    </w:p>
  </w:footnote>
  <w:footnote w:id="12">
    <w:p w14:paraId="257A3538" w14:textId="77777777" w:rsidR="0042272E" w:rsidRPr="00F04AAD" w:rsidRDefault="0042272E" w:rsidP="00D714D3">
      <w:pPr>
        <w:pStyle w:val="FootnoteText"/>
      </w:pPr>
      <w:r>
        <w:rPr>
          <w:rStyle w:val="FootnoteReference"/>
        </w:rPr>
        <w:footnoteRef/>
      </w:r>
      <w:r>
        <w:t xml:space="preserve"> </w:t>
      </w:r>
      <w:r w:rsidRPr="00F04AAD">
        <w:t xml:space="preserve">Islamic finance and </w:t>
      </w:r>
      <w:r>
        <w:t>Trade Finance</w:t>
      </w:r>
      <w:r w:rsidRPr="00F04AAD">
        <w:t xml:space="preserve"> is an exception to this practice, in that a bank operating under Islamic or </w:t>
      </w:r>
      <w:proofErr w:type="spellStart"/>
      <w:r w:rsidRPr="00F04AAD">
        <w:t>Shari’a</w:t>
      </w:r>
      <w:proofErr w:type="spellEnd"/>
      <w:r w:rsidRPr="00F04AAD">
        <w:t xml:space="preserve"> Law, </w:t>
      </w:r>
      <w:r>
        <w:t>may</w:t>
      </w:r>
      <w:r w:rsidRPr="00F04AAD">
        <w:t xml:space="preserve"> take possession of the goods, and may engage in inspection and warehousing activities</w:t>
      </w:r>
    </w:p>
  </w:footnote>
  <w:footnote w:id="13">
    <w:p w14:paraId="5C587EF5" w14:textId="77777777" w:rsidR="0042272E" w:rsidRPr="00EC3FE8" w:rsidRDefault="0042272E" w:rsidP="00D714D3">
      <w:pPr>
        <w:pStyle w:val="FootnoteText"/>
      </w:pPr>
      <w:r>
        <w:rPr>
          <w:rStyle w:val="FootnoteReference"/>
        </w:rPr>
        <w:footnoteRef/>
      </w:r>
      <w:r>
        <w:t xml:space="preserve"> </w:t>
      </w:r>
      <w:r w:rsidRPr="00EC3FE8">
        <w:t xml:space="preserve">In variations of such transactions, the </w:t>
      </w:r>
      <w:r>
        <w:t>supplier</w:t>
      </w:r>
      <w:r w:rsidRPr="00EC3FE8">
        <w:t xml:space="preserve"> may in fact end up relying on a payment undertaking of a local bank in the </w:t>
      </w:r>
      <w:r>
        <w:t>supplier</w:t>
      </w:r>
      <w:r w:rsidRPr="00EC3FE8">
        <w:t xml:space="preserve">’s home market, often the </w:t>
      </w:r>
      <w:r>
        <w:t>supplier</w:t>
      </w:r>
      <w:r w:rsidRPr="00EC3FE8">
        <w:t>’s own bank, which naturally provides significantly more comfort.</w:t>
      </w:r>
    </w:p>
  </w:footnote>
  <w:footnote w:id="14">
    <w:p w14:paraId="4A0B6022" w14:textId="77777777" w:rsidR="0042272E" w:rsidRPr="003B12DA" w:rsidRDefault="0042272E" w:rsidP="00D714D3">
      <w:pPr>
        <w:pStyle w:val="FootnoteText"/>
      </w:pPr>
      <w:r>
        <w:rPr>
          <w:rStyle w:val="FootnoteReference"/>
        </w:rPr>
        <w:footnoteRef/>
      </w:r>
      <w:r>
        <w:t xml:space="preserve"> </w:t>
      </w:r>
      <w:r w:rsidRPr="003B12DA">
        <w:t>http://www.iccwbo.org/about-icc/policy-commissions/banking/</w:t>
      </w:r>
    </w:p>
  </w:footnote>
  <w:footnote w:id="15">
    <w:p w14:paraId="3173DE1B" w14:textId="77777777" w:rsidR="0042272E" w:rsidRPr="00B17767" w:rsidRDefault="0042272E" w:rsidP="00D714D3">
      <w:pPr>
        <w:pStyle w:val="FootnoteText"/>
      </w:pPr>
      <w:r>
        <w:rPr>
          <w:rStyle w:val="FootnoteReference"/>
        </w:rPr>
        <w:footnoteRef/>
      </w:r>
      <w:r>
        <w:t xml:space="preserve"> </w:t>
      </w:r>
      <w:r w:rsidRPr="00B17767">
        <w:t>http://trade.gov/media/publications/pdf/trade_finance_guide2007ch5.pdf</w:t>
      </w:r>
    </w:p>
  </w:footnote>
  <w:footnote w:id="16">
    <w:p w14:paraId="451C7EE9" w14:textId="77777777" w:rsidR="0042272E" w:rsidRPr="00B17767" w:rsidRDefault="0042272E" w:rsidP="00D714D3">
      <w:pPr>
        <w:pStyle w:val="FootnoteText"/>
      </w:pPr>
      <w:r>
        <w:rPr>
          <w:rStyle w:val="FootnoteReference"/>
        </w:rPr>
        <w:footnoteRef/>
      </w:r>
      <w:r>
        <w:t xml:space="preserve"> </w:t>
      </w:r>
      <w:r w:rsidRPr="00B17767">
        <w:t>http://www.iccwbo.org/About-ICC/Policy-Commissions/Banking/Task-forces/Bank-Payment-Obligation-(BPO)/</w:t>
      </w:r>
    </w:p>
  </w:footnote>
  <w:footnote w:id="17">
    <w:p w14:paraId="713D86F6" w14:textId="77777777" w:rsidR="0042272E" w:rsidRPr="00B44CCA" w:rsidRDefault="0042272E">
      <w:pPr>
        <w:pStyle w:val="FootnoteText"/>
      </w:pPr>
      <w:r>
        <w:rPr>
          <w:rStyle w:val="FootnoteReference"/>
        </w:rPr>
        <w:footnoteRef/>
      </w:r>
      <w:r>
        <w:t xml:space="preserve"> </w:t>
      </w:r>
      <w:r w:rsidRPr="00B44CCA">
        <w:t>http://www.iccwbo.org/products-and-services/trade-facilitation/icc-trade-register/</w:t>
      </w:r>
    </w:p>
  </w:footnote>
  <w:footnote w:id="18">
    <w:p w14:paraId="606F6ECC" w14:textId="77777777" w:rsidR="0042272E" w:rsidRPr="00236ED1" w:rsidRDefault="0042272E">
      <w:pPr>
        <w:pStyle w:val="FootnoteText"/>
        <w:rPr>
          <w:lang w:val="nl-NL"/>
        </w:rPr>
      </w:pPr>
      <w:r>
        <w:rPr>
          <w:rStyle w:val="FootnoteReference"/>
        </w:rPr>
        <w:footnoteRef/>
      </w:r>
      <w:r>
        <w:t xml:space="preserve"> </w:t>
      </w:r>
      <w:r>
        <w:rPr>
          <w:lang w:val="nl-NL"/>
        </w:rPr>
        <w:t>http://www.essdocs.com</w:t>
      </w:r>
    </w:p>
  </w:footnote>
  <w:footnote w:id="19">
    <w:p w14:paraId="2DFA6373" w14:textId="77777777" w:rsidR="0042272E" w:rsidRPr="002C0D41" w:rsidRDefault="0042272E">
      <w:pPr>
        <w:pStyle w:val="FootnoteText"/>
      </w:pPr>
      <w:r>
        <w:rPr>
          <w:rStyle w:val="FootnoteReference"/>
        </w:rPr>
        <w:footnoteRef/>
      </w:r>
      <w:r>
        <w:t xml:space="preserve"> For UN/CEFACT related example, see section IV.</w:t>
      </w:r>
      <w:r w:rsidRPr="00236ED1">
        <w:t>A in http://www.unece.org/fileadmin/DAM/cefact/cf_plenary/plenary15/ECE_TRADE_C_CEFACT_2015_7E_Framework.pdf</w:t>
      </w:r>
    </w:p>
  </w:footnote>
  <w:footnote w:id="20">
    <w:p w14:paraId="79C5F65C" w14:textId="77777777" w:rsidR="0042272E" w:rsidRPr="00832F74" w:rsidRDefault="0042272E">
      <w:pPr>
        <w:pStyle w:val="FootnoteText"/>
      </w:pPr>
      <w:r>
        <w:rPr>
          <w:rStyle w:val="FootnoteReference"/>
        </w:rPr>
        <w:footnoteRef/>
      </w:r>
      <w:r>
        <w:t xml:space="preserve"> </w:t>
      </w:r>
      <w:r w:rsidRPr="00832F74">
        <w:t>http://www.unece.org/fileadmin/DAM/cefact/recommendations/rec33/rec33_trd352e.pdf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773F" w14:textId="77777777" w:rsidR="0042272E" w:rsidRPr="00A46278" w:rsidRDefault="0042272E" w:rsidP="00C4789E">
    <w:pPr>
      <w:pStyle w:val="Header"/>
      <w:shd w:val="clear" w:color="auto" w:fill="8064A2"/>
      <w:jc w:val="center"/>
    </w:pPr>
    <w:r>
      <w:rPr>
        <w:rFonts w:ascii="Arial" w:hAnsi="Arial" w:cs="Arial"/>
        <w:color w:val="FFFFFF"/>
        <w:lang w:val="en-US"/>
      </w:rPr>
      <w:t xml:space="preserve">Trade, Facilitation and Financing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44572"/>
    <w:multiLevelType w:val="hybridMultilevel"/>
    <w:tmpl w:val="C15EE5E4"/>
    <w:lvl w:ilvl="0" w:tplc="10090001">
      <w:start w:val="1"/>
      <w:numFmt w:val="bullet"/>
      <w:lvlText w:val=""/>
      <w:lvlJc w:val="left"/>
      <w:pPr>
        <w:ind w:left="840" w:hanging="360"/>
      </w:pPr>
      <w:rPr>
        <w:rFonts w:ascii="Symbol" w:hAnsi="Symbol" w:hint="default"/>
      </w:rPr>
    </w:lvl>
    <w:lvl w:ilvl="1" w:tplc="10090003" w:tentative="1">
      <w:start w:val="1"/>
      <w:numFmt w:val="bullet"/>
      <w:lvlText w:val="o"/>
      <w:lvlJc w:val="left"/>
      <w:pPr>
        <w:ind w:left="1560" w:hanging="360"/>
      </w:pPr>
      <w:rPr>
        <w:rFonts w:ascii="Courier New" w:hAnsi="Courier New" w:cs="Courier New" w:hint="default"/>
      </w:rPr>
    </w:lvl>
    <w:lvl w:ilvl="2" w:tplc="10090005" w:tentative="1">
      <w:start w:val="1"/>
      <w:numFmt w:val="bullet"/>
      <w:lvlText w:val=""/>
      <w:lvlJc w:val="left"/>
      <w:pPr>
        <w:ind w:left="2280" w:hanging="360"/>
      </w:pPr>
      <w:rPr>
        <w:rFonts w:ascii="Wingdings" w:hAnsi="Wingdings" w:hint="default"/>
      </w:rPr>
    </w:lvl>
    <w:lvl w:ilvl="3" w:tplc="10090001" w:tentative="1">
      <w:start w:val="1"/>
      <w:numFmt w:val="bullet"/>
      <w:lvlText w:val=""/>
      <w:lvlJc w:val="left"/>
      <w:pPr>
        <w:ind w:left="3000" w:hanging="360"/>
      </w:pPr>
      <w:rPr>
        <w:rFonts w:ascii="Symbol" w:hAnsi="Symbol" w:hint="default"/>
      </w:rPr>
    </w:lvl>
    <w:lvl w:ilvl="4" w:tplc="10090003" w:tentative="1">
      <w:start w:val="1"/>
      <w:numFmt w:val="bullet"/>
      <w:lvlText w:val="o"/>
      <w:lvlJc w:val="left"/>
      <w:pPr>
        <w:ind w:left="3720" w:hanging="360"/>
      </w:pPr>
      <w:rPr>
        <w:rFonts w:ascii="Courier New" w:hAnsi="Courier New" w:cs="Courier New" w:hint="default"/>
      </w:rPr>
    </w:lvl>
    <w:lvl w:ilvl="5" w:tplc="10090005" w:tentative="1">
      <w:start w:val="1"/>
      <w:numFmt w:val="bullet"/>
      <w:lvlText w:val=""/>
      <w:lvlJc w:val="left"/>
      <w:pPr>
        <w:ind w:left="4440" w:hanging="360"/>
      </w:pPr>
      <w:rPr>
        <w:rFonts w:ascii="Wingdings" w:hAnsi="Wingdings" w:hint="default"/>
      </w:rPr>
    </w:lvl>
    <w:lvl w:ilvl="6" w:tplc="10090001" w:tentative="1">
      <w:start w:val="1"/>
      <w:numFmt w:val="bullet"/>
      <w:lvlText w:val=""/>
      <w:lvlJc w:val="left"/>
      <w:pPr>
        <w:ind w:left="5160" w:hanging="360"/>
      </w:pPr>
      <w:rPr>
        <w:rFonts w:ascii="Symbol" w:hAnsi="Symbol" w:hint="default"/>
      </w:rPr>
    </w:lvl>
    <w:lvl w:ilvl="7" w:tplc="10090003" w:tentative="1">
      <w:start w:val="1"/>
      <w:numFmt w:val="bullet"/>
      <w:lvlText w:val="o"/>
      <w:lvlJc w:val="left"/>
      <w:pPr>
        <w:ind w:left="5880" w:hanging="360"/>
      </w:pPr>
      <w:rPr>
        <w:rFonts w:ascii="Courier New" w:hAnsi="Courier New" w:cs="Courier New" w:hint="default"/>
      </w:rPr>
    </w:lvl>
    <w:lvl w:ilvl="8" w:tplc="10090005" w:tentative="1">
      <w:start w:val="1"/>
      <w:numFmt w:val="bullet"/>
      <w:lvlText w:val=""/>
      <w:lvlJc w:val="left"/>
      <w:pPr>
        <w:ind w:left="6600" w:hanging="360"/>
      </w:pPr>
      <w:rPr>
        <w:rFonts w:ascii="Wingdings" w:hAnsi="Wingdings" w:hint="default"/>
      </w:rPr>
    </w:lvl>
  </w:abstractNum>
  <w:abstractNum w:abstractNumId="1">
    <w:nsid w:val="0D2B60DC"/>
    <w:multiLevelType w:val="multilevel"/>
    <w:tmpl w:val="F1747F9E"/>
    <w:lvl w:ilvl="0">
      <w:start w:val="1"/>
      <w:numFmt w:val="bullet"/>
      <w:pStyle w:val="bullet"/>
      <w:lvlText w:val="•"/>
      <w:lvlJc w:val="left"/>
      <w:pPr>
        <w:tabs>
          <w:tab w:val="num" w:pos="360"/>
        </w:tabs>
        <w:ind w:left="288" w:hanging="288"/>
      </w:pPr>
      <w:rPr>
        <w:rFonts w:ascii="Times New Roman" w:hAnsi="Times New Roman" w:hint="default"/>
      </w:rPr>
    </w:lvl>
    <w:lvl w:ilvl="1" w:tentative="1">
      <w:start w:val="1"/>
      <w:numFmt w:val="bullet"/>
      <w:lvlText w:val="o"/>
      <w:lvlJc w:val="left"/>
      <w:pPr>
        <w:tabs>
          <w:tab w:val="num" w:pos="4365"/>
        </w:tabs>
        <w:ind w:left="4365" w:hanging="360"/>
      </w:pPr>
      <w:rPr>
        <w:rFonts w:ascii="Courier New" w:hAnsi="Courier New" w:hint="default"/>
      </w:rPr>
    </w:lvl>
    <w:lvl w:ilvl="2" w:tentative="1">
      <w:start w:val="1"/>
      <w:numFmt w:val="bullet"/>
      <w:lvlText w:val=""/>
      <w:lvlJc w:val="left"/>
      <w:pPr>
        <w:tabs>
          <w:tab w:val="num" w:pos="5085"/>
        </w:tabs>
        <w:ind w:left="5085" w:hanging="360"/>
      </w:pPr>
      <w:rPr>
        <w:rFonts w:ascii="Wingdings" w:hAnsi="Wingdings" w:hint="default"/>
      </w:rPr>
    </w:lvl>
    <w:lvl w:ilvl="3" w:tentative="1">
      <w:start w:val="1"/>
      <w:numFmt w:val="bullet"/>
      <w:lvlText w:val=""/>
      <w:lvlJc w:val="left"/>
      <w:pPr>
        <w:tabs>
          <w:tab w:val="num" w:pos="5805"/>
        </w:tabs>
        <w:ind w:left="5805" w:hanging="360"/>
      </w:pPr>
      <w:rPr>
        <w:rFonts w:ascii="Symbol" w:hAnsi="Symbol" w:hint="default"/>
      </w:rPr>
    </w:lvl>
    <w:lvl w:ilvl="4" w:tentative="1">
      <w:start w:val="1"/>
      <w:numFmt w:val="bullet"/>
      <w:lvlText w:val="o"/>
      <w:lvlJc w:val="left"/>
      <w:pPr>
        <w:tabs>
          <w:tab w:val="num" w:pos="6525"/>
        </w:tabs>
        <w:ind w:left="6525" w:hanging="360"/>
      </w:pPr>
      <w:rPr>
        <w:rFonts w:ascii="Courier New" w:hAnsi="Courier New" w:hint="default"/>
      </w:rPr>
    </w:lvl>
    <w:lvl w:ilvl="5" w:tentative="1">
      <w:start w:val="1"/>
      <w:numFmt w:val="bullet"/>
      <w:lvlText w:val=""/>
      <w:lvlJc w:val="left"/>
      <w:pPr>
        <w:tabs>
          <w:tab w:val="num" w:pos="7245"/>
        </w:tabs>
        <w:ind w:left="7245" w:hanging="360"/>
      </w:pPr>
      <w:rPr>
        <w:rFonts w:ascii="Wingdings" w:hAnsi="Wingdings" w:hint="default"/>
      </w:rPr>
    </w:lvl>
    <w:lvl w:ilvl="6" w:tentative="1">
      <w:start w:val="1"/>
      <w:numFmt w:val="bullet"/>
      <w:lvlText w:val=""/>
      <w:lvlJc w:val="left"/>
      <w:pPr>
        <w:tabs>
          <w:tab w:val="num" w:pos="7965"/>
        </w:tabs>
        <w:ind w:left="7965" w:hanging="360"/>
      </w:pPr>
      <w:rPr>
        <w:rFonts w:ascii="Symbol" w:hAnsi="Symbol" w:hint="default"/>
      </w:rPr>
    </w:lvl>
    <w:lvl w:ilvl="7" w:tentative="1">
      <w:start w:val="1"/>
      <w:numFmt w:val="bullet"/>
      <w:lvlText w:val="o"/>
      <w:lvlJc w:val="left"/>
      <w:pPr>
        <w:tabs>
          <w:tab w:val="num" w:pos="8685"/>
        </w:tabs>
        <w:ind w:left="8685" w:hanging="360"/>
      </w:pPr>
      <w:rPr>
        <w:rFonts w:ascii="Courier New" w:hAnsi="Courier New" w:hint="default"/>
      </w:rPr>
    </w:lvl>
    <w:lvl w:ilvl="8" w:tentative="1">
      <w:start w:val="1"/>
      <w:numFmt w:val="bullet"/>
      <w:lvlText w:val=""/>
      <w:lvlJc w:val="left"/>
      <w:pPr>
        <w:tabs>
          <w:tab w:val="num" w:pos="9405"/>
        </w:tabs>
        <w:ind w:left="9405" w:hanging="360"/>
      </w:pPr>
      <w:rPr>
        <w:rFonts w:ascii="Wingdings" w:hAnsi="Wingdings" w:hint="default"/>
      </w:rPr>
    </w:lvl>
  </w:abstractNum>
  <w:abstractNum w:abstractNumId="2">
    <w:nsid w:val="1BC92AA0"/>
    <w:multiLevelType w:val="hybridMultilevel"/>
    <w:tmpl w:val="EF901E16"/>
    <w:lvl w:ilvl="0" w:tplc="3138AA5A">
      <w:start w:val="1"/>
      <w:numFmt w:val="decimal"/>
      <w:lvlText w:val="%1."/>
      <w:lvlJc w:val="left"/>
      <w:pPr>
        <w:ind w:left="-207" w:hanging="360"/>
      </w:pPr>
      <w:rPr>
        <w:rFonts w:hint="default"/>
      </w:rPr>
    </w:lvl>
    <w:lvl w:ilvl="1" w:tplc="10090019" w:tentative="1">
      <w:start w:val="1"/>
      <w:numFmt w:val="lowerLetter"/>
      <w:lvlText w:val="%2."/>
      <w:lvlJc w:val="left"/>
      <w:pPr>
        <w:ind w:left="513" w:hanging="360"/>
      </w:pPr>
    </w:lvl>
    <w:lvl w:ilvl="2" w:tplc="1009001B" w:tentative="1">
      <w:start w:val="1"/>
      <w:numFmt w:val="lowerRoman"/>
      <w:lvlText w:val="%3."/>
      <w:lvlJc w:val="right"/>
      <w:pPr>
        <w:ind w:left="1233" w:hanging="180"/>
      </w:pPr>
    </w:lvl>
    <w:lvl w:ilvl="3" w:tplc="1009000F" w:tentative="1">
      <w:start w:val="1"/>
      <w:numFmt w:val="decimal"/>
      <w:lvlText w:val="%4."/>
      <w:lvlJc w:val="left"/>
      <w:pPr>
        <w:ind w:left="1953" w:hanging="360"/>
      </w:pPr>
    </w:lvl>
    <w:lvl w:ilvl="4" w:tplc="10090019" w:tentative="1">
      <w:start w:val="1"/>
      <w:numFmt w:val="lowerLetter"/>
      <w:lvlText w:val="%5."/>
      <w:lvlJc w:val="left"/>
      <w:pPr>
        <w:ind w:left="2673" w:hanging="360"/>
      </w:pPr>
    </w:lvl>
    <w:lvl w:ilvl="5" w:tplc="1009001B" w:tentative="1">
      <w:start w:val="1"/>
      <w:numFmt w:val="lowerRoman"/>
      <w:lvlText w:val="%6."/>
      <w:lvlJc w:val="right"/>
      <w:pPr>
        <w:ind w:left="3393" w:hanging="180"/>
      </w:pPr>
    </w:lvl>
    <w:lvl w:ilvl="6" w:tplc="1009000F" w:tentative="1">
      <w:start w:val="1"/>
      <w:numFmt w:val="decimal"/>
      <w:lvlText w:val="%7."/>
      <w:lvlJc w:val="left"/>
      <w:pPr>
        <w:ind w:left="4113" w:hanging="360"/>
      </w:pPr>
    </w:lvl>
    <w:lvl w:ilvl="7" w:tplc="10090019" w:tentative="1">
      <w:start w:val="1"/>
      <w:numFmt w:val="lowerLetter"/>
      <w:lvlText w:val="%8."/>
      <w:lvlJc w:val="left"/>
      <w:pPr>
        <w:ind w:left="4833" w:hanging="360"/>
      </w:pPr>
    </w:lvl>
    <w:lvl w:ilvl="8" w:tplc="1009001B" w:tentative="1">
      <w:start w:val="1"/>
      <w:numFmt w:val="lowerRoman"/>
      <w:lvlText w:val="%9."/>
      <w:lvlJc w:val="right"/>
      <w:pPr>
        <w:ind w:left="5553" w:hanging="180"/>
      </w:pPr>
    </w:lvl>
  </w:abstractNum>
  <w:abstractNum w:abstractNumId="3">
    <w:nsid w:val="22746658"/>
    <w:multiLevelType w:val="hybridMultilevel"/>
    <w:tmpl w:val="CDE2DD82"/>
    <w:lvl w:ilvl="0" w:tplc="685AD1A0">
      <w:start w:val="1"/>
      <w:numFmt w:val="lowerLetter"/>
      <w:pStyle w:val="ListNumber"/>
      <w:lvlText w:val="(%1)"/>
      <w:lvlJc w:val="left"/>
      <w:pPr>
        <w:tabs>
          <w:tab w:val="num" w:pos="1800"/>
        </w:tabs>
        <w:ind w:left="1800" w:hanging="360"/>
      </w:pPr>
      <w:rPr>
        <w:rFonts w:cs="Times New Roman"/>
        <w:i w:val="0"/>
      </w:rPr>
    </w:lvl>
    <w:lvl w:ilvl="1" w:tplc="2926F698">
      <w:start w:val="6"/>
      <w:numFmt w:val="upperLetter"/>
      <w:lvlText w:val="(%2)"/>
      <w:lvlJc w:val="left"/>
      <w:pPr>
        <w:tabs>
          <w:tab w:val="num" w:pos="3114"/>
        </w:tabs>
        <w:ind w:left="3114" w:hanging="360"/>
      </w:pPr>
      <w:rPr>
        <w:rFonts w:cs="Times New Roman"/>
        <w:i/>
      </w:rPr>
    </w:lvl>
    <w:lvl w:ilvl="2" w:tplc="E3B8C77E">
      <w:start w:val="1"/>
      <w:numFmt w:val="lowerLetter"/>
      <w:lvlText w:val="%3)"/>
      <w:lvlJc w:val="left"/>
      <w:pPr>
        <w:tabs>
          <w:tab w:val="num" w:pos="4014"/>
        </w:tabs>
        <w:ind w:left="4014" w:hanging="360"/>
      </w:pPr>
      <w:rPr>
        <w:rFonts w:cs="Times New Roman"/>
      </w:rPr>
    </w:lvl>
    <w:lvl w:ilvl="3" w:tplc="0409000F">
      <w:start w:val="1"/>
      <w:numFmt w:val="decimal"/>
      <w:lvlText w:val="%4."/>
      <w:lvlJc w:val="left"/>
      <w:pPr>
        <w:tabs>
          <w:tab w:val="num" w:pos="4554"/>
        </w:tabs>
        <w:ind w:left="4554" w:hanging="360"/>
      </w:pPr>
      <w:rPr>
        <w:rFonts w:cs="Times New Roman"/>
      </w:rPr>
    </w:lvl>
    <w:lvl w:ilvl="4" w:tplc="04090019">
      <w:start w:val="1"/>
      <w:numFmt w:val="lowerLetter"/>
      <w:lvlText w:val="%5."/>
      <w:lvlJc w:val="left"/>
      <w:pPr>
        <w:tabs>
          <w:tab w:val="num" w:pos="5274"/>
        </w:tabs>
        <w:ind w:left="5274" w:hanging="360"/>
      </w:pPr>
      <w:rPr>
        <w:rFonts w:cs="Times New Roman"/>
      </w:rPr>
    </w:lvl>
    <w:lvl w:ilvl="5" w:tplc="0409001B">
      <w:start w:val="1"/>
      <w:numFmt w:val="lowerRoman"/>
      <w:lvlText w:val="%6."/>
      <w:lvlJc w:val="right"/>
      <w:pPr>
        <w:tabs>
          <w:tab w:val="num" w:pos="5994"/>
        </w:tabs>
        <w:ind w:left="5994" w:hanging="180"/>
      </w:pPr>
      <w:rPr>
        <w:rFonts w:cs="Times New Roman"/>
      </w:rPr>
    </w:lvl>
    <w:lvl w:ilvl="6" w:tplc="0409000F">
      <w:start w:val="1"/>
      <w:numFmt w:val="decimal"/>
      <w:lvlText w:val="%7."/>
      <w:lvlJc w:val="left"/>
      <w:pPr>
        <w:tabs>
          <w:tab w:val="num" w:pos="6714"/>
        </w:tabs>
        <w:ind w:left="6714" w:hanging="360"/>
      </w:pPr>
      <w:rPr>
        <w:rFonts w:cs="Times New Roman"/>
      </w:rPr>
    </w:lvl>
    <w:lvl w:ilvl="7" w:tplc="04090019">
      <w:start w:val="1"/>
      <w:numFmt w:val="lowerLetter"/>
      <w:lvlText w:val="%8."/>
      <w:lvlJc w:val="left"/>
      <w:pPr>
        <w:tabs>
          <w:tab w:val="num" w:pos="7434"/>
        </w:tabs>
        <w:ind w:left="7434" w:hanging="360"/>
      </w:pPr>
      <w:rPr>
        <w:rFonts w:cs="Times New Roman"/>
      </w:rPr>
    </w:lvl>
    <w:lvl w:ilvl="8" w:tplc="0409001B">
      <w:start w:val="1"/>
      <w:numFmt w:val="lowerRoman"/>
      <w:lvlText w:val="%9."/>
      <w:lvlJc w:val="right"/>
      <w:pPr>
        <w:tabs>
          <w:tab w:val="num" w:pos="8154"/>
        </w:tabs>
        <w:ind w:left="8154" w:hanging="180"/>
      </w:pPr>
      <w:rPr>
        <w:rFonts w:cs="Times New Roman"/>
      </w:rPr>
    </w:lvl>
  </w:abstractNum>
  <w:abstractNum w:abstractNumId="4">
    <w:nsid w:val="27232D82"/>
    <w:multiLevelType w:val="hybridMultilevel"/>
    <w:tmpl w:val="9E1A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B764FC6"/>
    <w:multiLevelType w:val="hybridMultilevel"/>
    <w:tmpl w:val="4C7C8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581C07"/>
    <w:multiLevelType w:val="hybridMultilevel"/>
    <w:tmpl w:val="7AA45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6B9920C9"/>
    <w:multiLevelType w:val="hybridMultilevel"/>
    <w:tmpl w:val="68A047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7"/>
  </w:num>
  <w:num w:numId="5">
    <w:abstractNumId w:val="0"/>
  </w:num>
  <w:num w:numId="6">
    <w:abstractNumId w:val="2"/>
  </w:num>
  <w:num w:numId="7">
    <w:abstractNumId w:val="4"/>
  </w:num>
  <w:num w:numId="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700"/>
    <w:rsid w:val="00000B33"/>
    <w:rsid w:val="0000144C"/>
    <w:rsid w:val="000015C1"/>
    <w:rsid w:val="00002A9D"/>
    <w:rsid w:val="00002C9D"/>
    <w:rsid w:val="00004BA2"/>
    <w:rsid w:val="000060A8"/>
    <w:rsid w:val="0000656C"/>
    <w:rsid w:val="000068F9"/>
    <w:rsid w:val="000078B2"/>
    <w:rsid w:val="000102F1"/>
    <w:rsid w:val="000106B1"/>
    <w:rsid w:val="00010BF4"/>
    <w:rsid w:val="000114B7"/>
    <w:rsid w:val="0001160B"/>
    <w:rsid w:val="0001234D"/>
    <w:rsid w:val="00012BFA"/>
    <w:rsid w:val="00013202"/>
    <w:rsid w:val="00013485"/>
    <w:rsid w:val="000156E7"/>
    <w:rsid w:val="000176E0"/>
    <w:rsid w:val="0002134A"/>
    <w:rsid w:val="0002261E"/>
    <w:rsid w:val="00022A28"/>
    <w:rsid w:val="00022DA3"/>
    <w:rsid w:val="000246F9"/>
    <w:rsid w:val="000252AC"/>
    <w:rsid w:val="000264A1"/>
    <w:rsid w:val="000273D9"/>
    <w:rsid w:val="000278D6"/>
    <w:rsid w:val="00027F1B"/>
    <w:rsid w:val="000320DC"/>
    <w:rsid w:val="000324CF"/>
    <w:rsid w:val="00032B62"/>
    <w:rsid w:val="00033ED4"/>
    <w:rsid w:val="00034359"/>
    <w:rsid w:val="000344E5"/>
    <w:rsid w:val="0003486E"/>
    <w:rsid w:val="00035372"/>
    <w:rsid w:val="00035ECE"/>
    <w:rsid w:val="000365C1"/>
    <w:rsid w:val="00040460"/>
    <w:rsid w:val="000415CD"/>
    <w:rsid w:val="00041D90"/>
    <w:rsid w:val="00041F81"/>
    <w:rsid w:val="000421CF"/>
    <w:rsid w:val="00042782"/>
    <w:rsid w:val="000429DD"/>
    <w:rsid w:val="00042DE3"/>
    <w:rsid w:val="00042F47"/>
    <w:rsid w:val="0004398A"/>
    <w:rsid w:val="00045488"/>
    <w:rsid w:val="0004626A"/>
    <w:rsid w:val="00046704"/>
    <w:rsid w:val="00047908"/>
    <w:rsid w:val="000502A9"/>
    <w:rsid w:val="0005062F"/>
    <w:rsid w:val="00050E5F"/>
    <w:rsid w:val="000513D9"/>
    <w:rsid w:val="000514C3"/>
    <w:rsid w:val="000519C7"/>
    <w:rsid w:val="00051A4D"/>
    <w:rsid w:val="00051B5F"/>
    <w:rsid w:val="00051C98"/>
    <w:rsid w:val="000522AA"/>
    <w:rsid w:val="00052E89"/>
    <w:rsid w:val="00054EFA"/>
    <w:rsid w:val="000572C8"/>
    <w:rsid w:val="000576FA"/>
    <w:rsid w:val="0005773B"/>
    <w:rsid w:val="000579D1"/>
    <w:rsid w:val="000604C3"/>
    <w:rsid w:val="00060E8B"/>
    <w:rsid w:val="00061A9D"/>
    <w:rsid w:val="00061FE0"/>
    <w:rsid w:val="000624BD"/>
    <w:rsid w:val="000628BD"/>
    <w:rsid w:val="000632B0"/>
    <w:rsid w:val="0006466E"/>
    <w:rsid w:val="00064932"/>
    <w:rsid w:val="00065834"/>
    <w:rsid w:val="00065AA5"/>
    <w:rsid w:val="00065B78"/>
    <w:rsid w:val="00066839"/>
    <w:rsid w:val="00067458"/>
    <w:rsid w:val="00067663"/>
    <w:rsid w:val="0006779D"/>
    <w:rsid w:val="000707D8"/>
    <w:rsid w:val="00071FBD"/>
    <w:rsid w:val="00072CA8"/>
    <w:rsid w:val="00073402"/>
    <w:rsid w:val="00075130"/>
    <w:rsid w:val="000757C2"/>
    <w:rsid w:val="0007630E"/>
    <w:rsid w:val="00081146"/>
    <w:rsid w:val="00081BF5"/>
    <w:rsid w:val="0008228E"/>
    <w:rsid w:val="000835F2"/>
    <w:rsid w:val="00083768"/>
    <w:rsid w:val="000839A5"/>
    <w:rsid w:val="00083F7F"/>
    <w:rsid w:val="000849CC"/>
    <w:rsid w:val="00084B06"/>
    <w:rsid w:val="00084B86"/>
    <w:rsid w:val="00085C44"/>
    <w:rsid w:val="000863D3"/>
    <w:rsid w:val="00087244"/>
    <w:rsid w:val="00092011"/>
    <w:rsid w:val="00092D89"/>
    <w:rsid w:val="000936F0"/>
    <w:rsid w:val="00094988"/>
    <w:rsid w:val="00095A81"/>
    <w:rsid w:val="00095EAE"/>
    <w:rsid w:val="00097FD4"/>
    <w:rsid w:val="000A05C7"/>
    <w:rsid w:val="000A1459"/>
    <w:rsid w:val="000A15B0"/>
    <w:rsid w:val="000A1BD0"/>
    <w:rsid w:val="000A2B14"/>
    <w:rsid w:val="000A421B"/>
    <w:rsid w:val="000A455E"/>
    <w:rsid w:val="000A489C"/>
    <w:rsid w:val="000B099A"/>
    <w:rsid w:val="000B1A1C"/>
    <w:rsid w:val="000B1DE6"/>
    <w:rsid w:val="000B2ECE"/>
    <w:rsid w:val="000B3304"/>
    <w:rsid w:val="000B43C8"/>
    <w:rsid w:val="000B475C"/>
    <w:rsid w:val="000B5827"/>
    <w:rsid w:val="000B5E57"/>
    <w:rsid w:val="000B5EA9"/>
    <w:rsid w:val="000B6967"/>
    <w:rsid w:val="000B7303"/>
    <w:rsid w:val="000C028C"/>
    <w:rsid w:val="000C1411"/>
    <w:rsid w:val="000C2203"/>
    <w:rsid w:val="000C2EE1"/>
    <w:rsid w:val="000C376D"/>
    <w:rsid w:val="000C3AF0"/>
    <w:rsid w:val="000C5124"/>
    <w:rsid w:val="000C5351"/>
    <w:rsid w:val="000C5A91"/>
    <w:rsid w:val="000C6A14"/>
    <w:rsid w:val="000C72D0"/>
    <w:rsid w:val="000C76DA"/>
    <w:rsid w:val="000D01DE"/>
    <w:rsid w:val="000D0508"/>
    <w:rsid w:val="000D0A2C"/>
    <w:rsid w:val="000D342C"/>
    <w:rsid w:val="000D441D"/>
    <w:rsid w:val="000D4FA8"/>
    <w:rsid w:val="000D57C8"/>
    <w:rsid w:val="000D5BF7"/>
    <w:rsid w:val="000D6E65"/>
    <w:rsid w:val="000D7BB8"/>
    <w:rsid w:val="000E0626"/>
    <w:rsid w:val="000E0971"/>
    <w:rsid w:val="000E0A7C"/>
    <w:rsid w:val="000E0CA0"/>
    <w:rsid w:val="000E18F0"/>
    <w:rsid w:val="000E218D"/>
    <w:rsid w:val="000E21F9"/>
    <w:rsid w:val="000E308D"/>
    <w:rsid w:val="000E3A35"/>
    <w:rsid w:val="000E4989"/>
    <w:rsid w:val="000E52FB"/>
    <w:rsid w:val="000E5B0D"/>
    <w:rsid w:val="000E64FA"/>
    <w:rsid w:val="000F0350"/>
    <w:rsid w:val="000F0501"/>
    <w:rsid w:val="000F21CC"/>
    <w:rsid w:val="000F24AC"/>
    <w:rsid w:val="000F41C5"/>
    <w:rsid w:val="000F4856"/>
    <w:rsid w:val="000F578D"/>
    <w:rsid w:val="000F613F"/>
    <w:rsid w:val="000F7F47"/>
    <w:rsid w:val="0010090F"/>
    <w:rsid w:val="00100AB9"/>
    <w:rsid w:val="00100BE4"/>
    <w:rsid w:val="001013AC"/>
    <w:rsid w:val="001015CD"/>
    <w:rsid w:val="001017E5"/>
    <w:rsid w:val="001019D7"/>
    <w:rsid w:val="00101AF9"/>
    <w:rsid w:val="0010343E"/>
    <w:rsid w:val="00103D03"/>
    <w:rsid w:val="001040C2"/>
    <w:rsid w:val="00105098"/>
    <w:rsid w:val="001058FE"/>
    <w:rsid w:val="0010621F"/>
    <w:rsid w:val="001064F2"/>
    <w:rsid w:val="001066F0"/>
    <w:rsid w:val="00106941"/>
    <w:rsid w:val="001070C1"/>
    <w:rsid w:val="00107DDD"/>
    <w:rsid w:val="00110A45"/>
    <w:rsid w:val="00110DB7"/>
    <w:rsid w:val="00111542"/>
    <w:rsid w:val="00111A2B"/>
    <w:rsid w:val="00112610"/>
    <w:rsid w:val="00112973"/>
    <w:rsid w:val="00112A82"/>
    <w:rsid w:val="00113378"/>
    <w:rsid w:val="0011351D"/>
    <w:rsid w:val="001150BD"/>
    <w:rsid w:val="00115A58"/>
    <w:rsid w:val="00116444"/>
    <w:rsid w:val="00116978"/>
    <w:rsid w:val="00116F85"/>
    <w:rsid w:val="001170FD"/>
    <w:rsid w:val="001174CD"/>
    <w:rsid w:val="00120AD6"/>
    <w:rsid w:val="00120D0C"/>
    <w:rsid w:val="00120DFB"/>
    <w:rsid w:val="00121478"/>
    <w:rsid w:val="00121710"/>
    <w:rsid w:val="0012475B"/>
    <w:rsid w:val="00124955"/>
    <w:rsid w:val="0012495C"/>
    <w:rsid w:val="00124D12"/>
    <w:rsid w:val="00125016"/>
    <w:rsid w:val="0012533D"/>
    <w:rsid w:val="001269D4"/>
    <w:rsid w:val="00127D85"/>
    <w:rsid w:val="00130241"/>
    <w:rsid w:val="0013069E"/>
    <w:rsid w:val="001312ED"/>
    <w:rsid w:val="00132212"/>
    <w:rsid w:val="00134A1D"/>
    <w:rsid w:val="00135A4D"/>
    <w:rsid w:val="00136547"/>
    <w:rsid w:val="001367E3"/>
    <w:rsid w:val="00136E14"/>
    <w:rsid w:val="0013769E"/>
    <w:rsid w:val="00140A38"/>
    <w:rsid w:val="00141E53"/>
    <w:rsid w:val="00142040"/>
    <w:rsid w:val="00143291"/>
    <w:rsid w:val="001439C0"/>
    <w:rsid w:val="00143DEF"/>
    <w:rsid w:val="00143F2C"/>
    <w:rsid w:val="001446D4"/>
    <w:rsid w:val="001447A8"/>
    <w:rsid w:val="0014506F"/>
    <w:rsid w:val="001451EA"/>
    <w:rsid w:val="00145872"/>
    <w:rsid w:val="0014633E"/>
    <w:rsid w:val="00146361"/>
    <w:rsid w:val="00146A32"/>
    <w:rsid w:val="00146A64"/>
    <w:rsid w:val="001473C0"/>
    <w:rsid w:val="00147621"/>
    <w:rsid w:val="0015069A"/>
    <w:rsid w:val="00150BAE"/>
    <w:rsid w:val="001513F0"/>
    <w:rsid w:val="00151CE1"/>
    <w:rsid w:val="00152765"/>
    <w:rsid w:val="00152DDB"/>
    <w:rsid w:val="0015353E"/>
    <w:rsid w:val="00153598"/>
    <w:rsid w:val="001545C5"/>
    <w:rsid w:val="00155BC3"/>
    <w:rsid w:val="001564BA"/>
    <w:rsid w:val="001573C4"/>
    <w:rsid w:val="001574A6"/>
    <w:rsid w:val="001579E5"/>
    <w:rsid w:val="00157E93"/>
    <w:rsid w:val="001604C7"/>
    <w:rsid w:val="00160DF1"/>
    <w:rsid w:val="001621F7"/>
    <w:rsid w:val="00162287"/>
    <w:rsid w:val="00162306"/>
    <w:rsid w:val="00163A1E"/>
    <w:rsid w:val="00164788"/>
    <w:rsid w:val="0016522F"/>
    <w:rsid w:val="00166FC7"/>
    <w:rsid w:val="00167226"/>
    <w:rsid w:val="001676DD"/>
    <w:rsid w:val="00167B38"/>
    <w:rsid w:val="00167B94"/>
    <w:rsid w:val="00167D6D"/>
    <w:rsid w:val="00170037"/>
    <w:rsid w:val="00172FB5"/>
    <w:rsid w:val="00174C6E"/>
    <w:rsid w:val="00174F4E"/>
    <w:rsid w:val="00175C07"/>
    <w:rsid w:val="00176C45"/>
    <w:rsid w:val="001771D2"/>
    <w:rsid w:val="00180A02"/>
    <w:rsid w:val="00180E12"/>
    <w:rsid w:val="00181D63"/>
    <w:rsid w:val="00181E2D"/>
    <w:rsid w:val="001826E7"/>
    <w:rsid w:val="00183373"/>
    <w:rsid w:val="0018372E"/>
    <w:rsid w:val="001843E9"/>
    <w:rsid w:val="0018473A"/>
    <w:rsid w:val="00184C42"/>
    <w:rsid w:val="00185AB5"/>
    <w:rsid w:val="00185C5D"/>
    <w:rsid w:val="00186142"/>
    <w:rsid w:val="001925DF"/>
    <w:rsid w:val="001926F0"/>
    <w:rsid w:val="00192B01"/>
    <w:rsid w:val="001935AF"/>
    <w:rsid w:val="0019437D"/>
    <w:rsid w:val="00194DE0"/>
    <w:rsid w:val="00196915"/>
    <w:rsid w:val="001A0489"/>
    <w:rsid w:val="001A0C47"/>
    <w:rsid w:val="001A116B"/>
    <w:rsid w:val="001A1205"/>
    <w:rsid w:val="001A126D"/>
    <w:rsid w:val="001A12B8"/>
    <w:rsid w:val="001A150E"/>
    <w:rsid w:val="001A1ABE"/>
    <w:rsid w:val="001A26FF"/>
    <w:rsid w:val="001A2F48"/>
    <w:rsid w:val="001A38AD"/>
    <w:rsid w:val="001A3A40"/>
    <w:rsid w:val="001A47BA"/>
    <w:rsid w:val="001A5334"/>
    <w:rsid w:val="001A5644"/>
    <w:rsid w:val="001A5753"/>
    <w:rsid w:val="001A5D58"/>
    <w:rsid w:val="001A70E4"/>
    <w:rsid w:val="001A7956"/>
    <w:rsid w:val="001A7B7C"/>
    <w:rsid w:val="001A7B8E"/>
    <w:rsid w:val="001B0E37"/>
    <w:rsid w:val="001B193B"/>
    <w:rsid w:val="001B2027"/>
    <w:rsid w:val="001B216B"/>
    <w:rsid w:val="001B2EEC"/>
    <w:rsid w:val="001B300F"/>
    <w:rsid w:val="001B4C39"/>
    <w:rsid w:val="001B62EA"/>
    <w:rsid w:val="001B7755"/>
    <w:rsid w:val="001C035C"/>
    <w:rsid w:val="001C15BE"/>
    <w:rsid w:val="001C167D"/>
    <w:rsid w:val="001C19AF"/>
    <w:rsid w:val="001C2192"/>
    <w:rsid w:val="001C5450"/>
    <w:rsid w:val="001C596B"/>
    <w:rsid w:val="001C6957"/>
    <w:rsid w:val="001C6A79"/>
    <w:rsid w:val="001C6CC7"/>
    <w:rsid w:val="001C747F"/>
    <w:rsid w:val="001C7585"/>
    <w:rsid w:val="001D085A"/>
    <w:rsid w:val="001D19CE"/>
    <w:rsid w:val="001D1B5B"/>
    <w:rsid w:val="001D2D14"/>
    <w:rsid w:val="001D32EA"/>
    <w:rsid w:val="001D3C20"/>
    <w:rsid w:val="001D40DD"/>
    <w:rsid w:val="001D411B"/>
    <w:rsid w:val="001D4FDD"/>
    <w:rsid w:val="001D5ADD"/>
    <w:rsid w:val="001D5BFE"/>
    <w:rsid w:val="001E0B6F"/>
    <w:rsid w:val="001E1075"/>
    <w:rsid w:val="001E129E"/>
    <w:rsid w:val="001E17E4"/>
    <w:rsid w:val="001E1A03"/>
    <w:rsid w:val="001E2478"/>
    <w:rsid w:val="001E3557"/>
    <w:rsid w:val="001E474C"/>
    <w:rsid w:val="001E521B"/>
    <w:rsid w:val="001E5F44"/>
    <w:rsid w:val="001F0188"/>
    <w:rsid w:val="001F061A"/>
    <w:rsid w:val="001F11DB"/>
    <w:rsid w:val="001F16EB"/>
    <w:rsid w:val="001F1950"/>
    <w:rsid w:val="001F2627"/>
    <w:rsid w:val="001F2813"/>
    <w:rsid w:val="001F31BC"/>
    <w:rsid w:val="001F32C0"/>
    <w:rsid w:val="001F411E"/>
    <w:rsid w:val="001F43D0"/>
    <w:rsid w:val="001F5CEB"/>
    <w:rsid w:val="001F601E"/>
    <w:rsid w:val="001F6450"/>
    <w:rsid w:val="001F65E3"/>
    <w:rsid w:val="001F6DD8"/>
    <w:rsid w:val="00201401"/>
    <w:rsid w:val="00201C1C"/>
    <w:rsid w:val="00202B77"/>
    <w:rsid w:val="002035B2"/>
    <w:rsid w:val="00206601"/>
    <w:rsid w:val="00206BA3"/>
    <w:rsid w:val="002071C4"/>
    <w:rsid w:val="00210329"/>
    <w:rsid w:val="0021146E"/>
    <w:rsid w:val="00211753"/>
    <w:rsid w:val="00211E5A"/>
    <w:rsid w:val="00211F98"/>
    <w:rsid w:val="00214B62"/>
    <w:rsid w:val="00216147"/>
    <w:rsid w:val="0021632D"/>
    <w:rsid w:val="00216399"/>
    <w:rsid w:val="0021675D"/>
    <w:rsid w:val="00216A1D"/>
    <w:rsid w:val="002175FE"/>
    <w:rsid w:val="00220549"/>
    <w:rsid w:val="002214FE"/>
    <w:rsid w:val="00221631"/>
    <w:rsid w:val="0022181D"/>
    <w:rsid w:val="002228CF"/>
    <w:rsid w:val="00222936"/>
    <w:rsid w:val="00222DAC"/>
    <w:rsid w:val="00223EE0"/>
    <w:rsid w:val="002242A3"/>
    <w:rsid w:val="00224B48"/>
    <w:rsid w:val="002252A5"/>
    <w:rsid w:val="0022555D"/>
    <w:rsid w:val="002261CB"/>
    <w:rsid w:val="002262CB"/>
    <w:rsid w:val="00226A38"/>
    <w:rsid w:val="00230A40"/>
    <w:rsid w:val="002312B6"/>
    <w:rsid w:val="0023217E"/>
    <w:rsid w:val="002321A5"/>
    <w:rsid w:val="002333F1"/>
    <w:rsid w:val="002344ED"/>
    <w:rsid w:val="00234DB2"/>
    <w:rsid w:val="00235336"/>
    <w:rsid w:val="002356EC"/>
    <w:rsid w:val="0023609D"/>
    <w:rsid w:val="0023664B"/>
    <w:rsid w:val="00236ED1"/>
    <w:rsid w:val="002416FA"/>
    <w:rsid w:val="00241FA5"/>
    <w:rsid w:val="00242340"/>
    <w:rsid w:val="00242ACC"/>
    <w:rsid w:val="00243D2E"/>
    <w:rsid w:val="00244BB2"/>
    <w:rsid w:val="00245728"/>
    <w:rsid w:val="00246340"/>
    <w:rsid w:val="00246721"/>
    <w:rsid w:val="00246DEE"/>
    <w:rsid w:val="00246E93"/>
    <w:rsid w:val="0024753C"/>
    <w:rsid w:val="002501A3"/>
    <w:rsid w:val="002502A7"/>
    <w:rsid w:val="00250D93"/>
    <w:rsid w:val="002517D9"/>
    <w:rsid w:val="002532ED"/>
    <w:rsid w:val="00253438"/>
    <w:rsid w:val="0025420F"/>
    <w:rsid w:val="002542E9"/>
    <w:rsid w:val="0025450E"/>
    <w:rsid w:val="00255204"/>
    <w:rsid w:val="00256285"/>
    <w:rsid w:val="00257E28"/>
    <w:rsid w:val="00261790"/>
    <w:rsid w:val="002618C1"/>
    <w:rsid w:val="00262013"/>
    <w:rsid w:val="00262733"/>
    <w:rsid w:val="002630C0"/>
    <w:rsid w:val="00264327"/>
    <w:rsid w:val="002648BF"/>
    <w:rsid w:val="00264EED"/>
    <w:rsid w:val="002658B5"/>
    <w:rsid w:val="00267752"/>
    <w:rsid w:val="00267981"/>
    <w:rsid w:val="00267A41"/>
    <w:rsid w:val="00267B18"/>
    <w:rsid w:val="00267D2A"/>
    <w:rsid w:val="00267FF9"/>
    <w:rsid w:val="002700ED"/>
    <w:rsid w:val="00271841"/>
    <w:rsid w:val="00273523"/>
    <w:rsid w:val="002759FF"/>
    <w:rsid w:val="0027661D"/>
    <w:rsid w:val="0027790B"/>
    <w:rsid w:val="0027796C"/>
    <w:rsid w:val="00277ED9"/>
    <w:rsid w:val="00282ACE"/>
    <w:rsid w:val="00282C6F"/>
    <w:rsid w:val="00283836"/>
    <w:rsid w:val="00283F54"/>
    <w:rsid w:val="00284915"/>
    <w:rsid w:val="00284EF7"/>
    <w:rsid w:val="00285909"/>
    <w:rsid w:val="002862FA"/>
    <w:rsid w:val="002869A8"/>
    <w:rsid w:val="002870B8"/>
    <w:rsid w:val="00287814"/>
    <w:rsid w:val="00287C0B"/>
    <w:rsid w:val="00290323"/>
    <w:rsid w:val="002903F7"/>
    <w:rsid w:val="00290973"/>
    <w:rsid w:val="002927B7"/>
    <w:rsid w:val="0029323B"/>
    <w:rsid w:val="00293BA1"/>
    <w:rsid w:val="00293EBB"/>
    <w:rsid w:val="00294BB1"/>
    <w:rsid w:val="00294CA7"/>
    <w:rsid w:val="002A0251"/>
    <w:rsid w:val="002A03E8"/>
    <w:rsid w:val="002A16A6"/>
    <w:rsid w:val="002A1C00"/>
    <w:rsid w:val="002A4082"/>
    <w:rsid w:val="002A49A6"/>
    <w:rsid w:val="002A4A5C"/>
    <w:rsid w:val="002A4B9F"/>
    <w:rsid w:val="002A557B"/>
    <w:rsid w:val="002A572A"/>
    <w:rsid w:val="002A5828"/>
    <w:rsid w:val="002A670D"/>
    <w:rsid w:val="002A7216"/>
    <w:rsid w:val="002B0C21"/>
    <w:rsid w:val="002B0F1C"/>
    <w:rsid w:val="002B0F88"/>
    <w:rsid w:val="002B3212"/>
    <w:rsid w:val="002B3631"/>
    <w:rsid w:val="002B38E8"/>
    <w:rsid w:val="002B3D85"/>
    <w:rsid w:val="002B42A3"/>
    <w:rsid w:val="002B4919"/>
    <w:rsid w:val="002B6441"/>
    <w:rsid w:val="002B6D1A"/>
    <w:rsid w:val="002B77FB"/>
    <w:rsid w:val="002B7A9B"/>
    <w:rsid w:val="002C0A30"/>
    <w:rsid w:val="002C0D41"/>
    <w:rsid w:val="002C122C"/>
    <w:rsid w:val="002C12D8"/>
    <w:rsid w:val="002C2067"/>
    <w:rsid w:val="002C232F"/>
    <w:rsid w:val="002C2EE8"/>
    <w:rsid w:val="002C3146"/>
    <w:rsid w:val="002C3511"/>
    <w:rsid w:val="002C38DC"/>
    <w:rsid w:val="002C3BB3"/>
    <w:rsid w:val="002C49BF"/>
    <w:rsid w:val="002C4A96"/>
    <w:rsid w:val="002C5DAC"/>
    <w:rsid w:val="002C6A80"/>
    <w:rsid w:val="002C6D15"/>
    <w:rsid w:val="002C72FE"/>
    <w:rsid w:val="002C74C7"/>
    <w:rsid w:val="002C76FE"/>
    <w:rsid w:val="002C7E97"/>
    <w:rsid w:val="002D0BFB"/>
    <w:rsid w:val="002D2B51"/>
    <w:rsid w:val="002D305D"/>
    <w:rsid w:val="002D3107"/>
    <w:rsid w:val="002D3454"/>
    <w:rsid w:val="002D3BB8"/>
    <w:rsid w:val="002D46D8"/>
    <w:rsid w:val="002D4943"/>
    <w:rsid w:val="002D49A1"/>
    <w:rsid w:val="002D4A8C"/>
    <w:rsid w:val="002D522C"/>
    <w:rsid w:val="002D5860"/>
    <w:rsid w:val="002D599D"/>
    <w:rsid w:val="002D5D37"/>
    <w:rsid w:val="002D7931"/>
    <w:rsid w:val="002E03D4"/>
    <w:rsid w:val="002E38B2"/>
    <w:rsid w:val="002E3F3D"/>
    <w:rsid w:val="002E4B9A"/>
    <w:rsid w:val="002E4F06"/>
    <w:rsid w:val="002E5B78"/>
    <w:rsid w:val="002E660E"/>
    <w:rsid w:val="002E6617"/>
    <w:rsid w:val="002E66C9"/>
    <w:rsid w:val="002E6FB5"/>
    <w:rsid w:val="002F0276"/>
    <w:rsid w:val="002F237B"/>
    <w:rsid w:val="002F2AA4"/>
    <w:rsid w:val="002F6CA9"/>
    <w:rsid w:val="002F790A"/>
    <w:rsid w:val="002F7DB7"/>
    <w:rsid w:val="0030011A"/>
    <w:rsid w:val="00300961"/>
    <w:rsid w:val="0030230A"/>
    <w:rsid w:val="003026F0"/>
    <w:rsid w:val="00303100"/>
    <w:rsid w:val="00304D4E"/>
    <w:rsid w:val="00305F21"/>
    <w:rsid w:val="003062E5"/>
    <w:rsid w:val="00306712"/>
    <w:rsid w:val="003069FB"/>
    <w:rsid w:val="0030718A"/>
    <w:rsid w:val="003100D9"/>
    <w:rsid w:val="00311619"/>
    <w:rsid w:val="003128A0"/>
    <w:rsid w:val="00313409"/>
    <w:rsid w:val="00313782"/>
    <w:rsid w:val="00313839"/>
    <w:rsid w:val="00314F6D"/>
    <w:rsid w:val="003163B7"/>
    <w:rsid w:val="003176EE"/>
    <w:rsid w:val="00317E80"/>
    <w:rsid w:val="003211FE"/>
    <w:rsid w:val="00323AFF"/>
    <w:rsid w:val="00323C00"/>
    <w:rsid w:val="00323D1D"/>
    <w:rsid w:val="003244CD"/>
    <w:rsid w:val="003256BC"/>
    <w:rsid w:val="0032638E"/>
    <w:rsid w:val="00327D37"/>
    <w:rsid w:val="00331303"/>
    <w:rsid w:val="00332B0F"/>
    <w:rsid w:val="0033316B"/>
    <w:rsid w:val="00333247"/>
    <w:rsid w:val="00333D47"/>
    <w:rsid w:val="00333EB2"/>
    <w:rsid w:val="00333F95"/>
    <w:rsid w:val="003341CA"/>
    <w:rsid w:val="003356AC"/>
    <w:rsid w:val="003363AF"/>
    <w:rsid w:val="00336965"/>
    <w:rsid w:val="00337F76"/>
    <w:rsid w:val="00340A85"/>
    <w:rsid w:val="00342045"/>
    <w:rsid w:val="00342642"/>
    <w:rsid w:val="00344986"/>
    <w:rsid w:val="00344F70"/>
    <w:rsid w:val="003469BB"/>
    <w:rsid w:val="00347073"/>
    <w:rsid w:val="0035031B"/>
    <w:rsid w:val="00351742"/>
    <w:rsid w:val="0035273B"/>
    <w:rsid w:val="003530FA"/>
    <w:rsid w:val="00353DCC"/>
    <w:rsid w:val="00354472"/>
    <w:rsid w:val="003545E8"/>
    <w:rsid w:val="00354970"/>
    <w:rsid w:val="00356405"/>
    <w:rsid w:val="00356506"/>
    <w:rsid w:val="003566D8"/>
    <w:rsid w:val="00356EDA"/>
    <w:rsid w:val="003571CE"/>
    <w:rsid w:val="00357493"/>
    <w:rsid w:val="00357C7A"/>
    <w:rsid w:val="00360093"/>
    <w:rsid w:val="003603CB"/>
    <w:rsid w:val="003603FA"/>
    <w:rsid w:val="0036178F"/>
    <w:rsid w:val="00361990"/>
    <w:rsid w:val="003620BB"/>
    <w:rsid w:val="00362EFE"/>
    <w:rsid w:val="00363196"/>
    <w:rsid w:val="00363CA8"/>
    <w:rsid w:val="00364FDD"/>
    <w:rsid w:val="003658F3"/>
    <w:rsid w:val="0036627D"/>
    <w:rsid w:val="003669EA"/>
    <w:rsid w:val="003670B7"/>
    <w:rsid w:val="00367471"/>
    <w:rsid w:val="00370661"/>
    <w:rsid w:val="003709EE"/>
    <w:rsid w:val="00371CBE"/>
    <w:rsid w:val="003729C4"/>
    <w:rsid w:val="003742A5"/>
    <w:rsid w:val="003757A8"/>
    <w:rsid w:val="0037580C"/>
    <w:rsid w:val="003772CE"/>
    <w:rsid w:val="003776C9"/>
    <w:rsid w:val="00377718"/>
    <w:rsid w:val="003801EA"/>
    <w:rsid w:val="00381B5E"/>
    <w:rsid w:val="00381DE4"/>
    <w:rsid w:val="0038249C"/>
    <w:rsid w:val="00383E47"/>
    <w:rsid w:val="003840AA"/>
    <w:rsid w:val="0038553E"/>
    <w:rsid w:val="00385C3B"/>
    <w:rsid w:val="0039084A"/>
    <w:rsid w:val="00391563"/>
    <w:rsid w:val="0039224D"/>
    <w:rsid w:val="00392617"/>
    <w:rsid w:val="0039361E"/>
    <w:rsid w:val="003946B0"/>
    <w:rsid w:val="00394FF4"/>
    <w:rsid w:val="003952DC"/>
    <w:rsid w:val="0039602B"/>
    <w:rsid w:val="003963D4"/>
    <w:rsid w:val="00396AC8"/>
    <w:rsid w:val="00397193"/>
    <w:rsid w:val="0039724E"/>
    <w:rsid w:val="00397C21"/>
    <w:rsid w:val="003A11D9"/>
    <w:rsid w:val="003A125D"/>
    <w:rsid w:val="003A1583"/>
    <w:rsid w:val="003A2B0E"/>
    <w:rsid w:val="003A2C3F"/>
    <w:rsid w:val="003A348F"/>
    <w:rsid w:val="003A3B1C"/>
    <w:rsid w:val="003A3BCC"/>
    <w:rsid w:val="003A56CE"/>
    <w:rsid w:val="003A6AEE"/>
    <w:rsid w:val="003A7377"/>
    <w:rsid w:val="003A7991"/>
    <w:rsid w:val="003A7B55"/>
    <w:rsid w:val="003A7C73"/>
    <w:rsid w:val="003B12DA"/>
    <w:rsid w:val="003B1381"/>
    <w:rsid w:val="003B1ADB"/>
    <w:rsid w:val="003B1FAD"/>
    <w:rsid w:val="003B2067"/>
    <w:rsid w:val="003B2216"/>
    <w:rsid w:val="003B2259"/>
    <w:rsid w:val="003B3544"/>
    <w:rsid w:val="003B447F"/>
    <w:rsid w:val="003B4E07"/>
    <w:rsid w:val="003B5CC3"/>
    <w:rsid w:val="003B6C0D"/>
    <w:rsid w:val="003C0F3C"/>
    <w:rsid w:val="003C1279"/>
    <w:rsid w:val="003C27B1"/>
    <w:rsid w:val="003C40FD"/>
    <w:rsid w:val="003C5D3E"/>
    <w:rsid w:val="003C7188"/>
    <w:rsid w:val="003C73B1"/>
    <w:rsid w:val="003C7686"/>
    <w:rsid w:val="003C7798"/>
    <w:rsid w:val="003C7911"/>
    <w:rsid w:val="003D0036"/>
    <w:rsid w:val="003D1BEE"/>
    <w:rsid w:val="003D34FD"/>
    <w:rsid w:val="003D3630"/>
    <w:rsid w:val="003D498E"/>
    <w:rsid w:val="003D4EDD"/>
    <w:rsid w:val="003D546F"/>
    <w:rsid w:val="003D54E6"/>
    <w:rsid w:val="003D7EFC"/>
    <w:rsid w:val="003E2811"/>
    <w:rsid w:val="003E2FBC"/>
    <w:rsid w:val="003E3AA4"/>
    <w:rsid w:val="003E454E"/>
    <w:rsid w:val="003E4B53"/>
    <w:rsid w:val="003E58CE"/>
    <w:rsid w:val="003E5F5B"/>
    <w:rsid w:val="003E7A96"/>
    <w:rsid w:val="003F00ED"/>
    <w:rsid w:val="003F0841"/>
    <w:rsid w:val="003F107D"/>
    <w:rsid w:val="003F1707"/>
    <w:rsid w:val="003F4E82"/>
    <w:rsid w:val="003F52A4"/>
    <w:rsid w:val="003F5655"/>
    <w:rsid w:val="003F5820"/>
    <w:rsid w:val="003F6489"/>
    <w:rsid w:val="003F69AB"/>
    <w:rsid w:val="003F6B62"/>
    <w:rsid w:val="003F75C7"/>
    <w:rsid w:val="003F76E4"/>
    <w:rsid w:val="003F793C"/>
    <w:rsid w:val="003F7B58"/>
    <w:rsid w:val="00401711"/>
    <w:rsid w:val="004027C6"/>
    <w:rsid w:val="00402B8A"/>
    <w:rsid w:val="004032CB"/>
    <w:rsid w:val="00405FCD"/>
    <w:rsid w:val="004071CA"/>
    <w:rsid w:val="00410DA0"/>
    <w:rsid w:val="0041181E"/>
    <w:rsid w:val="00411C6A"/>
    <w:rsid w:val="004146CB"/>
    <w:rsid w:val="004158EB"/>
    <w:rsid w:val="00415B0B"/>
    <w:rsid w:val="004162E8"/>
    <w:rsid w:val="004164A0"/>
    <w:rsid w:val="00416677"/>
    <w:rsid w:val="00416929"/>
    <w:rsid w:val="004218DE"/>
    <w:rsid w:val="0042272E"/>
    <w:rsid w:val="00422964"/>
    <w:rsid w:val="004235CC"/>
    <w:rsid w:val="00424B78"/>
    <w:rsid w:val="00425B6C"/>
    <w:rsid w:val="00426C8A"/>
    <w:rsid w:val="004272D4"/>
    <w:rsid w:val="004276A4"/>
    <w:rsid w:val="004302D2"/>
    <w:rsid w:val="00430894"/>
    <w:rsid w:val="00430968"/>
    <w:rsid w:val="00430DC0"/>
    <w:rsid w:val="00430F19"/>
    <w:rsid w:val="004320F5"/>
    <w:rsid w:val="00433343"/>
    <w:rsid w:val="00433E4E"/>
    <w:rsid w:val="00434E74"/>
    <w:rsid w:val="0043583D"/>
    <w:rsid w:val="00437A12"/>
    <w:rsid w:val="00440648"/>
    <w:rsid w:val="00440D2F"/>
    <w:rsid w:val="00440E18"/>
    <w:rsid w:val="00444A2B"/>
    <w:rsid w:val="00445CA7"/>
    <w:rsid w:val="00446D11"/>
    <w:rsid w:val="0045149D"/>
    <w:rsid w:val="0045179E"/>
    <w:rsid w:val="004519E3"/>
    <w:rsid w:val="00452561"/>
    <w:rsid w:val="00452896"/>
    <w:rsid w:val="0045375E"/>
    <w:rsid w:val="00454EDD"/>
    <w:rsid w:val="00455825"/>
    <w:rsid w:val="00455982"/>
    <w:rsid w:val="004570E4"/>
    <w:rsid w:val="0045749C"/>
    <w:rsid w:val="00457BC2"/>
    <w:rsid w:val="00457EE8"/>
    <w:rsid w:val="004608B1"/>
    <w:rsid w:val="004611FE"/>
    <w:rsid w:val="004612C7"/>
    <w:rsid w:val="004619BA"/>
    <w:rsid w:val="0046492A"/>
    <w:rsid w:val="00466260"/>
    <w:rsid w:val="004662D0"/>
    <w:rsid w:val="00467636"/>
    <w:rsid w:val="00470590"/>
    <w:rsid w:val="004712FE"/>
    <w:rsid w:val="00472347"/>
    <w:rsid w:val="004727CF"/>
    <w:rsid w:val="0047726C"/>
    <w:rsid w:val="004815F1"/>
    <w:rsid w:val="00482BFA"/>
    <w:rsid w:val="0048358E"/>
    <w:rsid w:val="00485AC2"/>
    <w:rsid w:val="00487EB5"/>
    <w:rsid w:val="00490CEA"/>
    <w:rsid w:val="00491167"/>
    <w:rsid w:val="004948CB"/>
    <w:rsid w:val="004953FF"/>
    <w:rsid w:val="00496692"/>
    <w:rsid w:val="00496B61"/>
    <w:rsid w:val="00497548"/>
    <w:rsid w:val="004A0969"/>
    <w:rsid w:val="004A0DD5"/>
    <w:rsid w:val="004A1F5E"/>
    <w:rsid w:val="004A3A54"/>
    <w:rsid w:val="004A3AA4"/>
    <w:rsid w:val="004A3F60"/>
    <w:rsid w:val="004A4634"/>
    <w:rsid w:val="004A48E2"/>
    <w:rsid w:val="004A5234"/>
    <w:rsid w:val="004A5335"/>
    <w:rsid w:val="004A53B9"/>
    <w:rsid w:val="004A6658"/>
    <w:rsid w:val="004A7C70"/>
    <w:rsid w:val="004B01D3"/>
    <w:rsid w:val="004B189D"/>
    <w:rsid w:val="004B2038"/>
    <w:rsid w:val="004B25B6"/>
    <w:rsid w:val="004B267F"/>
    <w:rsid w:val="004B4228"/>
    <w:rsid w:val="004B446F"/>
    <w:rsid w:val="004B472B"/>
    <w:rsid w:val="004B4BB7"/>
    <w:rsid w:val="004B4DBA"/>
    <w:rsid w:val="004B4DFE"/>
    <w:rsid w:val="004B4EFA"/>
    <w:rsid w:val="004B5FD0"/>
    <w:rsid w:val="004B6A09"/>
    <w:rsid w:val="004C0353"/>
    <w:rsid w:val="004C03AF"/>
    <w:rsid w:val="004C0DFA"/>
    <w:rsid w:val="004C1715"/>
    <w:rsid w:val="004C1B56"/>
    <w:rsid w:val="004C480D"/>
    <w:rsid w:val="004C4E2D"/>
    <w:rsid w:val="004C5558"/>
    <w:rsid w:val="004C66B8"/>
    <w:rsid w:val="004C69AF"/>
    <w:rsid w:val="004C6BAA"/>
    <w:rsid w:val="004C7535"/>
    <w:rsid w:val="004C7819"/>
    <w:rsid w:val="004C7975"/>
    <w:rsid w:val="004D0D88"/>
    <w:rsid w:val="004D1186"/>
    <w:rsid w:val="004D1703"/>
    <w:rsid w:val="004D3B02"/>
    <w:rsid w:val="004D4356"/>
    <w:rsid w:val="004D498F"/>
    <w:rsid w:val="004D617E"/>
    <w:rsid w:val="004D6B7C"/>
    <w:rsid w:val="004D6C45"/>
    <w:rsid w:val="004E08E6"/>
    <w:rsid w:val="004E3320"/>
    <w:rsid w:val="004E35A7"/>
    <w:rsid w:val="004E3A95"/>
    <w:rsid w:val="004E58B3"/>
    <w:rsid w:val="004E5A9F"/>
    <w:rsid w:val="004E5B80"/>
    <w:rsid w:val="004E696D"/>
    <w:rsid w:val="004E6AD9"/>
    <w:rsid w:val="004F0C90"/>
    <w:rsid w:val="004F0EE5"/>
    <w:rsid w:val="004F1256"/>
    <w:rsid w:val="004F1DBC"/>
    <w:rsid w:val="004F2E00"/>
    <w:rsid w:val="004F2ED3"/>
    <w:rsid w:val="004F3C68"/>
    <w:rsid w:val="004F4C66"/>
    <w:rsid w:val="004F4E9C"/>
    <w:rsid w:val="004F500D"/>
    <w:rsid w:val="004F5D04"/>
    <w:rsid w:val="004F6123"/>
    <w:rsid w:val="004F7C4A"/>
    <w:rsid w:val="004F7D54"/>
    <w:rsid w:val="00500A75"/>
    <w:rsid w:val="00500EC9"/>
    <w:rsid w:val="00501BD8"/>
    <w:rsid w:val="005021F3"/>
    <w:rsid w:val="00503B5B"/>
    <w:rsid w:val="005047F9"/>
    <w:rsid w:val="00504A33"/>
    <w:rsid w:val="00505763"/>
    <w:rsid w:val="00505FA4"/>
    <w:rsid w:val="005063AB"/>
    <w:rsid w:val="00510465"/>
    <w:rsid w:val="00510771"/>
    <w:rsid w:val="00510F9D"/>
    <w:rsid w:val="00511BC6"/>
    <w:rsid w:val="00511F11"/>
    <w:rsid w:val="0051256A"/>
    <w:rsid w:val="005130BC"/>
    <w:rsid w:val="00513155"/>
    <w:rsid w:val="0051443A"/>
    <w:rsid w:val="00514630"/>
    <w:rsid w:val="00514B37"/>
    <w:rsid w:val="0051522E"/>
    <w:rsid w:val="005207D6"/>
    <w:rsid w:val="00521251"/>
    <w:rsid w:val="00521C02"/>
    <w:rsid w:val="00523B81"/>
    <w:rsid w:val="0052441A"/>
    <w:rsid w:val="00524E37"/>
    <w:rsid w:val="00527A26"/>
    <w:rsid w:val="00527BA9"/>
    <w:rsid w:val="00527CB0"/>
    <w:rsid w:val="00527F7E"/>
    <w:rsid w:val="00530A67"/>
    <w:rsid w:val="0053154B"/>
    <w:rsid w:val="00532848"/>
    <w:rsid w:val="005333B5"/>
    <w:rsid w:val="005338DC"/>
    <w:rsid w:val="00534109"/>
    <w:rsid w:val="00535F2E"/>
    <w:rsid w:val="00536258"/>
    <w:rsid w:val="005364BD"/>
    <w:rsid w:val="00536BF5"/>
    <w:rsid w:val="005376F5"/>
    <w:rsid w:val="00537D34"/>
    <w:rsid w:val="00540740"/>
    <w:rsid w:val="00540C74"/>
    <w:rsid w:val="00541A65"/>
    <w:rsid w:val="00541F57"/>
    <w:rsid w:val="005425DC"/>
    <w:rsid w:val="005439E6"/>
    <w:rsid w:val="00543EBE"/>
    <w:rsid w:val="00543F57"/>
    <w:rsid w:val="0054583D"/>
    <w:rsid w:val="00547004"/>
    <w:rsid w:val="005474CF"/>
    <w:rsid w:val="00552312"/>
    <w:rsid w:val="0055308A"/>
    <w:rsid w:val="00553221"/>
    <w:rsid w:val="00553568"/>
    <w:rsid w:val="00554478"/>
    <w:rsid w:val="00554739"/>
    <w:rsid w:val="00554B5F"/>
    <w:rsid w:val="00557477"/>
    <w:rsid w:val="00557C70"/>
    <w:rsid w:val="00560C15"/>
    <w:rsid w:val="00560E5A"/>
    <w:rsid w:val="00561F3A"/>
    <w:rsid w:val="005621EB"/>
    <w:rsid w:val="0056320E"/>
    <w:rsid w:val="005635FD"/>
    <w:rsid w:val="0056363B"/>
    <w:rsid w:val="00563720"/>
    <w:rsid w:val="005641D3"/>
    <w:rsid w:val="005650F6"/>
    <w:rsid w:val="0056591A"/>
    <w:rsid w:val="00566544"/>
    <w:rsid w:val="00566DB9"/>
    <w:rsid w:val="00567DC3"/>
    <w:rsid w:val="0057185C"/>
    <w:rsid w:val="00572B37"/>
    <w:rsid w:val="00572C0A"/>
    <w:rsid w:val="00573070"/>
    <w:rsid w:val="00575733"/>
    <w:rsid w:val="00576186"/>
    <w:rsid w:val="00576F6D"/>
    <w:rsid w:val="0057756D"/>
    <w:rsid w:val="0058042E"/>
    <w:rsid w:val="00580AD9"/>
    <w:rsid w:val="00580CA8"/>
    <w:rsid w:val="00581B7E"/>
    <w:rsid w:val="00581DDB"/>
    <w:rsid w:val="00582268"/>
    <w:rsid w:val="005827FA"/>
    <w:rsid w:val="00584657"/>
    <w:rsid w:val="00584EDF"/>
    <w:rsid w:val="00585139"/>
    <w:rsid w:val="00585837"/>
    <w:rsid w:val="00585F18"/>
    <w:rsid w:val="00587104"/>
    <w:rsid w:val="00587A6B"/>
    <w:rsid w:val="00591C98"/>
    <w:rsid w:val="00592602"/>
    <w:rsid w:val="005926CB"/>
    <w:rsid w:val="00592F28"/>
    <w:rsid w:val="005930FD"/>
    <w:rsid w:val="005942C6"/>
    <w:rsid w:val="00594796"/>
    <w:rsid w:val="00594B0B"/>
    <w:rsid w:val="00595AF1"/>
    <w:rsid w:val="00596985"/>
    <w:rsid w:val="00597032"/>
    <w:rsid w:val="005A001F"/>
    <w:rsid w:val="005A0A65"/>
    <w:rsid w:val="005A1775"/>
    <w:rsid w:val="005A3347"/>
    <w:rsid w:val="005A3627"/>
    <w:rsid w:val="005A5E80"/>
    <w:rsid w:val="005A6283"/>
    <w:rsid w:val="005A6B71"/>
    <w:rsid w:val="005A7BA9"/>
    <w:rsid w:val="005B0168"/>
    <w:rsid w:val="005B0791"/>
    <w:rsid w:val="005B24D1"/>
    <w:rsid w:val="005B2880"/>
    <w:rsid w:val="005B328E"/>
    <w:rsid w:val="005B46D9"/>
    <w:rsid w:val="005B5493"/>
    <w:rsid w:val="005B5790"/>
    <w:rsid w:val="005B7B04"/>
    <w:rsid w:val="005B7D87"/>
    <w:rsid w:val="005C131D"/>
    <w:rsid w:val="005C14B2"/>
    <w:rsid w:val="005C1F64"/>
    <w:rsid w:val="005C206B"/>
    <w:rsid w:val="005C3472"/>
    <w:rsid w:val="005C3C86"/>
    <w:rsid w:val="005C3D63"/>
    <w:rsid w:val="005C45E8"/>
    <w:rsid w:val="005C58CB"/>
    <w:rsid w:val="005C58CE"/>
    <w:rsid w:val="005C5A05"/>
    <w:rsid w:val="005C626D"/>
    <w:rsid w:val="005C742E"/>
    <w:rsid w:val="005D0ECF"/>
    <w:rsid w:val="005D0FF7"/>
    <w:rsid w:val="005D303A"/>
    <w:rsid w:val="005D3D23"/>
    <w:rsid w:val="005D3F6F"/>
    <w:rsid w:val="005D4799"/>
    <w:rsid w:val="005D51D9"/>
    <w:rsid w:val="005D584C"/>
    <w:rsid w:val="005D6FB6"/>
    <w:rsid w:val="005E0B88"/>
    <w:rsid w:val="005E0CA7"/>
    <w:rsid w:val="005E13AB"/>
    <w:rsid w:val="005E13C9"/>
    <w:rsid w:val="005E16B8"/>
    <w:rsid w:val="005E24ED"/>
    <w:rsid w:val="005E26BE"/>
    <w:rsid w:val="005E30A7"/>
    <w:rsid w:val="005E3D41"/>
    <w:rsid w:val="005E3E11"/>
    <w:rsid w:val="005E49FF"/>
    <w:rsid w:val="005E72A6"/>
    <w:rsid w:val="005E7612"/>
    <w:rsid w:val="005F0D2A"/>
    <w:rsid w:val="005F0E1D"/>
    <w:rsid w:val="005F1101"/>
    <w:rsid w:val="005F1C03"/>
    <w:rsid w:val="005F2DF0"/>
    <w:rsid w:val="005F31F5"/>
    <w:rsid w:val="005F4A99"/>
    <w:rsid w:val="005F4EF6"/>
    <w:rsid w:val="005F6237"/>
    <w:rsid w:val="005F6238"/>
    <w:rsid w:val="005F78C9"/>
    <w:rsid w:val="005F7C59"/>
    <w:rsid w:val="006002B8"/>
    <w:rsid w:val="006002DA"/>
    <w:rsid w:val="00600ED2"/>
    <w:rsid w:val="006017D9"/>
    <w:rsid w:val="00602E0B"/>
    <w:rsid w:val="00604815"/>
    <w:rsid w:val="00605902"/>
    <w:rsid w:val="00605987"/>
    <w:rsid w:val="00606A7E"/>
    <w:rsid w:val="00606C64"/>
    <w:rsid w:val="00610E5C"/>
    <w:rsid w:val="00611156"/>
    <w:rsid w:val="006126E3"/>
    <w:rsid w:val="00613C11"/>
    <w:rsid w:val="00613F00"/>
    <w:rsid w:val="00614C63"/>
    <w:rsid w:val="00614FA9"/>
    <w:rsid w:val="0061568F"/>
    <w:rsid w:val="0061595F"/>
    <w:rsid w:val="00615B52"/>
    <w:rsid w:val="00615E40"/>
    <w:rsid w:val="006162A2"/>
    <w:rsid w:val="006165E3"/>
    <w:rsid w:val="00616F29"/>
    <w:rsid w:val="006172E9"/>
    <w:rsid w:val="0062068F"/>
    <w:rsid w:val="006206F1"/>
    <w:rsid w:val="0062079B"/>
    <w:rsid w:val="00620902"/>
    <w:rsid w:val="00621016"/>
    <w:rsid w:val="006216F3"/>
    <w:rsid w:val="00621795"/>
    <w:rsid w:val="006217F7"/>
    <w:rsid w:val="0062433E"/>
    <w:rsid w:val="00624846"/>
    <w:rsid w:val="00624CB4"/>
    <w:rsid w:val="00625026"/>
    <w:rsid w:val="00627AD6"/>
    <w:rsid w:val="006300AF"/>
    <w:rsid w:val="0063092C"/>
    <w:rsid w:val="006309AC"/>
    <w:rsid w:val="0063261C"/>
    <w:rsid w:val="0063291E"/>
    <w:rsid w:val="00633767"/>
    <w:rsid w:val="00633A0F"/>
    <w:rsid w:val="006341EA"/>
    <w:rsid w:val="00634271"/>
    <w:rsid w:val="00634A8F"/>
    <w:rsid w:val="00634DF5"/>
    <w:rsid w:val="006362D5"/>
    <w:rsid w:val="00637C70"/>
    <w:rsid w:val="00640AF0"/>
    <w:rsid w:val="00641F55"/>
    <w:rsid w:val="006421AD"/>
    <w:rsid w:val="00642E07"/>
    <w:rsid w:val="00642F57"/>
    <w:rsid w:val="00643B5B"/>
    <w:rsid w:val="006458E1"/>
    <w:rsid w:val="00645ED2"/>
    <w:rsid w:val="0064741F"/>
    <w:rsid w:val="00647D49"/>
    <w:rsid w:val="00647F75"/>
    <w:rsid w:val="00650485"/>
    <w:rsid w:val="006505C8"/>
    <w:rsid w:val="0065091F"/>
    <w:rsid w:val="00650DB8"/>
    <w:rsid w:val="00651872"/>
    <w:rsid w:val="00651929"/>
    <w:rsid w:val="006526BA"/>
    <w:rsid w:val="00654B43"/>
    <w:rsid w:val="00655F55"/>
    <w:rsid w:val="00656045"/>
    <w:rsid w:val="00656F5F"/>
    <w:rsid w:val="006615BB"/>
    <w:rsid w:val="006626A5"/>
    <w:rsid w:val="0066350A"/>
    <w:rsid w:val="0066409F"/>
    <w:rsid w:val="006642A4"/>
    <w:rsid w:val="00664825"/>
    <w:rsid w:val="00665075"/>
    <w:rsid w:val="006651B1"/>
    <w:rsid w:val="006657D5"/>
    <w:rsid w:val="00666538"/>
    <w:rsid w:val="00667199"/>
    <w:rsid w:val="00667272"/>
    <w:rsid w:val="00667DB4"/>
    <w:rsid w:val="006700CB"/>
    <w:rsid w:val="00670F1B"/>
    <w:rsid w:val="006721E1"/>
    <w:rsid w:val="0067263F"/>
    <w:rsid w:val="00672BAF"/>
    <w:rsid w:val="0067311A"/>
    <w:rsid w:val="0067336C"/>
    <w:rsid w:val="006733F6"/>
    <w:rsid w:val="00673A57"/>
    <w:rsid w:val="006744A7"/>
    <w:rsid w:val="00676B0A"/>
    <w:rsid w:val="00677CB6"/>
    <w:rsid w:val="006812D9"/>
    <w:rsid w:val="006816FA"/>
    <w:rsid w:val="00682F8E"/>
    <w:rsid w:val="00686DF5"/>
    <w:rsid w:val="0068723A"/>
    <w:rsid w:val="006872DE"/>
    <w:rsid w:val="00687558"/>
    <w:rsid w:val="00690968"/>
    <w:rsid w:val="00691184"/>
    <w:rsid w:val="0069126F"/>
    <w:rsid w:val="006912EC"/>
    <w:rsid w:val="00691E13"/>
    <w:rsid w:val="00692F68"/>
    <w:rsid w:val="006939E5"/>
    <w:rsid w:val="00694781"/>
    <w:rsid w:val="00695458"/>
    <w:rsid w:val="00695463"/>
    <w:rsid w:val="00695ABB"/>
    <w:rsid w:val="00696AE9"/>
    <w:rsid w:val="006970EC"/>
    <w:rsid w:val="006A0AF0"/>
    <w:rsid w:val="006A179B"/>
    <w:rsid w:val="006A26E6"/>
    <w:rsid w:val="006A4A84"/>
    <w:rsid w:val="006A5485"/>
    <w:rsid w:val="006A5589"/>
    <w:rsid w:val="006A6EA3"/>
    <w:rsid w:val="006A6FA0"/>
    <w:rsid w:val="006A7A71"/>
    <w:rsid w:val="006B065B"/>
    <w:rsid w:val="006B17D6"/>
    <w:rsid w:val="006B1BEC"/>
    <w:rsid w:val="006B1F15"/>
    <w:rsid w:val="006B2297"/>
    <w:rsid w:val="006B259F"/>
    <w:rsid w:val="006B2B5D"/>
    <w:rsid w:val="006B2C17"/>
    <w:rsid w:val="006B2DB7"/>
    <w:rsid w:val="006B2F1E"/>
    <w:rsid w:val="006B3B86"/>
    <w:rsid w:val="006C0E51"/>
    <w:rsid w:val="006C223E"/>
    <w:rsid w:val="006C304E"/>
    <w:rsid w:val="006C3698"/>
    <w:rsid w:val="006C36C9"/>
    <w:rsid w:val="006C373B"/>
    <w:rsid w:val="006C5C78"/>
    <w:rsid w:val="006C66D3"/>
    <w:rsid w:val="006C6C18"/>
    <w:rsid w:val="006D00DB"/>
    <w:rsid w:val="006D1686"/>
    <w:rsid w:val="006D323C"/>
    <w:rsid w:val="006D34E8"/>
    <w:rsid w:val="006D38ED"/>
    <w:rsid w:val="006D3A2D"/>
    <w:rsid w:val="006D4FCE"/>
    <w:rsid w:val="006D539B"/>
    <w:rsid w:val="006D5719"/>
    <w:rsid w:val="006D6703"/>
    <w:rsid w:val="006D6998"/>
    <w:rsid w:val="006D6B8A"/>
    <w:rsid w:val="006D6C37"/>
    <w:rsid w:val="006D71A3"/>
    <w:rsid w:val="006E0D8D"/>
    <w:rsid w:val="006E12B4"/>
    <w:rsid w:val="006E1F44"/>
    <w:rsid w:val="006E3C14"/>
    <w:rsid w:val="006E4A61"/>
    <w:rsid w:val="006E5D97"/>
    <w:rsid w:val="006E617C"/>
    <w:rsid w:val="006E68FC"/>
    <w:rsid w:val="006E7269"/>
    <w:rsid w:val="006E773A"/>
    <w:rsid w:val="006E77AA"/>
    <w:rsid w:val="006E7A39"/>
    <w:rsid w:val="006F1550"/>
    <w:rsid w:val="006F1B07"/>
    <w:rsid w:val="006F2155"/>
    <w:rsid w:val="006F252A"/>
    <w:rsid w:val="006F328D"/>
    <w:rsid w:val="006F40FC"/>
    <w:rsid w:val="006F4B8A"/>
    <w:rsid w:val="006F5AF8"/>
    <w:rsid w:val="006F6474"/>
    <w:rsid w:val="006F6C26"/>
    <w:rsid w:val="006F6FB7"/>
    <w:rsid w:val="00700664"/>
    <w:rsid w:val="00701AA0"/>
    <w:rsid w:val="00702559"/>
    <w:rsid w:val="00703F7A"/>
    <w:rsid w:val="00704D77"/>
    <w:rsid w:val="007058F6"/>
    <w:rsid w:val="00705A15"/>
    <w:rsid w:val="00705ADA"/>
    <w:rsid w:val="00706697"/>
    <w:rsid w:val="007077C9"/>
    <w:rsid w:val="00707957"/>
    <w:rsid w:val="0071132E"/>
    <w:rsid w:val="00711CAC"/>
    <w:rsid w:val="00711DC9"/>
    <w:rsid w:val="00711E84"/>
    <w:rsid w:val="00712C69"/>
    <w:rsid w:val="00712F44"/>
    <w:rsid w:val="00713B69"/>
    <w:rsid w:val="0071571B"/>
    <w:rsid w:val="00717125"/>
    <w:rsid w:val="0071779F"/>
    <w:rsid w:val="00720619"/>
    <w:rsid w:val="0072242D"/>
    <w:rsid w:val="007228A8"/>
    <w:rsid w:val="0072426B"/>
    <w:rsid w:val="007243BA"/>
    <w:rsid w:val="00726011"/>
    <w:rsid w:val="007269A2"/>
    <w:rsid w:val="00726AB3"/>
    <w:rsid w:val="0072709E"/>
    <w:rsid w:val="00727F08"/>
    <w:rsid w:val="0073120D"/>
    <w:rsid w:val="00731E88"/>
    <w:rsid w:val="007328C2"/>
    <w:rsid w:val="00732E7A"/>
    <w:rsid w:val="00733177"/>
    <w:rsid w:val="0073335D"/>
    <w:rsid w:val="00733A0D"/>
    <w:rsid w:val="00735536"/>
    <w:rsid w:val="00740B92"/>
    <w:rsid w:val="00741573"/>
    <w:rsid w:val="0074373C"/>
    <w:rsid w:val="00744675"/>
    <w:rsid w:val="007458F1"/>
    <w:rsid w:val="00747383"/>
    <w:rsid w:val="00747407"/>
    <w:rsid w:val="00747893"/>
    <w:rsid w:val="00751C69"/>
    <w:rsid w:val="00751E47"/>
    <w:rsid w:val="007525A9"/>
    <w:rsid w:val="00753A86"/>
    <w:rsid w:val="00754607"/>
    <w:rsid w:val="007560A1"/>
    <w:rsid w:val="00756BD7"/>
    <w:rsid w:val="00757B4F"/>
    <w:rsid w:val="00757EF1"/>
    <w:rsid w:val="00760479"/>
    <w:rsid w:val="00760B14"/>
    <w:rsid w:val="00761A14"/>
    <w:rsid w:val="00762312"/>
    <w:rsid w:val="007624CB"/>
    <w:rsid w:val="00762FA1"/>
    <w:rsid w:val="00763179"/>
    <w:rsid w:val="0076330D"/>
    <w:rsid w:val="007638AF"/>
    <w:rsid w:val="00763DC5"/>
    <w:rsid w:val="00764C4D"/>
    <w:rsid w:val="00764E40"/>
    <w:rsid w:val="0076595C"/>
    <w:rsid w:val="00766777"/>
    <w:rsid w:val="007677CF"/>
    <w:rsid w:val="00770619"/>
    <w:rsid w:val="00771456"/>
    <w:rsid w:val="007718CC"/>
    <w:rsid w:val="00771BB3"/>
    <w:rsid w:val="007721EF"/>
    <w:rsid w:val="007733B2"/>
    <w:rsid w:val="0077389E"/>
    <w:rsid w:val="00774E9E"/>
    <w:rsid w:val="00774EA4"/>
    <w:rsid w:val="007751DD"/>
    <w:rsid w:val="007763BA"/>
    <w:rsid w:val="00776C55"/>
    <w:rsid w:val="007778A0"/>
    <w:rsid w:val="0078030D"/>
    <w:rsid w:val="007805A3"/>
    <w:rsid w:val="007805DC"/>
    <w:rsid w:val="007806FD"/>
    <w:rsid w:val="00780814"/>
    <w:rsid w:val="00781174"/>
    <w:rsid w:val="00781A08"/>
    <w:rsid w:val="00781AF4"/>
    <w:rsid w:val="00781E41"/>
    <w:rsid w:val="00782029"/>
    <w:rsid w:val="00782D95"/>
    <w:rsid w:val="0078322F"/>
    <w:rsid w:val="00783A57"/>
    <w:rsid w:val="00783CAA"/>
    <w:rsid w:val="007842E5"/>
    <w:rsid w:val="00784FB2"/>
    <w:rsid w:val="00786779"/>
    <w:rsid w:val="007867FB"/>
    <w:rsid w:val="0078681D"/>
    <w:rsid w:val="00786A9E"/>
    <w:rsid w:val="0078714F"/>
    <w:rsid w:val="00787686"/>
    <w:rsid w:val="007911CB"/>
    <w:rsid w:val="00791802"/>
    <w:rsid w:val="007924B0"/>
    <w:rsid w:val="00792B41"/>
    <w:rsid w:val="00793143"/>
    <w:rsid w:val="007941B1"/>
    <w:rsid w:val="00794C65"/>
    <w:rsid w:val="00796804"/>
    <w:rsid w:val="00796929"/>
    <w:rsid w:val="00797633"/>
    <w:rsid w:val="007A0399"/>
    <w:rsid w:val="007A079A"/>
    <w:rsid w:val="007A4C5D"/>
    <w:rsid w:val="007A6185"/>
    <w:rsid w:val="007A7652"/>
    <w:rsid w:val="007A78FF"/>
    <w:rsid w:val="007B0971"/>
    <w:rsid w:val="007B18EC"/>
    <w:rsid w:val="007B19F8"/>
    <w:rsid w:val="007B1F23"/>
    <w:rsid w:val="007B3F42"/>
    <w:rsid w:val="007B4000"/>
    <w:rsid w:val="007B4C6A"/>
    <w:rsid w:val="007B5CD5"/>
    <w:rsid w:val="007B6F3F"/>
    <w:rsid w:val="007B743A"/>
    <w:rsid w:val="007B7A02"/>
    <w:rsid w:val="007C0214"/>
    <w:rsid w:val="007C0F5E"/>
    <w:rsid w:val="007C1C7F"/>
    <w:rsid w:val="007C2800"/>
    <w:rsid w:val="007C37B2"/>
    <w:rsid w:val="007C3AA3"/>
    <w:rsid w:val="007C46D0"/>
    <w:rsid w:val="007C5057"/>
    <w:rsid w:val="007C6D53"/>
    <w:rsid w:val="007D0506"/>
    <w:rsid w:val="007D0831"/>
    <w:rsid w:val="007D1FB1"/>
    <w:rsid w:val="007D3208"/>
    <w:rsid w:val="007D3460"/>
    <w:rsid w:val="007D3E1C"/>
    <w:rsid w:val="007D6469"/>
    <w:rsid w:val="007D67E0"/>
    <w:rsid w:val="007D6C4F"/>
    <w:rsid w:val="007D710C"/>
    <w:rsid w:val="007D7E33"/>
    <w:rsid w:val="007E0A07"/>
    <w:rsid w:val="007E113D"/>
    <w:rsid w:val="007E2178"/>
    <w:rsid w:val="007E2401"/>
    <w:rsid w:val="007E2DE9"/>
    <w:rsid w:val="007E2E68"/>
    <w:rsid w:val="007E3B0F"/>
    <w:rsid w:val="007E46DC"/>
    <w:rsid w:val="007E56A5"/>
    <w:rsid w:val="007E6D6D"/>
    <w:rsid w:val="007E726D"/>
    <w:rsid w:val="007E7987"/>
    <w:rsid w:val="007F1B17"/>
    <w:rsid w:val="007F1E98"/>
    <w:rsid w:val="007F207A"/>
    <w:rsid w:val="007F22FE"/>
    <w:rsid w:val="007F3159"/>
    <w:rsid w:val="007F3229"/>
    <w:rsid w:val="007F44E4"/>
    <w:rsid w:val="007F5191"/>
    <w:rsid w:val="007F6D02"/>
    <w:rsid w:val="007F74E8"/>
    <w:rsid w:val="007F7DB3"/>
    <w:rsid w:val="00800526"/>
    <w:rsid w:val="00801853"/>
    <w:rsid w:val="00801A56"/>
    <w:rsid w:val="0080584E"/>
    <w:rsid w:val="00805BA7"/>
    <w:rsid w:val="00805DC6"/>
    <w:rsid w:val="00806999"/>
    <w:rsid w:val="00807143"/>
    <w:rsid w:val="00807C81"/>
    <w:rsid w:val="0081068A"/>
    <w:rsid w:val="00810C63"/>
    <w:rsid w:val="00811F6D"/>
    <w:rsid w:val="00812068"/>
    <w:rsid w:val="00812FF7"/>
    <w:rsid w:val="008137C9"/>
    <w:rsid w:val="0081479A"/>
    <w:rsid w:val="008159CA"/>
    <w:rsid w:val="00815F8E"/>
    <w:rsid w:val="008161F9"/>
    <w:rsid w:val="008171AA"/>
    <w:rsid w:val="008177AB"/>
    <w:rsid w:val="00817AB4"/>
    <w:rsid w:val="008201F0"/>
    <w:rsid w:val="008203D5"/>
    <w:rsid w:val="00821245"/>
    <w:rsid w:val="00821387"/>
    <w:rsid w:val="008214A5"/>
    <w:rsid w:val="00823C2A"/>
    <w:rsid w:val="00824519"/>
    <w:rsid w:val="0082570D"/>
    <w:rsid w:val="00826A14"/>
    <w:rsid w:val="00827F4E"/>
    <w:rsid w:val="008301ED"/>
    <w:rsid w:val="0083078C"/>
    <w:rsid w:val="00830E18"/>
    <w:rsid w:val="00831286"/>
    <w:rsid w:val="00832308"/>
    <w:rsid w:val="008328A4"/>
    <w:rsid w:val="00832F74"/>
    <w:rsid w:val="0083416B"/>
    <w:rsid w:val="00835704"/>
    <w:rsid w:val="00835B9A"/>
    <w:rsid w:val="0083741D"/>
    <w:rsid w:val="008379E7"/>
    <w:rsid w:val="00837F95"/>
    <w:rsid w:val="0084136C"/>
    <w:rsid w:val="008417A6"/>
    <w:rsid w:val="00841A48"/>
    <w:rsid w:val="00841EDF"/>
    <w:rsid w:val="00842704"/>
    <w:rsid w:val="00843DCA"/>
    <w:rsid w:val="00843E6B"/>
    <w:rsid w:val="008467E9"/>
    <w:rsid w:val="008468BF"/>
    <w:rsid w:val="00846D02"/>
    <w:rsid w:val="008477EA"/>
    <w:rsid w:val="00847B4E"/>
    <w:rsid w:val="008503A6"/>
    <w:rsid w:val="00850B66"/>
    <w:rsid w:val="0085174D"/>
    <w:rsid w:val="00855B68"/>
    <w:rsid w:val="00857151"/>
    <w:rsid w:val="00857C0D"/>
    <w:rsid w:val="00857ED5"/>
    <w:rsid w:val="00860237"/>
    <w:rsid w:val="00860F43"/>
    <w:rsid w:val="008616FF"/>
    <w:rsid w:val="00861EDA"/>
    <w:rsid w:val="00862E9A"/>
    <w:rsid w:val="00863D0E"/>
    <w:rsid w:val="00864F14"/>
    <w:rsid w:val="00865DA8"/>
    <w:rsid w:val="00866150"/>
    <w:rsid w:val="00866382"/>
    <w:rsid w:val="00870541"/>
    <w:rsid w:val="0087207F"/>
    <w:rsid w:val="008721A2"/>
    <w:rsid w:val="00872981"/>
    <w:rsid w:val="00874869"/>
    <w:rsid w:val="00874B4F"/>
    <w:rsid w:val="00877B17"/>
    <w:rsid w:val="008805C1"/>
    <w:rsid w:val="00880F8E"/>
    <w:rsid w:val="00881471"/>
    <w:rsid w:val="008826C5"/>
    <w:rsid w:val="008830D7"/>
    <w:rsid w:val="00884D17"/>
    <w:rsid w:val="00884D86"/>
    <w:rsid w:val="00885162"/>
    <w:rsid w:val="00886184"/>
    <w:rsid w:val="008862B0"/>
    <w:rsid w:val="008865E2"/>
    <w:rsid w:val="008868F6"/>
    <w:rsid w:val="00892689"/>
    <w:rsid w:val="00892C55"/>
    <w:rsid w:val="00893D51"/>
    <w:rsid w:val="00895F9F"/>
    <w:rsid w:val="00896AEA"/>
    <w:rsid w:val="00897192"/>
    <w:rsid w:val="00897994"/>
    <w:rsid w:val="008A03C1"/>
    <w:rsid w:val="008A3EB1"/>
    <w:rsid w:val="008A41F6"/>
    <w:rsid w:val="008A4A83"/>
    <w:rsid w:val="008A663D"/>
    <w:rsid w:val="008A7E73"/>
    <w:rsid w:val="008B0212"/>
    <w:rsid w:val="008B04C8"/>
    <w:rsid w:val="008B0912"/>
    <w:rsid w:val="008B1089"/>
    <w:rsid w:val="008B1D1A"/>
    <w:rsid w:val="008B2639"/>
    <w:rsid w:val="008B2B69"/>
    <w:rsid w:val="008B2C38"/>
    <w:rsid w:val="008B3C45"/>
    <w:rsid w:val="008B5143"/>
    <w:rsid w:val="008B5C39"/>
    <w:rsid w:val="008B65FF"/>
    <w:rsid w:val="008B724B"/>
    <w:rsid w:val="008B73A6"/>
    <w:rsid w:val="008B7511"/>
    <w:rsid w:val="008B7FE7"/>
    <w:rsid w:val="008C0312"/>
    <w:rsid w:val="008C0313"/>
    <w:rsid w:val="008C0BD7"/>
    <w:rsid w:val="008C166B"/>
    <w:rsid w:val="008C1BFD"/>
    <w:rsid w:val="008C2267"/>
    <w:rsid w:val="008C2923"/>
    <w:rsid w:val="008C6179"/>
    <w:rsid w:val="008C6299"/>
    <w:rsid w:val="008C7C30"/>
    <w:rsid w:val="008D0D93"/>
    <w:rsid w:val="008D0FCE"/>
    <w:rsid w:val="008D15CA"/>
    <w:rsid w:val="008D186D"/>
    <w:rsid w:val="008D27BE"/>
    <w:rsid w:val="008D27CB"/>
    <w:rsid w:val="008D2F9C"/>
    <w:rsid w:val="008D2FA0"/>
    <w:rsid w:val="008D307D"/>
    <w:rsid w:val="008D32D9"/>
    <w:rsid w:val="008D33B7"/>
    <w:rsid w:val="008D3971"/>
    <w:rsid w:val="008D3DA5"/>
    <w:rsid w:val="008D57B8"/>
    <w:rsid w:val="008D6013"/>
    <w:rsid w:val="008D6393"/>
    <w:rsid w:val="008D66D4"/>
    <w:rsid w:val="008D696A"/>
    <w:rsid w:val="008D6F7E"/>
    <w:rsid w:val="008E0E91"/>
    <w:rsid w:val="008E0EB2"/>
    <w:rsid w:val="008E10B9"/>
    <w:rsid w:val="008E1BCB"/>
    <w:rsid w:val="008E1D5E"/>
    <w:rsid w:val="008E1E92"/>
    <w:rsid w:val="008E1F28"/>
    <w:rsid w:val="008E22B7"/>
    <w:rsid w:val="008E2F5C"/>
    <w:rsid w:val="008E3247"/>
    <w:rsid w:val="008E3B7C"/>
    <w:rsid w:val="008E48AF"/>
    <w:rsid w:val="008E4B26"/>
    <w:rsid w:val="008E553E"/>
    <w:rsid w:val="008E5633"/>
    <w:rsid w:val="008E5A76"/>
    <w:rsid w:val="008E6070"/>
    <w:rsid w:val="008E6262"/>
    <w:rsid w:val="008F009B"/>
    <w:rsid w:val="008F0800"/>
    <w:rsid w:val="008F080D"/>
    <w:rsid w:val="008F0F2F"/>
    <w:rsid w:val="008F139B"/>
    <w:rsid w:val="008F181F"/>
    <w:rsid w:val="008F3D44"/>
    <w:rsid w:val="008F413A"/>
    <w:rsid w:val="008F4B36"/>
    <w:rsid w:val="008F4DEF"/>
    <w:rsid w:val="008F5274"/>
    <w:rsid w:val="008F5F2A"/>
    <w:rsid w:val="008F62A2"/>
    <w:rsid w:val="008F6B46"/>
    <w:rsid w:val="008F6F7C"/>
    <w:rsid w:val="008F7736"/>
    <w:rsid w:val="008F7A63"/>
    <w:rsid w:val="008F7E52"/>
    <w:rsid w:val="00900F31"/>
    <w:rsid w:val="009014D0"/>
    <w:rsid w:val="009015A3"/>
    <w:rsid w:val="00901C5B"/>
    <w:rsid w:val="00901E8E"/>
    <w:rsid w:val="009028E0"/>
    <w:rsid w:val="0090654E"/>
    <w:rsid w:val="00906591"/>
    <w:rsid w:val="00906D3A"/>
    <w:rsid w:val="0090708C"/>
    <w:rsid w:val="00907A13"/>
    <w:rsid w:val="00907C79"/>
    <w:rsid w:val="00907D95"/>
    <w:rsid w:val="00911E86"/>
    <w:rsid w:val="00912643"/>
    <w:rsid w:val="00912F98"/>
    <w:rsid w:val="00913D39"/>
    <w:rsid w:val="00914C9A"/>
    <w:rsid w:val="00915265"/>
    <w:rsid w:val="009165BA"/>
    <w:rsid w:val="00916CF6"/>
    <w:rsid w:val="00916F47"/>
    <w:rsid w:val="0091798D"/>
    <w:rsid w:val="00920465"/>
    <w:rsid w:val="00921540"/>
    <w:rsid w:val="00921DAB"/>
    <w:rsid w:val="0092300F"/>
    <w:rsid w:val="009231AA"/>
    <w:rsid w:val="009233D1"/>
    <w:rsid w:val="0092392F"/>
    <w:rsid w:val="00923F08"/>
    <w:rsid w:val="00924FA8"/>
    <w:rsid w:val="009258E0"/>
    <w:rsid w:val="00926BBB"/>
    <w:rsid w:val="00927784"/>
    <w:rsid w:val="00930665"/>
    <w:rsid w:val="00930AA9"/>
    <w:rsid w:val="00930E4B"/>
    <w:rsid w:val="00932721"/>
    <w:rsid w:val="00932DC8"/>
    <w:rsid w:val="009340EE"/>
    <w:rsid w:val="00934789"/>
    <w:rsid w:val="00934B57"/>
    <w:rsid w:val="00935BA0"/>
    <w:rsid w:val="00936C60"/>
    <w:rsid w:val="00941421"/>
    <w:rsid w:val="009436C6"/>
    <w:rsid w:val="00943868"/>
    <w:rsid w:val="00944F3E"/>
    <w:rsid w:val="009509FD"/>
    <w:rsid w:val="009553C4"/>
    <w:rsid w:val="0095604A"/>
    <w:rsid w:val="00956D9F"/>
    <w:rsid w:val="00957D13"/>
    <w:rsid w:val="0096089D"/>
    <w:rsid w:val="00961161"/>
    <w:rsid w:val="00961A18"/>
    <w:rsid w:val="00961AE5"/>
    <w:rsid w:val="009623B1"/>
    <w:rsid w:val="00962549"/>
    <w:rsid w:val="00962A84"/>
    <w:rsid w:val="00963A37"/>
    <w:rsid w:val="00963A5D"/>
    <w:rsid w:val="00966203"/>
    <w:rsid w:val="009666DE"/>
    <w:rsid w:val="00966D58"/>
    <w:rsid w:val="0096752C"/>
    <w:rsid w:val="00971212"/>
    <w:rsid w:val="00971237"/>
    <w:rsid w:val="009713CA"/>
    <w:rsid w:val="00971788"/>
    <w:rsid w:val="00971831"/>
    <w:rsid w:val="009719C2"/>
    <w:rsid w:val="00972360"/>
    <w:rsid w:val="00972A7F"/>
    <w:rsid w:val="00973428"/>
    <w:rsid w:val="0097346B"/>
    <w:rsid w:val="009735E4"/>
    <w:rsid w:val="0097456C"/>
    <w:rsid w:val="009752E6"/>
    <w:rsid w:val="009753B9"/>
    <w:rsid w:val="00975A85"/>
    <w:rsid w:val="00975DCB"/>
    <w:rsid w:val="009763F9"/>
    <w:rsid w:val="00976912"/>
    <w:rsid w:val="00981B70"/>
    <w:rsid w:val="00981D8A"/>
    <w:rsid w:val="009851FE"/>
    <w:rsid w:val="00985C29"/>
    <w:rsid w:val="0098615C"/>
    <w:rsid w:val="00986863"/>
    <w:rsid w:val="00986CBE"/>
    <w:rsid w:val="00987E46"/>
    <w:rsid w:val="00990354"/>
    <w:rsid w:val="00990994"/>
    <w:rsid w:val="00992E18"/>
    <w:rsid w:val="00995223"/>
    <w:rsid w:val="00997EA4"/>
    <w:rsid w:val="009A09DA"/>
    <w:rsid w:val="009A1AC9"/>
    <w:rsid w:val="009A264A"/>
    <w:rsid w:val="009A3188"/>
    <w:rsid w:val="009A31F2"/>
    <w:rsid w:val="009A35C2"/>
    <w:rsid w:val="009A4B37"/>
    <w:rsid w:val="009A64A5"/>
    <w:rsid w:val="009A7E56"/>
    <w:rsid w:val="009A7FA5"/>
    <w:rsid w:val="009B039C"/>
    <w:rsid w:val="009B1B63"/>
    <w:rsid w:val="009B1EEE"/>
    <w:rsid w:val="009B1F97"/>
    <w:rsid w:val="009B2845"/>
    <w:rsid w:val="009B3994"/>
    <w:rsid w:val="009B3C55"/>
    <w:rsid w:val="009B40BD"/>
    <w:rsid w:val="009B4E3C"/>
    <w:rsid w:val="009B6A65"/>
    <w:rsid w:val="009B6CD6"/>
    <w:rsid w:val="009B7411"/>
    <w:rsid w:val="009C0274"/>
    <w:rsid w:val="009C1B8F"/>
    <w:rsid w:val="009C2465"/>
    <w:rsid w:val="009C2938"/>
    <w:rsid w:val="009C2BC5"/>
    <w:rsid w:val="009C3D09"/>
    <w:rsid w:val="009C7CAE"/>
    <w:rsid w:val="009D04C0"/>
    <w:rsid w:val="009D0592"/>
    <w:rsid w:val="009D167D"/>
    <w:rsid w:val="009D2120"/>
    <w:rsid w:val="009D401E"/>
    <w:rsid w:val="009D4555"/>
    <w:rsid w:val="009D58C3"/>
    <w:rsid w:val="009D67E6"/>
    <w:rsid w:val="009D70A6"/>
    <w:rsid w:val="009D724F"/>
    <w:rsid w:val="009D767A"/>
    <w:rsid w:val="009E0ECC"/>
    <w:rsid w:val="009E1EC2"/>
    <w:rsid w:val="009E296E"/>
    <w:rsid w:val="009E3145"/>
    <w:rsid w:val="009E39A1"/>
    <w:rsid w:val="009E3EF0"/>
    <w:rsid w:val="009E6D92"/>
    <w:rsid w:val="009E7780"/>
    <w:rsid w:val="009F2116"/>
    <w:rsid w:val="009F241A"/>
    <w:rsid w:val="009F3202"/>
    <w:rsid w:val="009F3B82"/>
    <w:rsid w:val="009F4220"/>
    <w:rsid w:val="009F45AE"/>
    <w:rsid w:val="009F462E"/>
    <w:rsid w:val="009F51FE"/>
    <w:rsid w:val="009F64E7"/>
    <w:rsid w:val="009F6A4C"/>
    <w:rsid w:val="009F7310"/>
    <w:rsid w:val="00A0046B"/>
    <w:rsid w:val="00A005B1"/>
    <w:rsid w:val="00A00A1E"/>
    <w:rsid w:val="00A00C28"/>
    <w:rsid w:val="00A02A18"/>
    <w:rsid w:val="00A02CE7"/>
    <w:rsid w:val="00A04298"/>
    <w:rsid w:val="00A0467C"/>
    <w:rsid w:val="00A05031"/>
    <w:rsid w:val="00A05E71"/>
    <w:rsid w:val="00A061F2"/>
    <w:rsid w:val="00A06F72"/>
    <w:rsid w:val="00A07787"/>
    <w:rsid w:val="00A10D8D"/>
    <w:rsid w:val="00A111E7"/>
    <w:rsid w:val="00A11DB0"/>
    <w:rsid w:val="00A11FB7"/>
    <w:rsid w:val="00A1268E"/>
    <w:rsid w:val="00A1409B"/>
    <w:rsid w:val="00A1499F"/>
    <w:rsid w:val="00A1602C"/>
    <w:rsid w:val="00A164CD"/>
    <w:rsid w:val="00A17DB1"/>
    <w:rsid w:val="00A20B8D"/>
    <w:rsid w:val="00A2106C"/>
    <w:rsid w:val="00A21A18"/>
    <w:rsid w:val="00A229C6"/>
    <w:rsid w:val="00A23D36"/>
    <w:rsid w:val="00A24294"/>
    <w:rsid w:val="00A24939"/>
    <w:rsid w:val="00A249C6"/>
    <w:rsid w:val="00A25178"/>
    <w:rsid w:val="00A2548B"/>
    <w:rsid w:val="00A255A6"/>
    <w:rsid w:val="00A25789"/>
    <w:rsid w:val="00A259A6"/>
    <w:rsid w:val="00A26443"/>
    <w:rsid w:val="00A26685"/>
    <w:rsid w:val="00A26E2B"/>
    <w:rsid w:val="00A2716A"/>
    <w:rsid w:val="00A278F6"/>
    <w:rsid w:val="00A30022"/>
    <w:rsid w:val="00A301E2"/>
    <w:rsid w:val="00A3030C"/>
    <w:rsid w:val="00A3058F"/>
    <w:rsid w:val="00A3139A"/>
    <w:rsid w:val="00A31E58"/>
    <w:rsid w:val="00A32178"/>
    <w:rsid w:val="00A32202"/>
    <w:rsid w:val="00A33120"/>
    <w:rsid w:val="00A357D9"/>
    <w:rsid w:val="00A35899"/>
    <w:rsid w:val="00A361CE"/>
    <w:rsid w:val="00A365B4"/>
    <w:rsid w:val="00A365C1"/>
    <w:rsid w:val="00A40063"/>
    <w:rsid w:val="00A4019B"/>
    <w:rsid w:val="00A407EC"/>
    <w:rsid w:val="00A41930"/>
    <w:rsid w:val="00A42805"/>
    <w:rsid w:val="00A43007"/>
    <w:rsid w:val="00A44F2A"/>
    <w:rsid w:val="00A453A7"/>
    <w:rsid w:val="00A455E2"/>
    <w:rsid w:val="00A46030"/>
    <w:rsid w:val="00A46278"/>
    <w:rsid w:val="00A46B63"/>
    <w:rsid w:val="00A46C31"/>
    <w:rsid w:val="00A47DD4"/>
    <w:rsid w:val="00A503E9"/>
    <w:rsid w:val="00A5200F"/>
    <w:rsid w:val="00A52C33"/>
    <w:rsid w:val="00A53A6D"/>
    <w:rsid w:val="00A53D47"/>
    <w:rsid w:val="00A555F9"/>
    <w:rsid w:val="00A55808"/>
    <w:rsid w:val="00A56738"/>
    <w:rsid w:val="00A56F54"/>
    <w:rsid w:val="00A576D2"/>
    <w:rsid w:val="00A57FB4"/>
    <w:rsid w:val="00A60723"/>
    <w:rsid w:val="00A631C9"/>
    <w:rsid w:val="00A657C6"/>
    <w:rsid w:val="00A65F62"/>
    <w:rsid w:val="00A66666"/>
    <w:rsid w:val="00A71414"/>
    <w:rsid w:val="00A719F6"/>
    <w:rsid w:val="00A7254F"/>
    <w:rsid w:val="00A7325D"/>
    <w:rsid w:val="00A73BD5"/>
    <w:rsid w:val="00A73E9D"/>
    <w:rsid w:val="00A7405A"/>
    <w:rsid w:val="00A74E60"/>
    <w:rsid w:val="00A7508B"/>
    <w:rsid w:val="00A7551D"/>
    <w:rsid w:val="00A7603C"/>
    <w:rsid w:val="00A778DD"/>
    <w:rsid w:val="00A77C50"/>
    <w:rsid w:val="00A81018"/>
    <w:rsid w:val="00A83099"/>
    <w:rsid w:val="00A8391E"/>
    <w:rsid w:val="00A84628"/>
    <w:rsid w:val="00A85196"/>
    <w:rsid w:val="00A85554"/>
    <w:rsid w:val="00A85CF5"/>
    <w:rsid w:val="00A85EA0"/>
    <w:rsid w:val="00A86119"/>
    <w:rsid w:val="00A86660"/>
    <w:rsid w:val="00A86F58"/>
    <w:rsid w:val="00A87235"/>
    <w:rsid w:val="00A905A3"/>
    <w:rsid w:val="00A905CB"/>
    <w:rsid w:val="00A90725"/>
    <w:rsid w:val="00A911C5"/>
    <w:rsid w:val="00A9219B"/>
    <w:rsid w:val="00A92F33"/>
    <w:rsid w:val="00A93F80"/>
    <w:rsid w:val="00A948EE"/>
    <w:rsid w:val="00A95271"/>
    <w:rsid w:val="00A957F1"/>
    <w:rsid w:val="00A9601F"/>
    <w:rsid w:val="00A96188"/>
    <w:rsid w:val="00AA01CD"/>
    <w:rsid w:val="00AA02CC"/>
    <w:rsid w:val="00AA05D7"/>
    <w:rsid w:val="00AA109F"/>
    <w:rsid w:val="00AA3188"/>
    <w:rsid w:val="00AA437D"/>
    <w:rsid w:val="00AA43B1"/>
    <w:rsid w:val="00AA4915"/>
    <w:rsid w:val="00AA5113"/>
    <w:rsid w:val="00AA602B"/>
    <w:rsid w:val="00AA720E"/>
    <w:rsid w:val="00AB19A7"/>
    <w:rsid w:val="00AB23CC"/>
    <w:rsid w:val="00AB362F"/>
    <w:rsid w:val="00AB3A55"/>
    <w:rsid w:val="00AB3C0E"/>
    <w:rsid w:val="00AB3E00"/>
    <w:rsid w:val="00AB4C18"/>
    <w:rsid w:val="00AB6ACA"/>
    <w:rsid w:val="00AB7A07"/>
    <w:rsid w:val="00AC113C"/>
    <w:rsid w:val="00AC2517"/>
    <w:rsid w:val="00AC268F"/>
    <w:rsid w:val="00AC39BF"/>
    <w:rsid w:val="00AC4AE5"/>
    <w:rsid w:val="00AC5203"/>
    <w:rsid w:val="00AC52E5"/>
    <w:rsid w:val="00AC5D9E"/>
    <w:rsid w:val="00AC6243"/>
    <w:rsid w:val="00AC6C08"/>
    <w:rsid w:val="00AC76EE"/>
    <w:rsid w:val="00AD0A37"/>
    <w:rsid w:val="00AD0F0E"/>
    <w:rsid w:val="00AD20A9"/>
    <w:rsid w:val="00AD2486"/>
    <w:rsid w:val="00AD2DC1"/>
    <w:rsid w:val="00AD2EE9"/>
    <w:rsid w:val="00AD3E4C"/>
    <w:rsid w:val="00AD48A7"/>
    <w:rsid w:val="00AD4EC3"/>
    <w:rsid w:val="00AD551B"/>
    <w:rsid w:val="00AD5E21"/>
    <w:rsid w:val="00AD6637"/>
    <w:rsid w:val="00AD71F4"/>
    <w:rsid w:val="00AD7816"/>
    <w:rsid w:val="00AD7FDB"/>
    <w:rsid w:val="00AE0F88"/>
    <w:rsid w:val="00AE1091"/>
    <w:rsid w:val="00AE1F70"/>
    <w:rsid w:val="00AE2089"/>
    <w:rsid w:val="00AE2CD4"/>
    <w:rsid w:val="00AE3CFC"/>
    <w:rsid w:val="00AE4BBF"/>
    <w:rsid w:val="00AE6B7D"/>
    <w:rsid w:val="00AE72C9"/>
    <w:rsid w:val="00AF0AF0"/>
    <w:rsid w:val="00AF11BF"/>
    <w:rsid w:val="00AF1FCE"/>
    <w:rsid w:val="00AF27F5"/>
    <w:rsid w:val="00AF2C4E"/>
    <w:rsid w:val="00AF3285"/>
    <w:rsid w:val="00AF3791"/>
    <w:rsid w:val="00AF41A6"/>
    <w:rsid w:val="00AF4204"/>
    <w:rsid w:val="00AF4767"/>
    <w:rsid w:val="00AF4C13"/>
    <w:rsid w:val="00AF4C69"/>
    <w:rsid w:val="00AF51C9"/>
    <w:rsid w:val="00AF72DA"/>
    <w:rsid w:val="00AF7EBD"/>
    <w:rsid w:val="00B00487"/>
    <w:rsid w:val="00B00802"/>
    <w:rsid w:val="00B02221"/>
    <w:rsid w:val="00B03587"/>
    <w:rsid w:val="00B03FE2"/>
    <w:rsid w:val="00B055EC"/>
    <w:rsid w:val="00B063A8"/>
    <w:rsid w:val="00B068CC"/>
    <w:rsid w:val="00B070E3"/>
    <w:rsid w:val="00B073BE"/>
    <w:rsid w:val="00B076D1"/>
    <w:rsid w:val="00B0787F"/>
    <w:rsid w:val="00B07C5C"/>
    <w:rsid w:val="00B100AF"/>
    <w:rsid w:val="00B10420"/>
    <w:rsid w:val="00B119E4"/>
    <w:rsid w:val="00B11A6E"/>
    <w:rsid w:val="00B11E83"/>
    <w:rsid w:val="00B11F0B"/>
    <w:rsid w:val="00B12407"/>
    <w:rsid w:val="00B124B7"/>
    <w:rsid w:val="00B125FE"/>
    <w:rsid w:val="00B131E2"/>
    <w:rsid w:val="00B145CC"/>
    <w:rsid w:val="00B1476D"/>
    <w:rsid w:val="00B1743A"/>
    <w:rsid w:val="00B174CD"/>
    <w:rsid w:val="00B17767"/>
    <w:rsid w:val="00B20700"/>
    <w:rsid w:val="00B20DAE"/>
    <w:rsid w:val="00B21049"/>
    <w:rsid w:val="00B22D2D"/>
    <w:rsid w:val="00B233D3"/>
    <w:rsid w:val="00B233FD"/>
    <w:rsid w:val="00B2346D"/>
    <w:rsid w:val="00B2787D"/>
    <w:rsid w:val="00B30676"/>
    <w:rsid w:val="00B30CCF"/>
    <w:rsid w:val="00B32EAF"/>
    <w:rsid w:val="00B341BC"/>
    <w:rsid w:val="00B34ACC"/>
    <w:rsid w:val="00B34DA0"/>
    <w:rsid w:val="00B3503B"/>
    <w:rsid w:val="00B35700"/>
    <w:rsid w:val="00B363A0"/>
    <w:rsid w:val="00B4060D"/>
    <w:rsid w:val="00B40D2D"/>
    <w:rsid w:val="00B4187A"/>
    <w:rsid w:val="00B420E2"/>
    <w:rsid w:val="00B42C5A"/>
    <w:rsid w:val="00B42F8B"/>
    <w:rsid w:val="00B43CE4"/>
    <w:rsid w:val="00B4456D"/>
    <w:rsid w:val="00B44CCA"/>
    <w:rsid w:val="00B46A23"/>
    <w:rsid w:val="00B46A4D"/>
    <w:rsid w:val="00B473B1"/>
    <w:rsid w:val="00B47CBC"/>
    <w:rsid w:val="00B5138F"/>
    <w:rsid w:val="00B5142C"/>
    <w:rsid w:val="00B53CC5"/>
    <w:rsid w:val="00B53E9F"/>
    <w:rsid w:val="00B54034"/>
    <w:rsid w:val="00B560F5"/>
    <w:rsid w:val="00B57AF4"/>
    <w:rsid w:val="00B6183D"/>
    <w:rsid w:val="00B618CF"/>
    <w:rsid w:val="00B62309"/>
    <w:rsid w:val="00B641A8"/>
    <w:rsid w:val="00B643BC"/>
    <w:rsid w:val="00B64C67"/>
    <w:rsid w:val="00B64EA2"/>
    <w:rsid w:val="00B65BFC"/>
    <w:rsid w:val="00B66840"/>
    <w:rsid w:val="00B67214"/>
    <w:rsid w:val="00B67236"/>
    <w:rsid w:val="00B67315"/>
    <w:rsid w:val="00B67E65"/>
    <w:rsid w:val="00B707F1"/>
    <w:rsid w:val="00B70914"/>
    <w:rsid w:val="00B70EE1"/>
    <w:rsid w:val="00B71716"/>
    <w:rsid w:val="00B72085"/>
    <w:rsid w:val="00B72962"/>
    <w:rsid w:val="00B72ACF"/>
    <w:rsid w:val="00B72DE5"/>
    <w:rsid w:val="00B75AA5"/>
    <w:rsid w:val="00B76701"/>
    <w:rsid w:val="00B76FA8"/>
    <w:rsid w:val="00B7779A"/>
    <w:rsid w:val="00B77AFB"/>
    <w:rsid w:val="00B806DE"/>
    <w:rsid w:val="00B808D9"/>
    <w:rsid w:val="00B813F2"/>
    <w:rsid w:val="00B82B9A"/>
    <w:rsid w:val="00B82CAD"/>
    <w:rsid w:val="00B83E2F"/>
    <w:rsid w:val="00B84934"/>
    <w:rsid w:val="00B8643C"/>
    <w:rsid w:val="00B87D0D"/>
    <w:rsid w:val="00B906C7"/>
    <w:rsid w:val="00B90EE3"/>
    <w:rsid w:val="00B9247E"/>
    <w:rsid w:val="00B92EE7"/>
    <w:rsid w:val="00B93127"/>
    <w:rsid w:val="00B937B0"/>
    <w:rsid w:val="00B94381"/>
    <w:rsid w:val="00B97697"/>
    <w:rsid w:val="00B97DC3"/>
    <w:rsid w:val="00B97FF1"/>
    <w:rsid w:val="00BA0E99"/>
    <w:rsid w:val="00BA1EB9"/>
    <w:rsid w:val="00BA2770"/>
    <w:rsid w:val="00BA28A3"/>
    <w:rsid w:val="00BA2AF7"/>
    <w:rsid w:val="00BA4251"/>
    <w:rsid w:val="00BA43B2"/>
    <w:rsid w:val="00BA43D0"/>
    <w:rsid w:val="00BA4DF3"/>
    <w:rsid w:val="00BA530C"/>
    <w:rsid w:val="00BA5C4C"/>
    <w:rsid w:val="00BA5EC7"/>
    <w:rsid w:val="00BA6549"/>
    <w:rsid w:val="00BA6906"/>
    <w:rsid w:val="00BB0D32"/>
    <w:rsid w:val="00BB1914"/>
    <w:rsid w:val="00BB218E"/>
    <w:rsid w:val="00BB28FE"/>
    <w:rsid w:val="00BB32EC"/>
    <w:rsid w:val="00BB3500"/>
    <w:rsid w:val="00BB3F7B"/>
    <w:rsid w:val="00BB44AA"/>
    <w:rsid w:val="00BB51EC"/>
    <w:rsid w:val="00BB6DA4"/>
    <w:rsid w:val="00BB7E8E"/>
    <w:rsid w:val="00BC1785"/>
    <w:rsid w:val="00BC1B53"/>
    <w:rsid w:val="00BC323E"/>
    <w:rsid w:val="00BC3E60"/>
    <w:rsid w:val="00BC4C5E"/>
    <w:rsid w:val="00BD0417"/>
    <w:rsid w:val="00BD1447"/>
    <w:rsid w:val="00BD14DF"/>
    <w:rsid w:val="00BD21BF"/>
    <w:rsid w:val="00BD3A21"/>
    <w:rsid w:val="00BD43F8"/>
    <w:rsid w:val="00BD5E16"/>
    <w:rsid w:val="00BD6F2C"/>
    <w:rsid w:val="00BD72DB"/>
    <w:rsid w:val="00BD7644"/>
    <w:rsid w:val="00BD779F"/>
    <w:rsid w:val="00BE01DD"/>
    <w:rsid w:val="00BE03A2"/>
    <w:rsid w:val="00BE121B"/>
    <w:rsid w:val="00BE1792"/>
    <w:rsid w:val="00BE23C5"/>
    <w:rsid w:val="00BE3044"/>
    <w:rsid w:val="00BE3677"/>
    <w:rsid w:val="00BE3F90"/>
    <w:rsid w:val="00BE4969"/>
    <w:rsid w:val="00BE4C7E"/>
    <w:rsid w:val="00BF1485"/>
    <w:rsid w:val="00BF158E"/>
    <w:rsid w:val="00BF1943"/>
    <w:rsid w:val="00BF3064"/>
    <w:rsid w:val="00BF3CF2"/>
    <w:rsid w:val="00BF3F1F"/>
    <w:rsid w:val="00BF4464"/>
    <w:rsid w:val="00BF5031"/>
    <w:rsid w:val="00BF576A"/>
    <w:rsid w:val="00BF5E52"/>
    <w:rsid w:val="00BF6006"/>
    <w:rsid w:val="00BF6B25"/>
    <w:rsid w:val="00C003C2"/>
    <w:rsid w:val="00C003E1"/>
    <w:rsid w:val="00C01338"/>
    <w:rsid w:val="00C01AEE"/>
    <w:rsid w:val="00C03A3D"/>
    <w:rsid w:val="00C04AA0"/>
    <w:rsid w:val="00C05621"/>
    <w:rsid w:val="00C056A1"/>
    <w:rsid w:val="00C05A5B"/>
    <w:rsid w:val="00C068BC"/>
    <w:rsid w:val="00C10A11"/>
    <w:rsid w:val="00C10CBD"/>
    <w:rsid w:val="00C11EF4"/>
    <w:rsid w:val="00C122FA"/>
    <w:rsid w:val="00C128E2"/>
    <w:rsid w:val="00C12F7C"/>
    <w:rsid w:val="00C13258"/>
    <w:rsid w:val="00C1330D"/>
    <w:rsid w:val="00C13A61"/>
    <w:rsid w:val="00C144E9"/>
    <w:rsid w:val="00C15C08"/>
    <w:rsid w:val="00C162CC"/>
    <w:rsid w:val="00C16342"/>
    <w:rsid w:val="00C177DD"/>
    <w:rsid w:val="00C17E87"/>
    <w:rsid w:val="00C17F4A"/>
    <w:rsid w:val="00C21B4D"/>
    <w:rsid w:val="00C23150"/>
    <w:rsid w:val="00C24B69"/>
    <w:rsid w:val="00C25140"/>
    <w:rsid w:val="00C255FE"/>
    <w:rsid w:val="00C26761"/>
    <w:rsid w:val="00C276FE"/>
    <w:rsid w:val="00C2798A"/>
    <w:rsid w:val="00C3074F"/>
    <w:rsid w:val="00C30B80"/>
    <w:rsid w:val="00C30D2E"/>
    <w:rsid w:val="00C312C0"/>
    <w:rsid w:val="00C314B1"/>
    <w:rsid w:val="00C31AAB"/>
    <w:rsid w:val="00C31AEF"/>
    <w:rsid w:val="00C31FC6"/>
    <w:rsid w:val="00C33F7A"/>
    <w:rsid w:val="00C34814"/>
    <w:rsid w:val="00C35794"/>
    <w:rsid w:val="00C3658A"/>
    <w:rsid w:val="00C41613"/>
    <w:rsid w:val="00C4457A"/>
    <w:rsid w:val="00C45554"/>
    <w:rsid w:val="00C45B39"/>
    <w:rsid w:val="00C45FBE"/>
    <w:rsid w:val="00C45FCB"/>
    <w:rsid w:val="00C46FD0"/>
    <w:rsid w:val="00C4789E"/>
    <w:rsid w:val="00C478EE"/>
    <w:rsid w:val="00C505C9"/>
    <w:rsid w:val="00C5149E"/>
    <w:rsid w:val="00C52691"/>
    <w:rsid w:val="00C52A1A"/>
    <w:rsid w:val="00C53108"/>
    <w:rsid w:val="00C53A55"/>
    <w:rsid w:val="00C5533C"/>
    <w:rsid w:val="00C55ED7"/>
    <w:rsid w:val="00C57584"/>
    <w:rsid w:val="00C575A4"/>
    <w:rsid w:val="00C6078B"/>
    <w:rsid w:val="00C60FFC"/>
    <w:rsid w:val="00C6211B"/>
    <w:rsid w:val="00C64E41"/>
    <w:rsid w:val="00C64F1C"/>
    <w:rsid w:val="00C651DF"/>
    <w:rsid w:val="00C652D3"/>
    <w:rsid w:val="00C6551B"/>
    <w:rsid w:val="00C65569"/>
    <w:rsid w:val="00C65D81"/>
    <w:rsid w:val="00C66A6B"/>
    <w:rsid w:val="00C67704"/>
    <w:rsid w:val="00C7092D"/>
    <w:rsid w:val="00C70BE9"/>
    <w:rsid w:val="00C722A6"/>
    <w:rsid w:val="00C73A18"/>
    <w:rsid w:val="00C73C93"/>
    <w:rsid w:val="00C74542"/>
    <w:rsid w:val="00C745EC"/>
    <w:rsid w:val="00C77635"/>
    <w:rsid w:val="00C77AF7"/>
    <w:rsid w:val="00C8032A"/>
    <w:rsid w:val="00C80675"/>
    <w:rsid w:val="00C80E08"/>
    <w:rsid w:val="00C81486"/>
    <w:rsid w:val="00C81EA9"/>
    <w:rsid w:val="00C82F1F"/>
    <w:rsid w:val="00C83CAD"/>
    <w:rsid w:val="00C83E3F"/>
    <w:rsid w:val="00C846E1"/>
    <w:rsid w:val="00C8695D"/>
    <w:rsid w:val="00C86A40"/>
    <w:rsid w:val="00C91B8D"/>
    <w:rsid w:val="00C9296E"/>
    <w:rsid w:val="00C92FD4"/>
    <w:rsid w:val="00C93592"/>
    <w:rsid w:val="00C95251"/>
    <w:rsid w:val="00C95FC3"/>
    <w:rsid w:val="00C96399"/>
    <w:rsid w:val="00C96BFA"/>
    <w:rsid w:val="00C97C45"/>
    <w:rsid w:val="00CA0643"/>
    <w:rsid w:val="00CA0C1C"/>
    <w:rsid w:val="00CA20F7"/>
    <w:rsid w:val="00CA2A1D"/>
    <w:rsid w:val="00CA2B9B"/>
    <w:rsid w:val="00CA3391"/>
    <w:rsid w:val="00CA53DE"/>
    <w:rsid w:val="00CA6173"/>
    <w:rsid w:val="00CA7995"/>
    <w:rsid w:val="00CB0A1F"/>
    <w:rsid w:val="00CB0B4E"/>
    <w:rsid w:val="00CB12EB"/>
    <w:rsid w:val="00CB2075"/>
    <w:rsid w:val="00CB257A"/>
    <w:rsid w:val="00CB2E98"/>
    <w:rsid w:val="00CB3769"/>
    <w:rsid w:val="00CB4E7B"/>
    <w:rsid w:val="00CB50E2"/>
    <w:rsid w:val="00CB5BFB"/>
    <w:rsid w:val="00CB6131"/>
    <w:rsid w:val="00CB6356"/>
    <w:rsid w:val="00CB65E4"/>
    <w:rsid w:val="00CB6CC3"/>
    <w:rsid w:val="00CB7F14"/>
    <w:rsid w:val="00CC0119"/>
    <w:rsid w:val="00CC0AD5"/>
    <w:rsid w:val="00CC1D7F"/>
    <w:rsid w:val="00CC2447"/>
    <w:rsid w:val="00CC3436"/>
    <w:rsid w:val="00CC3B2B"/>
    <w:rsid w:val="00CD0199"/>
    <w:rsid w:val="00CD01A9"/>
    <w:rsid w:val="00CD0B54"/>
    <w:rsid w:val="00CD0F69"/>
    <w:rsid w:val="00CD157D"/>
    <w:rsid w:val="00CD1851"/>
    <w:rsid w:val="00CD1BC9"/>
    <w:rsid w:val="00CD34ED"/>
    <w:rsid w:val="00CD3BAF"/>
    <w:rsid w:val="00CD3CCB"/>
    <w:rsid w:val="00CD747D"/>
    <w:rsid w:val="00CE01CA"/>
    <w:rsid w:val="00CE0AD2"/>
    <w:rsid w:val="00CE0B3A"/>
    <w:rsid w:val="00CE1131"/>
    <w:rsid w:val="00CE180E"/>
    <w:rsid w:val="00CE206A"/>
    <w:rsid w:val="00CE34DF"/>
    <w:rsid w:val="00CE3874"/>
    <w:rsid w:val="00CE4240"/>
    <w:rsid w:val="00CE4A7D"/>
    <w:rsid w:val="00CE50FE"/>
    <w:rsid w:val="00CE5D1D"/>
    <w:rsid w:val="00CE6156"/>
    <w:rsid w:val="00CE6286"/>
    <w:rsid w:val="00CE62F0"/>
    <w:rsid w:val="00CE689E"/>
    <w:rsid w:val="00CE6AA3"/>
    <w:rsid w:val="00CE7FCA"/>
    <w:rsid w:val="00CF08D2"/>
    <w:rsid w:val="00CF12C2"/>
    <w:rsid w:val="00CF21C5"/>
    <w:rsid w:val="00CF26F1"/>
    <w:rsid w:val="00CF26F4"/>
    <w:rsid w:val="00CF271A"/>
    <w:rsid w:val="00CF303A"/>
    <w:rsid w:val="00CF404F"/>
    <w:rsid w:val="00CF45C0"/>
    <w:rsid w:val="00CF587C"/>
    <w:rsid w:val="00CF6111"/>
    <w:rsid w:val="00CF69C2"/>
    <w:rsid w:val="00CF6DEF"/>
    <w:rsid w:val="00CF7A6D"/>
    <w:rsid w:val="00D00514"/>
    <w:rsid w:val="00D0056C"/>
    <w:rsid w:val="00D023C5"/>
    <w:rsid w:val="00D03574"/>
    <w:rsid w:val="00D04602"/>
    <w:rsid w:val="00D05005"/>
    <w:rsid w:val="00D0519E"/>
    <w:rsid w:val="00D0606D"/>
    <w:rsid w:val="00D06A69"/>
    <w:rsid w:val="00D06ECA"/>
    <w:rsid w:val="00D078B8"/>
    <w:rsid w:val="00D10B66"/>
    <w:rsid w:val="00D112C7"/>
    <w:rsid w:val="00D11F30"/>
    <w:rsid w:val="00D130FB"/>
    <w:rsid w:val="00D146C3"/>
    <w:rsid w:val="00D15B6A"/>
    <w:rsid w:val="00D16024"/>
    <w:rsid w:val="00D17AE1"/>
    <w:rsid w:val="00D20317"/>
    <w:rsid w:val="00D21116"/>
    <w:rsid w:val="00D21D1E"/>
    <w:rsid w:val="00D22517"/>
    <w:rsid w:val="00D228AD"/>
    <w:rsid w:val="00D228C3"/>
    <w:rsid w:val="00D234A0"/>
    <w:rsid w:val="00D245A0"/>
    <w:rsid w:val="00D25CFD"/>
    <w:rsid w:val="00D26510"/>
    <w:rsid w:val="00D26913"/>
    <w:rsid w:val="00D2751D"/>
    <w:rsid w:val="00D27A35"/>
    <w:rsid w:val="00D318A7"/>
    <w:rsid w:val="00D324FE"/>
    <w:rsid w:val="00D33F3E"/>
    <w:rsid w:val="00D353ED"/>
    <w:rsid w:val="00D3647F"/>
    <w:rsid w:val="00D37089"/>
    <w:rsid w:val="00D40589"/>
    <w:rsid w:val="00D41418"/>
    <w:rsid w:val="00D42EB1"/>
    <w:rsid w:val="00D43985"/>
    <w:rsid w:val="00D439C9"/>
    <w:rsid w:val="00D43E6E"/>
    <w:rsid w:val="00D442FF"/>
    <w:rsid w:val="00D44636"/>
    <w:rsid w:val="00D45054"/>
    <w:rsid w:val="00D455A1"/>
    <w:rsid w:val="00D45C2F"/>
    <w:rsid w:val="00D46020"/>
    <w:rsid w:val="00D46223"/>
    <w:rsid w:val="00D46CFB"/>
    <w:rsid w:val="00D501CA"/>
    <w:rsid w:val="00D505BB"/>
    <w:rsid w:val="00D5090D"/>
    <w:rsid w:val="00D517D3"/>
    <w:rsid w:val="00D53B06"/>
    <w:rsid w:val="00D56BE1"/>
    <w:rsid w:val="00D56DC8"/>
    <w:rsid w:val="00D57372"/>
    <w:rsid w:val="00D577E4"/>
    <w:rsid w:val="00D57CD3"/>
    <w:rsid w:val="00D6032B"/>
    <w:rsid w:val="00D6070B"/>
    <w:rsid w:val="00D60726"/>
    <w:rsid w:val="00D621C6"/>
    <w:rsid w:val="00D62347"/>
    <w:rsid w:val="00D62BAC"/>
    <w:rsid w:val="00D6348C"/>
    <w:rsid w:val="00D63715"/>
    <w:rsid w:val="00D65DF1"/>
    <w:rsid w:val="00D66412"/>
    <w:rsid w:val="00D714D3"/>
    <w:rsid w:val="00D71872"/>
    <w:rsid w:val="00D71C33"/>
    <w:rsid w:val="00D72738"/>
    <w:rsid w:val="00D72A4C"/>
    <w:rsid w:val="00D744E4"/>
    <w:rsid w:val="00D76255"/>
    <w:rsid w:val="00D7630E"/>
    <w:rsid w:val="00D80099"/>
    <w:rsid w:val="00D83408"/>
    <w:rsid w:val="00D835CB"/>
    <w:rsid w:val="00D83694"/>
    <w:rsid w:val="00D83B31"/>
    <w:rsid w:val="00D83DE0"/>
    <w:rsid w:val="00D84142"/>
    <w:rsid w:val="00D8477E"/>
    <w:rsid w:val="00D84DC2"/>
    <w:rsid w:val="00D86350"/>
    <w:rsid w:val="00D904AD"/>
    <w:rsid w:val="00D906FF"/>
    <w:rsid w:val="00D91A95"/>
    <w:rsid w:val="00D91DDB"/>
    <w:rsid w:val="00D920DD"/>
    <w:rsid w:val="00D929EE"/>
    <w:rsid w:val="00D9412A"/>
    <w:rsid w:val="00D95EBC"/>
    <w:rsid w:val="00D963E8"/>
    <w:rsid w:val="00D97999"/>
    <w:rsid w:val="00DA0864"/>
    <w:rsid w:val="00DA1A64"/>
    <w:rsid w:val="00DA2515"/>
    <w:rsid w:val="00DA28D1"/>
    <w:rsid w:val="00DA2A03"/>
    <w:rsid w:val="00DA2BF7"/>
    <w:rsid w:val="00DA2DA8"/>
    <w:rsid w:val="00DA2E80"/>
    <w:rsid w:val="00DA389A"/>
    <w:rsid w:val="00DA4723"/>
    <w:rsid w:val="00DA4A76"/>
    <w:rsid w:val="00DA4D53"/>
    <w:rsid w:val="00DA61F3"/>
    <w:rsid w:val="00DA718C"/>
    <w:rsid w:val="00DA746A"/>
    <w:rsid w:val="00DA74C7"/>
    <w:rsid w:val="00DA7BE6"/>
    <w:rsid w:val="00DB08DB"/>
    <w:rsid w:val="00DB13C7"/>
    <w:rsid w:val="00DB1426"/>
    <w:rsid w:val="00DB158D"/>
    <w:rsid w:val="00DB238C"/>
    <w:rsid w:val="00DB41CD"/>
    <w:rsid w:val="00DB473A"/>
    <w:rsid w:val="00DB507A"/>
    <w:rsid w:val="00DB507B"/>
    <w:rsid w:val="00DB5617"/>
    <w:rsid w:val="00DB69A1"/>
    <w:rsid w:val="00DC0942"/>
    <w:rsid w:val="00DC09B4"/>
    <w:rsid w:val="00DC100D"/>
    <w:rsid w:val="00DC1ECF"/>
    <w:rsid w:val="00DC2856"/>
    <w:rsid w:val="00DC3AD2"/>
    <w:rsid w:val="00DC47E1"/>
    <w:rsid w:val="00DC5ECC"/>
    <w:rsid w:val="00DC620D"/>
    <w:rsid w:val="00DC6D02"/>
    <w:rsid w:val="00DC6E71"/>
    <w:rsid w:val="00DC7DAB"/>
    <w:rsid w:val="00DD0973"/>
    <w:rsid w:val="00DD09EA"/>
    <w:rsid w:val="00DD0D96"/>
    <w:rsid w:val="00DD1965"/>
    <w:rsid w:val="00DD28A5"/>
    <w:rsid w:val="00DD295B"/>
    <w:rsid w:val="00DD2B4C"/>
    <w:rsid w:val="00DD4211"/>
    <w:rsid w:val="00DD5CB5"/>
    <w:rsid w:val="00DD6D6F"/>
    <w:rsid w:val="00DD7032"/>
    <w:rsid w:val="00DD7DFE"/>
    <w:rsid w:val="00DE02FF"/>
    <w:rsid w:val="00DE0415"/>
    <w:rsid w:val="00DE227C"/>
    <w:rsid w:val="00DE240B"/>
    <w:rsid w:val="00DE243E"/>
    <w:rsid w:val="00DE2ABA"/>
    <w:rsid w:val="00DE3447"/>
    <w:rsid w:val="00DE398D"/>
    <w:rsid w:val="00DE4F12"/>
    <w:rsid w:val="00DE5334"/>
    <w:rsid w:val="00DE596D"/>
    <w:rsid w:val="00DE6C49"/>
    <w:rsid w:val="00DE7B9D"/>
    <w:rsid w:val="00DF0FF1"/>
    <w:rsid w:val="00DF12DF"/>
    <w:rsid w:val="00DF2048"/>
    <w:rsid w:val="00DF348C"/>
    <w:rsid w:val="00DF4678"/>
    <w:rsid w:val="00DF4860"/>
    <w:rsid w:val="00DF5C7E"/>
    <w:rsid w:val="00DF5F5C"/>
    <w:rsid w:val="00DF5F60"/>
    <w:rsid w:val="00DF600A"/>
    <w:rsid w:val="00DF6267"/>
    <w:rsid w:val="00DF7F3C"/>
    <w:rsid w:val="00E00AA0"/>
    <w:rsid w:val="00E02A19"/>
    <w:rsid w:val="00E03158"/>
    <w:rsid w:val="00E03D63"/>
    <w:rsid w:val="00E041DA"/>
    <w:rsid w:val="00E04DCC"/>
    <w:rsid w:val="00E0590B"/>
    <w:rsid w:val="00E05AA3"/>
    <w:rsid w:val="00E05FDC"/>
    <w:rsid w:val="00E06120"/>
    <w:rsid w:val="00E0616E"/>
    <w:rsid w:val="00E06E3A"/>
    <w:rsid w:val="00E07823"/>
    <w:rsid w:val="00E07982"/>
    <w:rsid w:val="00E10449"/>
    <w:rsid w:val="00E12574"/>
    <w:rsid w:val="00E12646"/>
    <w:rsid w:val="00E13605"/>
    <w:rsid w:val="00E14150"/>
    <w:rsid w:val="00E142E0"/>
    <w:rsid w:val="00E15E4B"/>
    <w:rsid w:val="00E15F53"/>
    <w:rsid w:val="00E171EE"/>
    <w:rsid w:val="00E17F58"/>
    <w:rsid w:val="00E21001"/>
    <w:rsid w:val="00E21729"/>
    <w:rsid w:val="00E22522"/>
    <w:rsid w:val="00E2292C"/>
    <w:rsid w:val="00E23930"/>
    <w:rsid w:val="00E242FD"/>
    <w:rsid w:val="00E24C9B"/>
    <w:rsid w:val="00E25678"/>
    <w:rsid w:val="00E263CB"/>
    <w:rsid w:val="00E30277"/>
    <w:rsid w:val="00E30BA5"/>
    <w:rsid w:val="00E325DE"/>
    <w:rsid w:val="00E32B24"/>
    <w:rsid w:val="00E34967"/>
    <w:rsid w:val="00E35E0E"/>
    <w:rsid w:val="00E36CF6"/>
    <w:rsid w:val="00E375AF"/>
    <w:rsid w:val="00E3771A"/>
    <w:rsid w:val="00E41D44"/>
    <w:rsid w:val="00E42F20"/>
    <w:rsid w:val="00E44790"/>
    <w:rsid w:val="00E447DF"/>
    <w:rsid w:val="00E448DD"/>
    <w:rsid w:val="00E467AB"/>
    <w:rsid w:val="00E468E0"/>
    <w:rsid w:val="00E46CD1"/>
    <w:rsid w:val="00E46CD5"/>
    <w:rsid w:val="00E46D6D"/>
    <w:rsid w:val="00E473FF"/>
    <w:rsid w:val="00E507AA"/>
    <w:rsid w:val="00E511C5"/>
    <w:rsid w:val="00E51270"/>
    <w:rsid w:val="00E516E7"/>
    <w:rsid w:val="00E51DA6"/>
    <w:rsid w:val="00E52465"/>
    <w:rsid w:val="00E53080"/>
    <w:rsid w:val="00E534F7"/>
    <w:rsid w:val="00E543BA"/>
    <w:rsid w:val="00E54B79"/>
    <w:rsid w:val="00E55950"/>
    <w:rsid w:val="00E55D8E"/>
    <w:rsid w:val="00E5682E"/>
    <w:rsid w:val="00E571D6"/>
    <w:rsid w:val="00E576CC"/>
    <w:rsid w:val="00E57AD6"/>
    <w:rsid w:val="00E60429"/>
    <w:rsid w:val="00E606F6"/>
    <w:rsid w:val="00E60E66"/>
    <w:rsid w:val="00E612F9"/>
    <w:rsid w:val="00E64A40"/>
    <w:rsid w:val="00E654BA"/>
    <w:rsid w:val="00E67405"/>
    <w:rsid w:val="00E67888"/>
    <w:rsid w:val="00E67ABC"/>
    <w:rsid w:val="00E7013F"/>
    <w:rsid w:val="00E71005"/>
    <w:rsid w:val="00E731F7"/>
    <w:rsid w:val="00E73448"/>
    <w:rsid w:val="00E739D1"/>
    <w:rsid w:val="00E73F43"/>
    <w:rsid w:val="00E750C9"/>
    <w:rsid w:val="00E7544E"/>
    <w:rsid w:val="00E7563A"/>
    <w:rsid w:val="00E75B2F"/>
    <w:rsid w:val="00E767DE"/>
    <w:rsid w:val="00E771FA"/>
    <w:rsid w:val="00E80A3D"/>
    <w:rsid w:val="00E811FC"/>
    <w:rsid w:val="00E820BF"/>
    <w:rsid w:val="00E82C6A"/>
    <w:rsid w:val="00E82CBA"/>
    <w:rsid w:val="00E83329"/>
    <w:rsid w:val="00E84074"/>
    <w:rsid w:val="00E84376"/>
    <w:rsid w:val="00E84AD4"/>
    <w:rsid w:val="00E85151"/>
    <w:rsid w:val="00E87400"/>
    <w:rsid w:val="00E903C8"/>
    <w:rsid w:val="00E9049F"/>
    <w:rsid w:val="00E90E7A"/>
    <w:rsid w:val="00E9154E"/>
    <w:rsid w:val="00E92549"/>
    <w:rsid w:val="00E92CC4"/>
    <w:rsid w:val="00E93712"/>
    <w:rsid w:val="00E93F5B"/>
    <w:rsid w:val="00E94446"/>
    <w:rsid w:val="00E94584"/>
    <w:rsid w:val="00E94698"/>
    <w:rsid w:val="00E9486C"/>
    <w:rsid w:val="00E952AD"/>
    <w:rsid w:val="00E95A2D"/>
    <w:rsid w:val="00E97239"/>
    <w:rsid w:val="00E973F9"/>
    <w:rsid w:val="00EA052F"/>
    <w:rsid w:val="00EA1C98"/>
    <w:rsid w:val="00EA22CF"/>
    <w:rsid w:val="00EA55B5"/>
    <w:rsid w:val="00EA64D8"/>
    <w:rsid w:val="00EA6A0F"/>
    <w:rsid w:val="00EA6D2D"/>
    <w:rsid w:val="00EA6DE2"/>
    <w:rsid w:val="00EA704D"/>
    <w:rsid w:val="00EA73BE"/>
    <w:rsid w:val="00EA74CC"/>
    <w:rsid w:val="00EB0543"/>
    <w:rsid w:val="00EB0993"/>
    <w:rsid w:val="00EB0D3A"/>
    <w:rsid w:val="00EB19E8"/>
    <w:rsid w:val="00EB1C74"/>
    <w:rsid w:val="00EB20BD"/>
    <w:rsid w:val="00EB27DC"/>
    <w:rsid w:val="00EB31D7"/>
    <w:rsid w:val="00EB3382"/>
    <w:rsid w:val="00EB3781"/>
    <w:rsid w:val="00EB3959"/>
    <w:rsid w:val="00EB3F67"/>
    <w:rsid w:val="00EB5D54"/>
    <w:rsid w:val="00EC0306"/>
    <w:rsid w:val="00EC0D07"/>
    <w:rsid w:val="00EC23DE"/>
    <w:rsid w:val="00EC25CA"/>
    <w:rsid w:val="00EC2CA2"/>
    <w:rsid w:val="00EC3FE8"/>
    <w:rsid w:val="00EC5696"/>
    <w:rsid w:val="00EC726E"/>
    <w:rsid w:val="00ED053B"/>
    <w:rsid w:val="00ED0E7E"/>
    <w:rsid w:val="00ED1CC3"/>
    <w:rsid w:val="00ED2570"/>
    <w:rsid w:val="00ED2CDD"/>
    <w:rsid w:val="00ED410A"/>
    <w:rsid w:val="00ED4CB4"/>
    <w:rsid w:val="00ED4D6F"/>
    <w:rsid w:val="00ED6271"/>
    <w:rsid w:val="00ED688A"/>
    <w:rsid w:val="00ED7172"/>
    <w:rsid w:val="00ED7E9F"/>
    <w:rsid w:val="00EE052D"/>
    <w:rsid w:val="00EE0EC8"/>
    <w:rsid w:val="00EE188A"/>
    <w:rsid w:val="00EE2217"/>
    <w:rsid w:val="00EE4A4B"/>
    <w:rsid w:val="00EE542A"/>
    <w:rsid w:val="00EE6943"/>
    <w:rsid w:val="00EE6F56"/>
    <w:rsid w:val="00EE7710"/>
    <w:rsid w:val="00EE77AD"/>
    <w:rsid w:val="00EE7A2E"/>
    <w:rsid w:val="00EE7CBC"/>
    <w:rsid w:val="00EF08BC"/>
    <w:rsid w:val="00EF1416"/>
    <w:rsid w:val="00EF1568"/>
    <w:rsid w:val="00EF2336"/>
    <w:rsid w:val="00EF2898"/>
    <w:rsid w:val="00EF30FD"/>
    <w:rsid w:val="00EF3BB1"/>
    <w:rsid w:val="00EF3BC9"/>
    <w:rsid w:val="00EF45C9"/>
    <w:rsid w:val="00EF46D7"/>
    <w:rsid w:val="00EF52DB"/>
    <w:rsid w:val="00EF578B"/>
    <w:rsid w:val="00EF5E20"/>
    <w:rsid w:val="00F005DC"/>
    <w:rsid w:val="00F00F93"/>
    <w:rsid w:val="00F0108A"/>
    <w:rsid w:val="00F01889"/>
    <w:rsid w:val="00F01ACB"/>
    <w:rsid w:val="00F02411"/>
    <w:rsid w:val="00F026E7"/>
    <w:rsid w:val="00F02C3F"/>
    <w:rsid w:val="00F02EA3"/>
    <w:rsid w:val="00F0396C"/>
    <w:rsid w:val="00F04AAD"/>
    <w:rsid w:val="00F04CCD"/>
    <w:rsid w:val="00F1078D"/>
    <w:rsid w:val="00F11BF2"/>
    <w:rsid w:val="00F12F94"/>
    <w:rsid w:val="00F12F97"/>
    <w:rsid w:val="00F1391A"/>
    <w:rsid w:val="00F13FEE"/>
    <w:rsid w:val="00F14306"/>
    <w:rsid w:val="00F15038"/>
    <w:rsid w:val="00F151DC"/>
    <w:rsid w:val="00F1529B"/>
    <w:rsid w:val="00F16D34"/>
    <w:rsid w:val="00F17A73"/>
    <w:rsid w:val="00F20374"/>
    <w:rsid w:val="00F20524"/>
    <w:rsid w:val="00F21BCD"/>
    <w:rsid w:val="00F2217E"/>
    <w:rsid w:val="00F23AC3"/>
    <w:rsid w:val="00F24089"/>
    <w:rsid w:val="00F24CC3"/>
    <w:rsid w:val="00F257B1"/>
    <w:rsid w:val="00F26227"/>
    <w:rsid w:val="00F263AB"/>
    <w:rsid w:val="00F264DE"/>
    <w:rsid w:val="00F26505"/>
    <w:rsid w:val="00F304C7"/>
    <w:rsid w:val="00F30AA3"/>
    <w:rsid w:val="00F30D60"/>
    <w:rsid w:val="00F30FC2"/>
    <w:rsid w:val="00F3205D"/>
    <w:rsid w:val="00F32D83"/>
    <w:rsid w:val="00F32FF9"/>
    <w:rsid w:val="00F33B74"/>
    <w:rsid w:val="00F346C4"/>
    <w:rsid w:val="00F348CF"/>
    <w:rsid w:val="00F349C9"/>
    <w:rsid w:val="00F35201"/>
    <w:rsid w:val="00F355D9"/>
    <w:rsid w:val="00F3582B"/>
    <w:rsid w:val="00F35CC6"/>
    <w:rsid w:val="00F35F1B"/>
    <w:rsid w:val="00F362D2"/>
    <w:rsid w:val="00F40589"/>
    <w:rsid w:val="00F411A6"/>
    <w:rsid w:val="00F4174A"/>
    <w:rsid w:val="00F41BB5"/>
    <w:rsid w:val="00F4218E"/>
    <w:rsid w:val="00F421CA"/>
    <w:rsid w:val="00F42446"/>
    <w:rsid w:val="00F429AE"/>
    <w:rsid w:val="00F43CBA"/>
    <w:rsid w:val="00F44E5B"/>
    <w:rsid w:val="00F45C98"/>
    <w:rsid w:val="00F45F1B"/>
    <w:rsid w:val="00F465A0"/>
    <w:rsid w:val="00F51B5F"/>
    <w:rsid w:val="00F51E9A"/>
    <w:rsid w:val="00F5273C"/>
    <w:rsid w:val="00F53388"/>
    <w:rsid w:val="00F53654"/>
    <w:rsid w:val="00F53913"/>
    <w:rsid w:val="00F539B4"/>
    <w:rsid w:val="00F56413"/>
    <w:rsid w:val="00F5678F"/>
    <w:rsid w:val="00F5706B"/>
    <w:rsid w:val="00F577A0"/>
    <w:rsid w:val="00F579BF"/>
    <w:rsid w:val="00F60066"/>
    <w:rsid w:val="00F6106E"/>
    <w:rsid w:val="00F62AF8"/>
    <w:rsid w:val="00F62B86"/>
    <w:rsid w:val="00F62DE9"/>
    <w:rsid w:val="00F6389D"/>
    <w:rsid w:val="00F63EA8"/>
    <w:rsid w:val="00F64264"/>
    <w:rsid w:val="00F66BCE"/>
    <w:rsid w:val="00F7072A"/>
    <w:rsid w:val="00F708BF"/>
    <w:rsid w:val="00F709F5"/>
    <w:rsid w:val="00F71A7B"/>
    <w:rsid w:val="00F72365"/>
    <w:rsid w:val="00F728B8"/>
    <w:rsid w:val="00F72E92"/>
    <w:rsid w:val="00F73BF5"/>
    <w:rsid w:val="00F74768"/>
    <w:rsid w:val="00F7499D"/>
    <w:rsid w:val="00F75639"/>
    <w:rsid w:val="00F75E1B"/>
    <w:rsid w:val="00F77977"/>
    <w:rsid w:val="00F77C58"/>
    <w:rsid w:val="00F80374"/>
    <w:rsid w:val="00F825B9"/>
    <w:rsid w:val="00F82F31"/>
    <w:rsid w:val="00F830F7"/>
    <w:rsid w:val="00F83143"/>
    <w:rsid w:val="00F83FA6"/>
    <w:rsid w:val="00F841F8"/>
    <w:rsid w:val="00F845B6"/>
    <w:rsid w:val="00F85083"/>
    <w:rsid w:val="00F871A1"/>
    <w:rsid w:val="00F87E3B"/>
    <w:rsid w:val="00F9115D"/>
    <w:rsid w:val="00F9150A"/>
    <w:rsid w:val="00F92953"/>
    <w:rsid w:val="00F92B0A"/>
    <w:rsid w:val="00F93A89"/>
    <w:rsid w:val="00F9463D"/>
    <w:rsid w:val="00F950FE"/>
    <w:rsid w:val="00F95173"/>
    <w:rsid w:val="00F95700"/>
    <w:rsid w:val="00F95CE0"/>
    <w:rsid w:val="00F96166"/>
    <w:rsid w:val="00F96224"/>
    <w:rsid w:val="00FA0DD0"/>
    <w:rsid w:val="00FA2634"/>
    <w:rsid w:val="00FA2715"/>
    <w:rsid w:val="00FA276C"/>
    <w:rsid w:val="00FA46F0"/>
    <w:rsid w:val="00FA4ACE"/>
    <w:rsid w:val="00FA6692"/>
    <w:rsid w:val="00FA709D"/>
    <w:rsid w:val="00FA716A"/>
    <w:rsid w:val="00FA7441"/>
    <w:rsid w:val="00FA765F"/>
    <w:rsid w:val="00FB0C46"/>
    <w:rsid w:val="00FB11FB"/>
    <w:rsid w:val="00FB1623"/>
    <w:rsid w:val="00FB2216"/>
    <w:rsid w:val="00FB3DE8"/>
    <w:rsid w:val="00FB3E2E"/>
    <w:rsid w:val="00FB4122"/>
    <w:rsid w:val="00FB4C3A"/>
    <w:rsid w:val="00FB5E52"/>
    <w:rsid w:val="00FB6AA0"/>
    <w:rsid w:val="00FB6E66"/>
    <w:rsid w:val="00FB7293"/>
    <w:rsid w:val="00FB7555"/>
    <w:rsid w:val="00FC01CD"/>
    <w:rsid w:val="00FC102A"/>
    <w:rsid w:val="00FC21BE"/>
    <w:rsid w:val="00FC4197"/>
    <w:rsid w:val="00FC4ADA"/>
    <w:rsid w:val="00FC4D7B"/>
    <w:rsid w:val="00FC64CD"/>
    <w:rsid w:val="00FC7FD4"/>
    <w:rsid w:val="00FD1581"/>
    <w:rsid w:val="00FD319C"/>
    <w:rsid w:val="00FD402E"/>
    <w:rsid w:val="00FD4EC3"/>
    <w:rsid w:val="00FD5440"/>
    <w:rsid w:val="00FD5CFF"/>
    <w:rsid w:val="00FD6162"/>
    <w:rsid w:val="00FD65E3"/>
    <w:rsid w:val="00FD6954"/>
    <w:rsid w:val="00FD697B"/>
    <w:rsid w:val="00FD7831"/>
    <w:rsid w:val="00FE0140"/>
    <w:rsid w:val="00FE0738"/>
    <w:rsid w:val="00FE097C"/>
    <w:rsid w:val="00FE2730"/>
    <w:rsid w:val="00FE30A9"/>
    <w:rsid w:val="00FE381A"/>
    <w:rsid w:val="00FE48C1"/>
    <w:rsid w:val="00FE4A9A"/>
    <w:rsid w:val="00FE5505"/>
    <w:rsid w:val="00FE680B"/>
    <w:rsid w:val="00FE6B6F"/>
    <w:rsid w:val="00FE6D15"/>
    <w:rsid w:val="00FE7B6D"/>
    <w:rsid w:val="00FF07D3"/>
    <w:rsid w:val="00FF0D86"/>
    <w:rsid w:val="00FF1097"/>
    <w:rsid w:val="00FF1685"/>
    <w:rsid w:val="00FF1A84"/>
    <w:rsid w:val="00FF2214"/>
    <w:rsid w:val="00FF2233"/>
    <w:rsid w:val="00FF28DE"/>
    <w:rsid w:val="00FF38DB"/>
    <w:rsid w:val="00FF395E"/>
    <w:rsid w:val="00FF3995"/>
    <w:rsid w:val="00FF3CF9"/>
    <w:rsid w:val="00FF428D"/>
    <w:rsid w:val="00FF49C5"/>
    <w:rsid w:val="00FF4F4B"/>
    <w:rsid w:val="00FF586C"/>
    <w:rsid w:val="00FF6125"/>
    <w:rsid w:val="00FF6183"/>
    <w:rsid w:val="00FF7680"/>
    <w:rsid w:val="00FF7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B9AB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89C"/>
    <w:rPr>
      <w:lang w:val="en-US"/>
    </w:rPr>
  </w:style>
  <w:style w:type="paragraph" w:styleId="Heading1">
    <w:name w:val="heading 1"/>
    <w:basedOn w:val="Normal"/>
    <w:next w:val="Normal"/>
    <w:link w:val="Heading1Char"/>
    <w:uiPriority w:val="99"/>
    <w:qFormat/>
    <w:rsid w:val="008B1D1A"/>
    <w:pPr>
      <w:keepNext/>
      <w:spacing w:before="240" w:after="60"/>
      <w:outlineLvl w:val="0"/>
    </w:pPr>
    <w:rPr>
      <w:rFonts w:ascii="Arial" w:hAnsi="Arial"/>
      <w:b/>
      <w:kern w:val="32"/>
      <w:sz w:val="32"/>
      <w:lang w:val="en-CA"/>
    </w:rPr>
  </w:style>
  <w:style w:type="paragraph" w:styleId="Heading2">
    <w:name w:val="heading 2"/>
    <w:basedOn w:val="Normal"/>
    <w:next w:val="Normal"/>
    <w:link w:val="Heading2Char"/>
    <w:uiPriority w:val="99"/>
    <w:qFormat/>
    <w:rsid w:val="008B1D1A"/>
    <w:pPr>
      <w:keepNext/>
      <w:spacing w:before="240" w:after="60"/>
      <w:outlineLvl w:val="1"/>
    </w:pPr>
    <w:rPr>
      <w:rFonts w:ascii="Arial" w:hAnsi="Arial"/>
      <w:b/>
      <w:i/>
      <w:sz w:val="28"/>
      <w:lang w:val="en-CA"/>
    </w:rPr>
  </w:style>
  <w:style w:type="paragraph" w:styleId="Heading3">
    <w:name w:val="heading 3"/>
    <w:basedOn w:val="Normal"/>
    <w:next w:val="Normal"/>
    <w:link w:val="Heading3Char"/>
    <w:uiPriority w:val="99"/>
    <w:qFormat/>
    <w:rsid w:val="008B1D1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B1D1A"/>
    <w:pPr>
      <w:keepNext/>
      <w:spacing w:before="240" w:after="60"/>
      <w:outlineLvl w:val="3"/>
    </w:pPr>
    <w:rPr>
      <w:b/>
      <w:bCs/>
      <w:sz w:val="28"/>
      <w:szCs w:val="28"/>
    </w:rPr>
  </w:style>
  <w:style w:type="paragraph" w:styleId="Heading5">
    <w:name w:val="heading 5"/>
    <w:basedOn w:val="Normal"/>
    <w:next w:val="Normal"/>
    <w:link w:val="Heading5Char"/>
    <w:uiPriority w:val="99"/>
    <w:qFormat/>
    <w:rsid w:val="008B1D1A"/>
    <w:pPr>
      <w:keepNext/>
      <w:ind w:left="1080"/>
      <w:outlineLvl w:val="4"/>
    </w:pPr>
    <w:rPr>
      <w:bCs/>
      <w:iCs/>
      <w:sz w:val="24"/>
      <w:szCs w:val="24"/>
      <w:lang w:val="en-CA"/>
    </w:rPr>
  </w:style>
  <w:style w:type="paragraph" w:styleId="Heading6">
    <w:name w:val="heading 6"/>
    <w:basedOn w:val="Normal"/>
    <w:next w:val="Normal"/>
    <w:link w:val="Heading6Char"/>
    <w:uiPriority w:val="99"/>
    <w:qFormat/>
    <w:rsid w:val="008B1D1A"/>
    <w:pPr>
      <w:keepNext/>
      <w:tabs>
        <w:tab w:val="num" w:pos="0"/>
      </w:tabs>
      <w:ind w:left="720" w:hanging="720"/>
      <w:outlineLvl w:val="5"/>
    </w:pPr>
    <w:rPr>
      <w:b/>
      <w:color w:val="3366FF"/>
      <w:sz w:val="24"/>
      <w:szCs w:val="24"/>
      <w:u w:val="single"/>
      <w:lang w:val="en-CA"/>
    </w:rPr>
  </w:style>
  <w:style w:type="paragraph" w:styleId="Heading7">
    <w:name w:val="heading 7"/>
    <w:basedOn w:val="Normal"/>
    <w:next w:val="Normal"/>
    <w:link w:val="Heading7Char"/>
    <w:uiPriority w:val="99"/>
    <w:qFormat/>
    <w:rsid w:val="008B1D1A"/>
    <w:pPr>
      <w:keepNext/>
      <w:tabs>
        <w:tab w:val="num" w:pos="0"/>
      </w:tabs>
      <w:ind w:left="720" w:hanging="720"/>
      <w:outlineLvl w:val="6"/>
    </w:pPr>
    <w:rPr>
      <w:b/>
      <w:iCs/>
      <w:sz w:val="24"/>
      <w:szCs w:val="24"/>
      <w:u w:val="single"/>
      <w:lang w:val="en-CA"/>
    </w:rPr>
  </w:style>
  <w:style w:type="paragraph" w:styleId="Heading8">
    <w:name w:val="heading 8"/>
    <w:basedOn w:val="Normal"/>
    <w:next w:val="Normal"/>
    <w:link w:val="Heading8Char"/>
    <w:uiPriority w:val="99"/>
    <w:qFormat/>
    <w:rsid w:val="008B1D1A"/>
    <w:pPr>
      <w:keepNext/>
      <w:outlineLvl w:val="7"/>
    </w:pPr>
    <w:rPr>
      <w:b/>
      <w:bCs/>
      <w:sz w:val="24"/>
      <w:szCs w:val="24"/>
      <w:u w:val="single"/>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E0A7C"/>
    <w:rPr>
      <w:rFonts w:ascii="Cambria" w:hAnsi="Cambria" w:cs="Times New Roman"/>
      <w:b/>
      <w:bCs/>
      <w:kern w:val="32"/>
      <w:sz w:val="32"/>
      <w:szCs w:val="32"/>
      <w:lang w:val="en-US"/>
    </w:rPr>
  </w:style>
  <w:style w:type="character" w:customStyle="1" w:styleId="Heading2Char">
    <w:name w:val="Heading 2 Char"/>
    <w:link w:val="Heading2"/>
    <w:uiPriority w:val="99"/>
    <w:locked/>
    <w:rsid w:val="00A657C6"/>
    <w:rPr>
      <w:rFonts w:ascii="Arial" w:hAnsi="Arial" w:cs="Times New Roman"/>
      <w:b/>
      <w:i/>
      <w:sz w:val="28"/>
      <w:lang w:val="en-CA" w:eastAsia="en-CA"/>
    </w:rPr>
  </w:style>
  <w:style w:type="character" w:customStyle="1" w:styleId="Heading3Char">
    <w:name w:val="Heading 3 Char"/>
    <w:link w:val="Heading3"/>
    <w:uiPriority w:val="99"/>
    <w:semiHidden/>
    <w:locked/>
    <w:rsid w:val="000E0A7C"/>
    <w:rPr>
      <w:rFonts w:ascii="Cambria" w:hAnsi="Cambria" w:cs="Times New Roman"/>
      <w:b/>
      <w:bCs/>
      <w:sz w:val="26"/>
      <w:szCs w:val="26"/>
      <w:lang w:val="en-US"/>
    </w:rPr>
  </w:style>
  <w:style w:type="character" w:customStyle="1" w:styleId="Heading4Char">
    <w:name w:val="Heading 4 Char"/>
    <w:link w:val="Heading4"/>
    <w:uiPriority w:val="99"/>
    <w:semiHidden/>
    <w:locked/>
    <w:rsid w:val="000E0A7C"/>
    <w:rPr>
      <w:rFonts w:ascii="Calibri" w:hAnsi="Calibri" w:cs="Times New Roman"/>
      <w:b/>
      <w:bCs/>
      <w:sz w:val="28"/>
      <w:szCs w:val="28"/>
      <w:lang w:val="en-US"/>
    </w:rPr>
  </w:style>
  <w:style w:type="character" w:customStyle="1" w:styleId="Heading5Char">
    <w:name w:val="Heading 5 Char"/>
    <w:link w:val="Heading5"/>
    <w:uiPriority w:val="99"/>
    <w:semiHidden/>
    <w:locked/>
    <w:rsid w:val="000E0A7C"/>
    <w:rPr>
      <w:rFonts w:ascii="Calibri" w:hAnsi="Calibri" w:cs="Times New Roman"/>
      <w:b/>
      <w:bCs/>
      <w:i/>
      <w:iCs/>
      <w:sz w:val="26"/>
      <w:szCs w:val="26"/>
      <w:lang w:val="en-US"/>
    </w:rPr>
  </w:style>
  <w:style w:type="character" w:customStyle="1" w:styleId="Heading6Char">
    <w:name w:val="Heading 6 Char"/>
    <w:link w:val="Heading6"/>
    <w:uiPriority w:val="99"/>
    <w:semiHidden/>
    <w:locked/>
    <w:rsid w:val="000E0A7C"/>
    <w:rPr>
      <w:rFonts w:ascii="Calibri" w:hAnsi="Calibri" w:cs="Times New Roman"/>
      <w:b/>
      <w:bCs/>
      <w:lang w:val="en-US"/>
    </w:rPr>
  </w:style>
  <w:style w:type="character" w:customStyle="1" w:styleId="Heading7Char">
    <w:name w:val="Heading 7 Char"/>
    <w:link w:val="Heading7"/>
    <w:uiPriority w:val="99"/>
    <w:semiHidden/>
    <w:locked/>
    <w:rsid w:val="000E0A7C"/>
    <w:rPr>
      <w:rFonts w:ascii="Calibri" w:hAnsi="Calibri" w:cs="Times New Roman"/>
      <w:sz w:val="24"/>
      <w:szCs w:val="24"/>
      <w:lang w:val="en-US"/>
    </w:rPr>
  </w:style>
  <w:style w:type="character" w:customStyle="1" w:styleId="Heading8Char">
    <w:name w:val="Heading 8 Char"/>
    <w:link w:val="Heading8"/>
    <w:uiPriority w:val="99"/>
    <w:semiHidden/>
    <w:locked/>
    <w:rsid w:val="000E0A7C"/>
    <w:rPr>
      <w:rFonts w:ascii="Calibri" w:hAnsi="Calibri" w:cs="Times New Roman"/>
      <w:i/>
      <w:iCs/>
      <w:sz w:val="24"/>
      <w:szCs w:val="24"/>
      <w:lang w:val="en-US"/>
    </w:rPr>
  </w:style>
  <w:style w:type="paragraph" w:customStyle="1" w:styleId="bullet">
    <w:name w:val="bullet"/>
    <w:basedOn w:val="text"/>
    <w:uiPriority w:val="99"/>
    <w:rsid w:val="008B1D1A"/>
    <w:pPr>
      <w:numPr>
        <w:numId w:val="1"/>
      </w:numPr>
      <w:tabs>
        <w:tab w:val="clear" w:pos="360"/>
      </w:tabs>
      <w:spacing w:before="120"/>
    </w:pPr>
  </w:style>
  <w:style w:type="paragraph" w:customStyle="1" w:styleId="text">
    <w:name w:val="text"/>
    <w:basedOn w:val="Normal"/>
    <w:uiPriority w:val="99"/>
    <w:rsid w:val="008B1D1A"/>
    <w:pPr>
      <w:spacing w:before="240" w:line="300" w:lineRule="auto"/>
    </w:pPr>
  </w:style>
  <w:style w:type="character" w:styleId="Hyperlink">
    <w:name w:val="Hyperlink"/>
    <w:uiPriority w:val="99"/>
    <w:rsid w:val="008B1D1A"/>
    <w:rPr>
      <w:rFonts w:cs="Times New Roman"/>
      <w:color w:val="0000FF"/>
      <w:u w:val="single"/>
    </w:rPr>
  </w:style>
  <w:style w:type="paragraph" w:styleId="TOC1">
    <w:name w:val="toc 1"/>
    <w:basedOn w:val="Normal"/>
    <w:next w:val="Normal"/>
    <w:autoRedefine/>
    <w:uiPriority w:val="39"/>
    <w:rsid w:val="008B1D1A"/>
    <w:rPr>
      <w:sz w:val="24"/>
      <w:lang w:val="en-CA"/>
    </w:rPr>
  </w:style>
  <w:style w:type="paragraph" w:styleId="TOC2">
    <w:name w:val="toc 2"/>
    <w:basedOn w:val="Normal"/>
    <w:next w:val="Normal"/>
    <w:autoRedefine/>
    <w:uiPriority w:val="39"/>
    <w:rsid w:val="008B1D1A"/>
    <w:pPr>
      <w:ind w:left="240"/>
    </w:pPr>
    <w:rPr>
      <w:sz w:val="24"/>
      <w:lang w:val="en-CA"/>
    </w:rPr>
  </w:style>
  <w:style w:type="paragraph" w:customStyle="1" w:styleId="paragraph">
    <w:name w:val="paragraph"/>
    <w:aliases w:val="p"/>
    <w:basedOn w:val="Normal"/>
    <w:uiPriority w:val="99"/>
    <w:rsid w:val="008B1D1A"/>
    <w:pPr>
      <w:ind w:firstLine="547"/>
    </w:pPr>
    <w:rPr>
      <w:rFonts w:ascii="Palatino" w:hAnsi="Palatino"/>
      <w:sz w:val="24"/>
    </w:rPr>
  </w:style>
  <w:style w:type="paragraph" w:styleId="Header">
    <w:name w:val="header"/>
    <w:basedOn w:val="Normal"/>
    <w:link w:val="HeaderChar"/>
    <w:uiPriority w:val="99"/>
    <w:rsid w:val="008B1D1A"/>
    <w:pPr>
      <w:tabs>
        <w:tab w:val="center" w:pos="4320"/>
        <w:tab w:val="right" w:pos="8640"/>
      </w:tabs>
    </w:pPr>
    <w:rPr>
      <w:sz w:val="24"/>
      <w:lang w:val="en-CA"/>
    </w:rPr>
  </w:style>
  <w:style w:type="character" w:customStyle="1" w:styleId="HeaderChar">
    <w:name w:val="Header Char"/>
    <w:link w:val="Header"/>
    <w:uiPriority w:val="99"/>
    <w:semiHidden/>
    <w:locked/>
    <w:rsid w:val="000E0A7C"/>
    <w:rPr>
      <w:rFonts w:cs="Times New Roman"/>
      <w:sz w:val="20"/>
      <w:szCs w:val="20"/>
      <w:lang w:val="en-US"/>
    </w:rPr>
  </w:style>
  <w:style w:type="character" w:styleId="PageNumber">
    <w:name w:val="page number"/>
    <w:uiPriority w:val="99"/>
    <w:rsid w:val="008B1D1A"/>
    <w:rPr>
      <w:rFonts w:cs="Times New Roman"/>
    </w:rPr>
  </w:style>
  <w:style w:type="paragraph" w:styleId="Footer">
    <w:name w:val="footer"/>
    <w:basedOn w:val="Normal"/>
    <w:link w:val="FooterChar"/>
    <w:uiPriority w:val="99"/>
    <w:rsid w:val="008B1D1A"/>
    <w:pPr>
      <w:tabs>
        <w:tab w:val="center" w:pos="4320"/>
        <w:tab w:val="right" w:pos="8640"/>
      </w:tabs>
    </w:pPr>
    <w:rPr>
      <w:sz w:val="24"/>
      <w:lang w:val="en-CA"/>
    </w:rPr>
  </w:style>
  <w:style w:type="character" w:customStyle="1" w:styleId="FooterChar">
    <w:name w:val="Footer Char"/>
    <w:link w:val="Footer"/>
    <w:uiPriority w:val="99"/>
    <w:semiHidden/>
    <w:locked/>
    <w:rsid w:val="000E0A7C"/>
    <w:rPr>
      <w:rFonts w:cs="Times New Roman"/>
      <w:sz w:val="20"/>
      <w:szCs w:val="20"/>
      <w:lang w:val="en-US"/>
    </w:rPr>
  </w:style>
  <w:style w:type="paragraph" w:styleId="BalloonText">
    <w:name w:val="Balloon Text"/>
    <w:basedOn w:val="Normal"/>
    <w:link w:val="BalloonTextChar"/>
    <w:uiPriority w:val="99"/>
    <w:semiHidden/>
    <w:rsid w:val="008B1D1A"/>
    <w:rPr>
      <w:rFonts w:ascii="Tahoma" w:hAnsi="Tahoma" w:cs="Palatino"/>
      <w:sz w:val="16"/>
      <w:szCs w:val="16"/>
    </w:rPr>
  </w:style>
  <w:style w:type="character" w:customStyle="1" w:styleId="BalloonTextChar">
    <w:name w:val="Balloon Text Char"/>
    <w:link w:val="BalloonText"/>
    <w:uiPriority w:val="99"/>
    <w:semiHidden/>
    <w:locked/>
    <w:rsid w:val="000E0A7C"/>
    <w:rPr>
      <w:rFonts w:cs="Times New Roman"/>
      <w:sz w:val="2"/>
      <w:lang w:val="en-US"/>
    </w:rPr>
  </w:style>
  <w:style w:type="paragraph" w:customStyle="1" w:styleId="HTMLBody">
    <w:name w:val="HTML Body"/>
    <w:uiPriority w:val="99"/>
    <w:rsid w:val="008B1D1A"/>
    <w:rPr>
      <w:rFonts w:ascii="Arial" w:hAnsi="Arial"/>
      <w:lang w:val="en-US" w:eastAsia="en-US"/>
    </w:rPr>
  </w:style>
  <w:style w:type="paragraph" w:styleId="BodyText2">
    <w:name w:val="Body Text 2"/>
    <w:basedOn w:val="Normal"/>
    <w:link w:val="BodyText2Char"/>
    <w:uiPriority w:val="99"/>
    <w:rsid w:val="008B1D1A"/>
    <w:pPr>
      <w:jc w:val="both"/>
    </w:pPr>
    <w:rPr>
      <w:color w:val="000000"/>
      <w:kern w:val="2"/>
      <w:sz w:val="24"/>
      <w:lang w:eastAsia="en-US"/>
    </w:rPr>
  </w:style>
  <w:style w:type="character" w:customStyle="1" w:styleId="BodyText2Char">
    <w:name w:val="Body Text 2 Char"/>
    <w:link w:val="BodyText2"/>
    <w:uiPriority w:val="99"/>
    <w:semiHidden/>
    <w:locked/>
    <w:rsid w:val="000E0A7C"/>
    <w:rPr>
      <w:rFonts w:cs="Times New Roman"/>
      <w:sz w:val="20"/>
      <w:szCs w:val="20"/>
      <w:lang w:val="en-US"/>
    </w:rPr>
  </w:style>
  <w:style w:type="paragraph" w:styleId="BodyText3">
    <w:name w:val="Body Text 3"/>
    <w:basedOn w:val="Normal"/>
    <w:link w:val="BodyText3Char"/>
    <w:uiPriority w:val="99"/>
    <w:rsid w:val="008B1D1A"/>
    <w:pPr>
      <w:jc w:val="both"/>
    </w:pPr>
    <w:rPr>
      <w:rFonts w:ascii="Arial" w:hAnsi="Arial" w:cs="Arial"/>
      <w:lang w:eastAsia="en-US"/>
    </w:rPr>
  </w:style>
  <w:style w:type="character" w:customStyle="1" w:styleId="BodyText3Char">
    <w:name w:val="Body Text 3 Char"/>
    <w:link w:val="BodyText3"/>
    <w:uiPriority w:val="99"/>
    <w:semiHidden/>
    <w:locked/>
    <w:rsid w:val="000E0A7C"/>
    <w:rPr>
      <w:rFonts w:cs="Times New Roman"/>
      <w:sz w:val="16"/>
      <w:szCs w:val="16"/>
      <w:lang w:val="en-US"/>
    </w:rPr>
  </w:style>
  <w:style w:type="paragraph" w:styleId="Title">
    <w:name w:val="Title"/>
    <w:basedOn w:val="Normal"/>
    <w:link w:val="TitleChar"/>
    <w:uiPriority w:val="99"/>
    <w:qFormat/>
    <w:rsid w:val="008B1D1A"/>
    <w:pPr>
      <w:jc w:val="center"/>
    </w:pPr>
    <w:rPr>
      <w:rFonts w:ascii="Bookman Old Style" w:hAnsi="Bookman Old Style"/>
      <w:b/>
      <w:bCs/>
      <w:sz w:val="24"/>
      <w:szCs w:val="24"/>
      <w:lang w:eastAsia="en-US"/>
    </w:rPr>
  </w:style>
  <w:style w:type="character" w:customStyle="1" w:styleId="TitleChar">
    <w:name w:val="Title Char"/>
    <w:link w:val="Title"/>
    <w:uiPriority w:val="99"/>
    <w:locked/>
    <w:rsid w:val="000E0A7C"/>
    <w:rPr>
      <w:rFonts w:ascii="Cambria" w:hAnsi="Cambria" w:cs="Times New Roman"/>
      <w:b/>
      <w:bCs/>
      <w:kern w:val="28"/>
      <w:sz w:val="32"/>
      <w:szCs w:val="32"/>
      <w:lang w:val="en-US"/>
    </w:rPr>
  </w:style>
  <w:style w:type="paragraph" w:styleId="BodyText">
    <w:name w:val="Body Text"/>
    <w:basedOn w:val="Normal"/>
    <w:link w:val="BodyTextChar"/>
    <w:uiPriority w:val="99"/>
    <w:rsid w:val="008B1D1A"/>
    <w:pPr>
      <w:spacing w:after="120"/>
    </w:pPr>
  </w:style>
  <w:style w:type="character" w:customStyle="1" w:styleId="BodyTextChar">
    <w:name w:val="Body Text Char"/>
    <w:link w:val="BodyText"/>
    <w:uiPriority w:val="99"/>
    <w:semiHidden/>
    <w:locked/>
    <w:rsid w:val="000E0A7C"/>
    <w:rPr>
      <w:rFonts w:cs="Times New Roman"/>
      <w:sz w:val="20"/>
      <w:szCs w:val="20"/>
      <w:lang w:val="en-US"/>
    </w:rPr>
  </w:style>
  <w:style w:type="paragraph" w:styleId="BodyTextIndent2">
    <w:name w:val="Body Text Indent 2"/>
    <w:basedOn w:val="Normal"/>
    <w:link w:val="BodyTextIndent2Char"/>
    <w:uiPriority w:val="99"/>
    <w:rsid w:val="008B1D1A"/>
    <w:pPr>
      <w:spacing w:after="120" w:line="480" w:lineRule="auto"/>
      <w:ind w:left="360"/>
    </w:pPr>
  </w:style>
  <w:style w:type="character" w:customStyle="1" w:styleId="BodyTextIndent2Char">
    <w:name w:val="Body Text Indent 2 Char"/>
    <w:link w:val="BodyTextIndent2"/>
    <w:uiPriority w:val="99"/>
    <w:semiHidden/>
    <w:locked/>
    <w:rsid w:val="000E0A7C"/>
    <w:rPr>
      <w:rFonts w:cs="Times New Roman"/>
      <w:sz w:val="20"/>
      <w:szCs w:val="20"/>
      <w:lang w:val="en-US"/>
    </w:rPr>
  </w:style>
  <w:style w:type="paragraph" w:customStyle="1" w:styleId="p11">
    <w:name w:val="p11"/>
    <w:basedOn w:val="Normal"/>
    <w:uiPriority w:val="99"/>
    <w:rsid w:val="008B1D1A"/>
    <w:pPr>
      <w:widowControl w:val="0"/>
      <w:tabs>
        <w:tab w:val="left" w:pos="720"/>
      </w:tabs>
      <w:spacing w:line="240" w:lineRule="atLeast"/>
      <w:jc w:val="both"/>
    </w:pPr>
    <w:rPr>
      <w:sz w:val="24"/>
      <w:lang w:eastAsia="en-US"/>
    </w:rPr>
  </w:style>
  <w:style w:type="table" w:styleId="TableGrid">
    <w:name w:val="Table Grid"/>
    <w:basedOn w:val="TableNormal"/>
    <w:uiPriority w:val="99"/>
    <w:rsid w:val="008B1D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link w:val="HeadingChar"/>
    <w:uiPriority w:val="99"/>
    <w:rsid w:val="008B1D1A"/>
    <w:pPr>
      <w:keepNext/>
      <w:pBdr>
        <w:bottom w:val="single" w:sz="6" w:space="12" w:color="auto"/>
      </w:pBdr>
      <w:spacing w:before="240" w:after="240"/>
    </w:pPr>
    <w:rPr>
      <w:rFonts w:ascii="Helvetica Light" w:hAnsi="Helvetica Light"/>
      <w:sz w:val="22"/>
      <w:szCs w:val="22"/>
      <w:lang w:val="en-US" w:eastAsia="en-US"/>
    </w:rPr>
  </w:style>
  <w:style w:type="character" w:customStyle="1" w:styleId="HeadingChar">
    <w:name w:val="Heading Char"/>
    <w:link w:val="Heading"/>
    <w:uiPriority w:val="99"/>
    <w:locked/>
    <w:rsid w:val="00B72962"/>
    <w:rPr>
      <w:rFonts w:ascii="Helvetica Light" w:hAnsi="Helvetica Light"/>
      <w:sz w:val="22"/>
      <w:lang w:val="en-US" w:eastAsia="en-US"/>
    </w:rPr>
  </w:style>
  <w:style w:type="paragraph" w:customStyle="1" w:styleId="TableText">
    <w:name w:val="Table Text"/>
    <w:basedOn w:val="Normal"/>
    <w:uiPriority w:val="99"/>
    <w:rsid w:val="00514B37"/>
    <w:pPr>
      <w:ind w:left="14"/>
    </w:pPr>
    <w:rPr>
      <w:rFonts w:ascii="Arial" w:hAnsi="Arial"/>
      <w:spacing w:val="-5"/>
      <w:sz w:val="16"/>
      <w:lang w:eastAsia="en-US"/>
    </w:rPr>
  </w:style>
  <w:style w:type="character" w:styleId="CommentReference">
    <w:name w:val="annotation reference"/>
    <w:uiPriority w:val="99"/>
    <w:semiHidden/>
    <w:rsid w:val="00167D6D"/>
    <w:rPr>
      <w:rFonts w:cs="Times New Roman"/>
      <w:sz w:val="16"/>
    </w:rPr>
  </w:style>
  <w:style w:type="paragraph" w:styleId="CommentText">
    <w:name w:val="annotation text"/>
    <w:basedOn w:val="Normal"/>
    <w:link w:val="CommentTextChar"/>
    <w:uiPriority w:val="99"/>
    <w:semiHidden/>
    <w:rsid w:val="00167D6D"/>
  </w:style>
  <w:style w:type="character" w:customStyle="1" w:styleId="CommentTextChar">
    <w:name w:val="Comment Text Char"/>
    <w:link w:val="CommentText"/>
    <w:uiPriority w:val="99"/>
    <w:semiHidden/>
    <w:locked/>
    <w:rsid w:val="000E0A7C"/>
    <w:rPr>
      <w:rFonts w:cs="Times New Roman"/>
      <w:sz w:val="20"/>
      <w:szCs w:val="20"/>
      <w:lang w:val="en-US"/>
    </w:rPr>
  </w:style>
  <w:style w:type="paragraph" w:styleId="CommentSubject">
    <w:name w:val="annotation subject"/>
    <w:basedOn w:val="CommentText"/>
    <w:next w:val="CommentText"/>
    <w:link w:val="CommentSubjectChar"/>
    <w:uiPriority w:val="99"/>
    <w:semiHidden/>
    <w:rsid w:val="00167D6D"/>
    <w:rPr>
      <w:b/>
      <w:bCs/>
    </w:rPr>
  </w:style>
  <w:style w:type="character" w:customStyle="1" w:styleId="CommentSubjectChar">
    <w:name w:val="Comment Subject Char"/>
    <w:link w:val="CommentSubject"/>
    <w:uiPriority w:val="99"/>
    <w:semiHidden/>
    <w:locked/>
    <w:rsid w:val="000E0A7C"/>
    <w:rPr>
      <w:rFonts w:cs="Times New Roman"/>
      <w:b/>
      <w:bCs/>
      <w:sz w:val="20"/>
      <w:szCs w:val="20"/>
      <w:lang w:val="en-US"/>
    </w:rPr>
  </w:style>
  <w:style w:type="paragraph" w:customStyle="1" w:styleId="msolistparagraph0">
    <w:name w:val="msolistparagraph"/>
    <w:basedOn w:val="Normal"/>
    <w:uiPriority w:val="99"/>
    <w:rsid w:val="006700CB"/>
    <w:pPr>
      <w:ind w:left="720"/>
    </w:pPr>
    <w:rPr>
      <w:sz w:val="24"/>
      <w:szCs w:val="24"/>
      <w:lang w:val="en-CA"/>
    </w:rPr>
  </w:style>
  <w:style w:type="paragraph" w:customStyle="1" w:styleId="TableHeading">
    <w:name w:val="Table Heading"/>
    <w:basedOn w:val="Normal"/>
    <w:next w:val="Normal"/>
    <w:uiPriority w:val="99"/>
    <w:rsid w:val="00FD65E3"/>
    <w:pPr>
      <w:widowControl w:val="0"/>
      <w:tabs>
        <w:tab w:val="left" w:pos="851"/>
      </w:tabs>
      <w:jc w:val="center"/>
    </w:pPr>
    <w:rPr>
      <w:b/>
      <w:sz w:val="24"/>
      <w:lang w:val="en-GB" w:eastAsia="en-US"/>
    </w:rPr>
  </w:style>
  <w:style w:type="paragraph" w:customStyle="1" w:styleId="Level1">
    <w:name w:val="Level 1"/>
    <w:uiPriority w:val="99"/>
    <w:rsid w:val="00CF271A"/>
    <w:pPr>
      <w:autoSpaceDE w:val="0"/>
      <w:autoSpaceDN w:val="0"/>
      <w:adjustRightInd w:val="0"/>
      <w:ind w:left="720"/>
    </w:pPr>
    <w:rPr>
      <w:sz w:val="24"/>
      <w:szCs w:val="24"/>
      <w:lang w:val="en-US" w:eastAsia="en-US"/>
    </w:rPr>
  </w:style>
  <w:style w:type="paragraph" w:styleId="PlainText">
    <w:name w:val="Plain Text"/>
    <w:basedOn w:val="Normal"/>
    <w:link w:val="PlainTextChar"/>
    <w:uiPriority w:val="99"/>
    <w:rsid w:val="00CF271A"/>
    <w:pPr>
      <w:autoSpaceDE w:val="0"/>
      <w:autoSpaceDN w:val="0"/>
      <w:adjustRightInd w:val="0"/>
    </w:pPr>
    <w:rPr>
      <w:rFonts w:ascii="Calibri" w:hAnsi="Calibri"/>
      <w:sz w:val="21"/>
      <w:szCs w:val="21"/>
      <w:lang w:val="en-CA"/>
    </w:rPr>
  </w:style>
  <w:style w:type="character" w:customStyle="1" w:styleId="PlainTextChar">
    <w:name w:val="Plain Text Char"/>
    <w:link w:val="PlainText"/>
    <w:uiPriority w:val="99"/>
    <w:locked/>
    <w:rsid w:val="00CF271A"/>
    <w:rPr>
      <w:rFonts w:ascii="Calibri" w:hAnsi="Calibri" w:cs="Times New Roman"/>
      <w:sz w:val="21"/>
    </w:rPr>
  </w:style>
  <w:style w:type="character" w:customStyle="1" w:styleId="SYSHYPERTEXT">
    <w:name w:val="SYS_HYPERTEXT"/>
    <w:uiPriority w:val="99"/>
    <w:rsid w:val="00CF271A"/>
    <w:rPr>
      <w:color w:val="0000FF"/>
      <w:u w:val="single"/>
    </w:rPr>
  </w:style>
  <w:style w:type="character" w:styleId="Emphasis">
    <w:name w:val="Emphasis"/>
    <w:uiPriority w:val="99"/>
    <w:qFormat/>
    <w:rsid w:val="00EC5696"/>
    <w:rPr>
      <w:rFonts w:cs="Times New Roman"/>
      <w:i/>
    </w:rPr>
  </w:style>
  <w:style w:type="paragraph" w:customStyle="1" w:styleId="Default">
    <w:name w:val="Default"/>
    <w:rsid w:val="009509FD"/>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2E660E"/>
    <w:pPr>
      <w:ind w:left="720"/>
      <w:contextualSpacing/>
    </w:pPr>
  </w:style>
  <w:style w:type="paragraph" w:styleId="ListBullet">
    <w:name w:val="List Bullet"/>
    <w:basedOn w:val="Normal"/>
    <w:uiPriority w:val="99"/>
    <w:semiHidden/>
    <w:locked/>
    <w:rsid w:val="007733B2"/>
    <w:pPr>
      <w:overflowPunct w:val="0"/>
      <w:autoSpaceDE w:val="0"/>
      <w:autoSpaceDN w:val="0"/>
      <w:spacing w:after="260" w:line="260" w:lineRule="atLeast"/>
      <w:ind w:left="340" w:hanging="340"/>
      <w:jc w:val="both"/>
    </w:pPr>
    <w:rPr>
      <w:sz w:val="22"/>
      <w:szCs w:val="22"/>
      <w:lang w:val="en-CA"/>
    </w:rPr>
  </w:style>
  <w:style w:type="paragraph" w:customStyle="1" w:styleId="Style11">
    <w:name w:val="Style 11"/>
    <w:basedOn w:val="Normal"/>
    <w:rsid w:val="003B6C0D"/>
    <w:pPr>
      <w:widowControl w:val="0"/>
      <w:autoSpaceDE w:val="0"/>
      <w:autoSpaceDN w:val="0"/>
      <w:spacing w:line="384" w:lineRule="atLeast"/>
    </w:pPr>
    <w:rPr>
      <w:sz w:val="24"/>
      <w:szCs w:val="24"/>
      <w:lang w:eastAsia="en-US"/>
    </w:rPr>
  </w:style>
  <w:style w:type="paragraph" w:customStyle="1" w:styleId="Sec3header">
    <w:name w:val="Sec3 header"/>
    <w:basedOn w:val="Style11"/>
    <w:rsid w:val="003B6C0D"/>
    <w:pPr>
      <w:tabs>
        <w:tab w:val="left" w:leader="dot" w:pos="8424"/>
      </w:tabs>
      <w:spacing w:before="80" w:line="240" w:lineRule="auto"/>
    </w:pPr>
    <w:rPr>
      <w:rFonts w:ascii="Arial" w:hAnsi="Arial" w:cs="Arial"/>
      <w:b/>
      <w:sz w:val="22"/>
      <w:szCs w:val="20"/>
    </w:rPr>
  </w:style>
  <w:style w:type="paragraph" w:styleId="ListNumber">
    <w:name w:val="List Number"/>
    <w:basedOn w:val="ListBullet"/>
    <w:uiPriority w:val="99"/>
    <w:semiHidden/>
    <w:unhideWhenUsed/>
    <w:rsid w:val="00BF6006"/>
    <w:pPr>
      <w:numPr>
        <w:numId w:val="2"/>
      </w:numPr>
      <w:overflowPunct/>
      <w:autoSpaceDE/>
      <w:autoSpaceDN/>
      <w:spacing w:after="120" w:line="240" w:lineRule="auto"/>
      <w:ind w:left="720"/>
      <w:jc w:val="left"/>
    </w:pPr>
    <w:rPr>
      <w:rFonts w:ascii="Arial" w:hAnsi="Arial"/>
      <w:lang w:eastAsia="en-US"/>
    </w:rPr>
  </w:style>
  <w:style w:type="paragraph" w:customStyle="1" w:styleId="Pa4">
    <w:name w:val="Pa4"/>
    <w:basedOn w:val="Default"/>
    <w:next w:val="Default"/>
    <w:uiPriority w:val="99"/>
    <w:rsid w:val="00216399"/>
    <w:pPr>
      <w:spacing w:line="181" w:lineRule="atLeast"/>
    </w:pPr>
    <w:rPr>
      <w:rFonts w:ascii="Gotham Book" w:hAnsi="Gotham Book" w:cs="Times New Roman"/>
      <w:color w:val="auto"/>
      <w:lang w:val="en-GB"/>
    </w:rPr>
  </w:style>
  <w:style w:type="paragraph" w:customStyle="1" w:styleId="Pa27">
    <w:name w:val="Pa27"/>
    <w:basedOn w:val="Default"/>
    <w:next w:val="Default"/>
    <w:uiPriority w:val="99"/>
    <w:rsid w:val="00216399"/>
    <w:pPr>
      <w:spacing w:line="181" w:lineRule="atLeast"/>
    </w:pPr>
    <w:rPr>
      <w:rFonts w:ascii="Gotham Book" w:hAnsi="Gotham Book" w:cs="Times New Roman"/>
      <w:color w:val="auto"/>
      <w:lang w:val="en-GB"/>
    </w:rPr>
  </w:style>
  <w:style w:type="paragraph" w:styleId="FootnoteText">
    <w:name w:val="footnote text"/>
    <w:basedOn w:val="Normal"/>
    <w:link w:val="FootnoteTextChar"/>
    <w:uiPriority w:val="99"/>
    <w:unhideWhenUsed/>
    <w:rsid w:val="004A1F5E"/>
  </w:style>
  <w:style w:type="character" w:customStyle="1" w:styleId="FootnoteTextChar">
    <w:name w:val="Footnote Text Char"/>
    <w:basedOn w:val="DefaultParagraphFont"/>
    <w:link w:val="FootnoteText"/>
    <w:uiPriority w:val="99"/>
    <w:rsid w:val="004A1F5E"/>
    <w:rPr>
      <w:lang w:val="en-US"/>
    </w:rPr>
  </w:style>
  <w:style w:type="character" w:styleId="FootnoteReference">
    <w:name w:val="footnote reference"/>
    <w:basedOn w:val="DefaultParagraphFont"/>
    <w:uiPriority w:val="99"/>
    <w:semiHidden/>
    <w:unhideWhenUsed/>
    <w:rsid w:val="004A1F5E"/>
    <w:rPr>
      <w:vertAlign w:val="superscript"/>
    </w:rPr>
  </w:style>
  <w:style w:type="character" w:styleId="FollowedHyperlink">
    <w:name w:val="FollowedHyperlink"/>
    <w:basedOn w:val="DefaultParagraphFont"/>
    <w:uiPriority w:val="99"/>
    <w:semiHidden/>
    <w:unhideWhenUsed/>
    <w:rsid w:val="000E3A35"/>
    <w:rPr>
      <w:color w:val="800080" w:themeColor="followedHyperlink"/>
      <w:u w:val="single"/>
    </w:rPr>
  </w:style>
  <w:style w:type="paragraph" w:styleId="Caption">
    <w:name w:val="caption"/>
    <w:basedOn w:val="Normal"/>
    <w:next w:val="Normal"/>
    <w:unhideWhenUsed/>
    <w:qFormat/>
    <w:locked/>
    <w:rsid w:val="00E94584"/>
    <w:pPr>
      <w:spacing w:after="200"/>
    </w:pPr>
    <w:rPr>
      <w:i/>
      <w:iCs/>
      <w:color w:val="1F497D" w:themeColor="text2"/>
      <w:sz w:val="18"/>
      <w:szCs w:val="18"/>
    </w:rPr>
  </w:style>
  <w:style w:type="paragraph" w:styleId="TOC3">
    <w:name w:val="toc 3"/>
    <w:basedOn w:val="Normal"/>
    <w:next w:val="Normal"/>
    <w:autoRedefine/>
    <w:uiPriority w:val="39"/>
    <w:locked/>
    <w:rsid w:val="00303100"/>
    <w:pPr>
      <w:spacing w:after="100"/>
      <w:ind w:left="400"/>
    </w:pPr>
  </w:style>
  <w:style w:type="paragraph" w:styleId="TableofFigures">
    <w:name w:val="table of figures"/>
    <w:basedOn w:val="Normal"/>
    <w:next w:val="Normal"/>
    <w:uiPriority w:val="99"/>
    <w:unhideWhenUsed/>
    <w:rsid w:val="00303100"/>
  </w:style>
  <w:style w:type="paragraph" w:styleId="TOCHeading">
    <w:name w:val="TOC Heading"/>
    <w:basedOn w:val="Heading1"/>
    <w:next w:val="Normal"/>
    <w:uiPriority w:val="39"/>
    <w:unhideWhenUsed/>
    <w:qFormat/>
    <w:rsid w:val="00AF7EBD"/>
    <w:pPr>
      <w:keepLines/>
      <w:spacing w:after="0" w:line="259" w:lineRule="auto"/>
      <w:outlineLvl w:val="9"/>
    </w:pPr>
    <w:rPr>
      <w:rFonts w:asciiTheme="majorHAnsi" w:eastAsiaTheme="majorEastAsia" w:hAnsiTheme="majorHAnsi" w:cstheme="majorBidi"/>
      <w:b w:val="0"/>
      <w:color w:val="365F91" w:themeColor="accent1" w:themeShade="BF"/>
      <w:kern w:val="0"/>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89C"/>
    <w:rPr>
      <w:lang w:val="en-US"/>
    </w:rPr>
  </w:style>
  <w:style w:type="paragraph" w:styleId="Heading1">
    <w:name w:val="heading 1"/>
    <w:basedOn w:val="Normal"/>
    <w:next w:val="Normal"/>
    <w:link w:val="Heading1Char"/>
    <w:uiPriority w:val="99"/>
    <w:qFormat/>
    <w:rsid w:val="008B1D1A"/>
    <w:pPr>
      <w:keepNext/>
      <w:spacing w:before="240" w:after="60"/>
      <w:outlineLvl w:val="0"/>
    </w:pPr>
    <w:rPr>
      <w:rFonts w:ascii="Arial" w:hAnsi="Arial"/>
      <w:b/>
      <w:kern w:val="32"/>
      <w:sz w:val="32"/>
      <w:lang w:val="en-CA"/>
    </w:rPr>
  </w:style>
  <w:style w:type="paragraph" w:styleId="Heading2">
    <w:name w:val="heading 2"/>
    <w:basedOn w:val="Normal"/>
    <w:next w:val="Normal"/>
    <w:link w:val="Heading2Char"/>
    <w:uiPriority w:val="99"/>
    <w:qFormat/>
    <w:rsid w:val="008B1D1A"/>
    <w:pPr>
      <w:keepNext/>
      <w:spacing w:before="240" w:after="60"/>
      <w:outlineLvl w:val="1"/>
    </w:pPr>
    <w:rPr>
      <w:rFonts w:ascii="Arial" w:hAnsi="Arial"/>
      <w:b/>
      <w:i/>
      <w:sz w:val="28"/>
      <w:lang w:val="en-CA"/>
    </w:rPr>
  </w:style>
  <w:style w:type="paragraph" w:styleId="Heading3">
    <w:name w:val="heading 3"/>
    <w:basedOn w:val="Normal"/>
    <w:next w:val="Normal"/>
    <w:link w:val="Heading3Char"/>
    <w:uiPriority w:val="99"/>
    <w:qFormat/>
    <w:rsid w:val="008B1D1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B1D1A"/>
    <w:pPr>
      <w:keepNext/>
      <w:spacing w:before="240" w:after="60"/>
      <w:outlineLvl w:val="3"/>
    </w:pPr>
    <w:rPr>
      <w:b/>
      <w:bCs/>
      <w:sz w:val="28"/>
      <w:szCs w:val="28"/>
    </w:rPr>
  </w:style>
  <w:style w:type="paragraph" w:styleId="Heading5">
    <w:name w:val="heading 5"/>
    <w:basedOn w:val="Normal"/>
    <w:next w:val="Normal"/>
    <w:link w:val="Heading5Char"/>
    <w:uiPriority w:val="99"/>
    <w:qFormat/>
    <w:rsid w:val="008B1D1A"/>
    <w:pPr>
      <w:keepNext/>
      <w:ind w:left="1080"/>
      <w:outlineLvl w:val="4"/>
    </w:pPr>
    <w:rPr>
      <w:bCs/>
      <w:iCs/>
      <w:sz w:val="24"/>
      <w:szCs w:val="24"/>
      <w:lang w:val="en-CA"/>
    </w:rPr>
  </w:style>
  <w:style w:type="paragraph" w:styleId="Heading6">
    <w:name w:val="heading 6"/>
    <w:basedOn w:val="Normal"/>
    <w:next w:val="Normal"/>
    <w:link w:val="Heading6Char"/>
    <w:uiPriority w:val="99"/>
    <w:qFormat/>
    <w:rsid w:val="008B1D1A"/>
    <w:pPr>
      <w:keepNext/>
      <w:tabs>
        <w:tab w:val="num" w:pos="0"/>
      </w:tabs>
      <w:ind w:left="720" w:hanging="720"/>
      <w:outlineLvl w:val="5"/>
    </w:pPr>
    <w:rPr>
      <w:b/>
      <w:color w:val="3366FF"/>
      <w:sz w:val="24"/>
      <w:szCs w:val="24"/>
      <w:u w:val="single"/>
      <w:lang w:val="en-CA"/>
    </w:rPr>
  </w:style>
  <w:style w:type="paragraph" w:styleId="Heading7">
    <w:name w:val="heading 7"/>
    <w:basedOn w:val="Normal"/>
    <w:next w:val="Normal"/>
    <w:link w:val="Heading7Char"/>
    <w:uiPriority w:val="99"/>
    <w:qFormat/>
    <w:rsid w:val="008B1D1A"/>
    <w:pPr>
      <w:keepNext/>
      <w:tabs>
        <w:tab w:val="num" w:pos="0"/>
      </w:tabs>
      <w:ind w:left="720" w:hanging="720"/>
      <w:outlineLvl w:val="6"/>
    </w:pPr>
    <w:rPr>
      <w:b/>
      <w:iCs/>
      <w:sz w:val="24"/>
      <w:szCs w:val="24"/>
      <w:u w:val="single"/>
      <w:lang w:val="en-CA"/>
    </w:rPr>
  </w:style>
  <w:style w:type="paragraph" w:styleId="Heading8">
    <w:name w:val="heading 8"/>
    <w:basedOn w:val="Normal"/>
    <w:next w:val="Normal"/>
    <w:link w:val="Heading8Char"/>
    <w:uiPriority w:val="99"/>
    <w:qFormat/>
    <w:rsid w:val="008B1D1A"/>
    <w:pPr>
      <w:keepNext/>
      <w:outlineLvl w:val="7"/>
    </w:pPr>
    <w:rPr>
      <w:b/>
      <w:bCs/>
      <w:sz w:val="24"/>
      <w:szCs w:val="24"/>
      <w:u w:val="single"/>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E0A7C"/>
    <w:rPr>
      <w:rFonts w:ascii="Cambria" w:hAnsi="Cambria" w:cs="Times New Roman"/>
      <w:b/>
      <w:bCs/>
      <w:kern w:val="32"/>
      <w:sz w:val="32"/>
      <w:szCs w:val="32"/>
      <w:lang w:val="en-US"/>
    </w:rPr>
  </w:style>
  <w:style w:type="character" w:customStyle="1" w:styleId="Heading2Char">
    <w:name w:val="Heading 2 Char"/>
    <w:link w:val="Heading2"/>
    <w:uiPriority w:val="99"/>
    <w:locked/>
    <w:rsid w:val="00A657C6"/>
    <w:rPr>
      <w:rFonts w:ascii="Arial" w:hAnsi="Arial" w:cs="Times New Roman"/>
      <w:b/>
      <w:i/>
      <w:sz w:val="28"/>
      <w:lang w:val="en-CA" w:eastAsia="en-CA"/>
    </w:rPr>
  </w:style>
  <w:style w:type="character" w:customStyle="1" w:styleId="Heading3Char">
    <w:name w:val="Heading 3 Char"/>
    <w:link w:val="Heading3"/>
    <w:uiPriority w:val="99"/>
    <w:semiHidden/>
    <w:locked/>
    <w:rsid w:val="000E0A7C"/>
    <w:rPr>
      <w:rFonts w:ascii="Cambria" w:hAnsi="Cambria" w:cs="Times New Roman"/>
      <w:b/>
      <w:bCs/>
      <w:sz w:val="26"/>
      <w:szCs w:val="26"/>
      <w:lang w:val="en-US"/>
    </w:rPr>
  </w:style>
  <w:style w:type="character" w:customStyle="1" w:styleId="Heading4Char">
    <w:name w:val="Heading 4 Char"/>
    <w:link w:val="Heading4"/>
    <w:uiPriority w:val="99"/>
    <w:semiHidden/>
    <w:locked/>
    <w:rsid w:val="000E0A7C"/>
    <w:rPr>
      <w:rFonts w:ascii="Calibri" w:hAnsi="Calibri" w:cs="Times New Roman"/>
      <w:b/>
      <w:bCs/>
      <w:sz w:val="28"/>
      <w:szCs w:val="28"/>
      <w:lang w:val="en-US"/>
    </w:rPr>
  </w:style>
  <w:style w:type="character" w:customStyle="1" w:styleId="Heading5Char">
    <w:name w:val="Heading 5 Char"/>
    <w:link w:val="Heading5"/>
    <w:uiPriority w:val="99"/>
    <w:semiHidden/>
    <w:locked/>
    <w:rsid w:val="000E0A7C"/>
    <w:rPr>
      <w:rFonts w:ascii="Calibri" w:hAnsi="Calibri" w:cs="Times New Roman"/>
      <w:b/>
      <w:bCs/>
      <w:i/>
      <w:iCs/>
      <w:sz w:val="26"/>
      <w:szCs w:val="26"/>
      <w:lang w:val="en-US"/>
    </w:rPr>
  </w:style>
  <w:style w:type="character" w:customStyle="1" w:styleId="Heading6Char">
    <w:name w:val="Heading 6 Char"/>
    <w:link w:val="Heading6"/>
    <w:uiPriority w:val="99"/>
    <w:semiHidden/>
    <w:locked/>
    <w:rsid w:val="000E0A7C"/>
    <w:rPr>
      <w:rFonts w:ascii="Calibri" w:hAnsi="Calibri" w:cs="Times New Roman"/>
      <w:b/>
      <w:bCs/>
      <w:lang w:val="en-US"/>
    </w:rPr>
  </w:style>
  <w:style w:type="character" w:customStyle="1" w:styleId="Heading7Char">
    <w:name w:val="Heading 7 Char"/>
    <w:link w:val="Heading7"/>
    <w:uiPriority w:val="99"/>
    <w:semiHidden/>
    <w:locked/>
    <w:rsid w:val="000E0A7C"/>
    <w:rPr>
      <w:rFonts w:ascii="Calibri" w:hAnsi="Calibri" w:cs="Times New Roman"/>
      <w:sz w:val="24"/>
      <w:szCs w:val="24"/>
      <w:lang w:val="en-US"/>
    </w:rPr>
  </w:style>
  <w:style w:type="character" w:customStyle="1" w:styleId="Heading8Char">
    <w:name w:val="Heading 8 Char"/>
    <w:link w:val="Heading8"/>
    <w:uiPriority w:val="99"/>
    <w:semiHidden/>
    <w:locked/>
    <w:rsid w:val="000E0A7C"/>
    <w:rPr>
      <w:rFonts w:ascii="Calibri" w:hAnsi="Calibri" w:cs="Times New Roman"/>
      <w:i/>
      <w:iCs/>
      <w:sz w:val="24"/>
      <w:szCs w:val="24"/>
      <w:lang w:val="en-US"/>
    </w:rPr>
  </w:style>
  <w:style w:type="paragraph" w:customStyle="1" w:styleId="bullet">
    <w:name w:val="bullet"/>
    <w:basedOn w:val="text"/>
    <w:uiPriority w:val="99"/>
    <w:rsid w:val="008B1D1A"/>
    <w:pPr>
      <w:numPr>
        <w:numId w:val="1"/>
      </w:numPr>
      <w:tabs>
        <w:tab w:val="clear" w:pos="360"/>
      </w:tabs>
      <w:spacing w:before="120"/>
    </w:pPr>
  </w:style>
  <w:style w:type="paragraph" w:customStyle="1" w:styleId="text">
    <w:name w:val="text"/>
    <w:basedOn w:val="Normal"/>
    <w:uiPriority w:val="99"/>
    <w:rsid w:val="008B1D1A"/>
    <w:pPr>
      <w:spacing w:before="240" w:line="300" w:lineRule="auto"/>
    </w:pPr>
  </w:style>
  <w:style w:type="character" w:styleId="Hyperlink">
    <w:name w:val="Hyperlink"/>
    <w:uiPriority w:val="99"/>
    <w:rsid w:val="008B1D1A"/>
    <w:rPr>
      <w:rFonts w:cs="Times New Roman"/>
      <w:color w:val="0000FF"/>
      <w:u w:val="single"/>
    </w:rPr>
  </w:style>
  <w:style w:type="paragraph" w:styleId="TOC1">
    <w:name w:val="toc 1"/>
    <w:basedOn w:val="Normal"/>
    <w:next w:val="Normal"/>
    <w:autoRedefine/>
    <w:uiPriority w:val="39"/>
    <w:rsid w:val="008B1D1A"/>
    <w:rPr>
      <w:sz w:val="24"/>
      <w:lang w:val="en-CA"/>
    </w:rPr>
  </w:style>
  <w:style w:type="paragraph" w:styleId="TOC2">
    <w:name w:val="toc 2"/>
    <w:basedOn w:val="Normal"/>
    <w:next w:val="Normal"/>
    <w:autoRedefine/>
    <w:uiPriority w:val="39"/>
    <w:rsid w:val="008B1D1A"/>
    <w:pPr>
      <w:ind w:left="240"/>
    </w:pPr>
    <w:rPr>
      <w:sz w:val="24"/>
      <w:lang w:val="en-CA"/>
    </w:rPr>
  </w:style>
  <w:style w:type="paragraph" w:customStyle="1" w:styleId="paragraph">
    <w:name w:val="paragraph"/>
    <w:aliases w:val="p"/>
    <w:basedOn w:val="Normal"/>
    <w:uiPriority w:val="99"/>
    <w:rsid w:val="008B1D1A"/>
    <w:pPr>
      <w:ind w:firstLine="547"/>
    </w:pPr>
    <w:rPr>
      <w:rFonts w:ascii="Palatino" w:hAnsi="Palatino"/>
      <w:sz w:val="24"/>
    </w:rPr>
  </w:style>
  <w:style w:type="paragraph" w:styleId="Header">
    <w:name w:val="header"/>
    <w:basedOn w:val="Normal"/>
    <w:link w:val="HeaderChar"/>
    <w:uiPriority w:val="99"/>
    <w:rsid w:val="008B1D1A"/>
    <w:pPr>
      <w:tabs>
        <w:tab w:val="center" w:pos="4320"/>
        <w:tab w:val="right" w:pos="8640"/>
      </w:tabs>
    </w:pPr>
    <w:rPr>
      <w:sz w:val="24"/>
      <w:lang w:val="en-CA"/>
    </w:rPr>
  </w:style>
  <w:style w:type="character" w:customStyle="1" w:styleId="HeaderChar">
    <w:name w:val="Header Char"/>
    <w:link w:val="Header"/>
    <w:uiPriority w:val="99"/>
    <w:semiHidden/>
    <w:locked/>
    <w:rsid w:val="000E0A7C"/>
    <w:rPr>
      <w:rFonts w:cs="Times New Roman"/>
      <w:sz w:val="20"/>
      <w:szCs w:val="20"/>
      <w:lang w:val="en-US"/>
    </w:rPr>
  </w:style>
  <w:style w:type="character" w:styleId="PageNumber">
    <w:name w:val="page number"/>
    <w:uiPriority w:val="99"/>
    <w:rsid w:val="008B1D1A"/>
    <w:rPr>
      <w:rFonts w:cs="Times New Roman"/>
    </w:rPr>
  </w:style>
  <w:style w:type="paragraph" w:styleId="Footer">
    <w:name w:val="footer"/>
    <w:basedOn w:val="Normal"/>
    <w:link w:val="FooterChar"/>
    <w:uiPriority w:val="99"/>
    <w:rsid w:val="008B1D1A"/>
    <w:pPr>
      <w:tabs>
        <w:tab w:val="center" w:pos="4320"/>
        <w:tab w:val="right" w:pos="8640"/>
      </w:tabs>
    </w:pPr>
    <w:rPr>
      <w:sz w:val="24"/>
      <w:lang w:val="en-CA"/>
    </w:rPr>
  </w:style>
  <w:style w:type="character" w:customStyle="1" w:styleId="FooterChar">
    <w:name w:val="Footer Char"/>
    <w:link w:val="Footer"/>
    <w:uiPriority w:val="99"/>
    <w:semiHidden/>
    <w:locked/>
    <w:rsid w:val="000E0A7C"/>
    <w:rPr>
      <w:rFonts w:cs="Times New Roman"/>
      <w:sz w:val="20"/>
      <w:szCs w:val="20"/>
      <w:lang w:val="en-US"/>
    </w:rPr>
  </w:style>
  <w:style w:type="paragraph" w:styleId="BalloonText">
    <w:name w:val="Balloon Text"/>
    <w:basedOn w:val="Normal"/>
    <w:link w:val="BalloonTextChar"/>
    <w:uiPriority w:val="99"/>
    <w:semiHidden/>
    <w:rsid w:val="008B1D1A"/>
    <w:rPr>
      <w:rFonts w:ascii="Tahoma" w:hAnsi="Tahoma" w:cs="Palatino"/>
      <w:sz w:val="16"/>
      <w:szCs w:val="16"/>
    </w:rPr>
  </w:style>
  <w:style w:type="character" w:customStyle="1" w:styleId="BalloonTextChar">
    <w:name w:val="Balloon Text Char"/>
    <w:link w:val="BalloonText"/>
    <w:uiPriority w:val="99"/>
    <w:semiHidden/>
    <w:locked/>
    <w:rsid w:val="000E0A7C"/>
    <w:rPr>
      <w:rFonts w:cs="Times New Roman"/>
      <w:sz w:val="2"/>
      <w:lang w:val="en-US"/>
    </w:rPr>
  </w:style>
  <w:style w:type="paragraph" w:customStyle="1" w:styleId="HTMLBody">
    <w:name w:val="HTML Body"/>
    <w:uiPriority w:val="99"/>
    <w:rsid w:val="008B1D1A"/>
    <w:rPr>
      <w:rFonts w:ascii="Arial" w:hAnsi="Arial"/>
      <w:lang w:val="en-US" w:eastAsia="en-US"/>
    </w:rPr>
  </w:style>
  <w:style w:type="paragraph" w:styleId="BodyText2">
    <w:name w:val="Body Text 2"/>
    <w:basedOn w:val="Normal"/>
    <w:link w:val="BodyText2Char"/>
    <w:uiPriority w:val="99"/>
    <w:rsid w:val="008B1D1A"/>
    <w:pPr>
      <w:jc w:val="both"/>
    </w:pPr>
    <w:rPr>
      <w:color w:val="000000"/>
      <w:kern w:val="2"/>
      <w:sz w:val="24"/>
      <w:lang w:eastAsia="en-US"/>
    </w:rPr>
  </w:style>
  <w:style w:type="character" w:customStyle="1" w:styleId="BodyText2Char">
    <w:name w:val="Body Text 2 Char"/>
    <w:link w:val="BodyText2"/>
    <w:uiPriority w:val="99"/>
    <w:semiHidden/>
    <w:locked/>
    <w:rsid w:val="000E0A7C"/>
    <w:rPr>
      <w:rFonts w:cs="Times New Roman"/>
      <w:sz w:val="20"/>
      <w:szCs w:val="20"/>
      <w:lang w:val="en-US"/>
    </w:rPr>
  </w:style>
  <w:style w:type="paragraph" w:styleId="BodyText3">
    <w:name w:val="Body Text 3"/>
    <w:basedOn w:val="Normal"/>
    <w:link w:val="BodyText3Char"/>
    <w:uiPriority w:val="99"/>
    <w:rsid w:val="008B1D1A"/>
    <w:pPr>
      <w:jc w:val="both"/>
    </w:pPr>
    <w:rPr>
      <w:rFonts w:ascii="Arial" w:hAnsi="Arial" w:cs="Arial"/>
      <w:lang w:eastAsia="en-US"/>
    </w:rPr>
  </w:style>
  <w:style w:type="character" w:customStyle="1" w:styleId="BodyText3Char">
    <w:name w:val="Body Text 3 Char"/>
    <w:link w:val="BodyText3"/>
    <w:uiPriority w:val="99"/>
    <w:semiHidden/>
    <w:locked/>
    <w:rsid w:val="000E0A7C"/>
    <w:rPr>
      <w:rFonts w:cs="Times New Roman"/>
      <w:sz w:val="16"/>
      <w:szCs w:val="16"/>
      <w:lang w:val="en-US"/>
    </w:rPr>
  </w:style>
  <w:style w:type="paragraph" w:styleId="Title">
    <w:name w:val="Title"/>
    <w:basedOn w:val="Normal"/>
    <w:link w:val="TitleChar"/>
    <w:uiPriority w:val="99"/>
    <w:qFormat/>
    <w:rsid w:val="008B1D1A"/>
    <w:pPr>
      <w:jc w:val="center"/>
    </w:pPr>
    <w:rPr>
      <w:rFonts w:ascii="Bookman Old Style" w:hAnsi="Bookman Old Style"/>
      <w:b/>
      <w:bCs/>
      <w:sz w:val="24"/>
      <w:szCs w:val="24"/>
      <w:lang w:eastAsia="en-US"/>
    </w:rPr>
  </w:style>
  <w:style w:type="character" w:customStyle="1" w:styleId="TitleChar">
    <w:name w:val="Title Char"/>
    <w:link w:val="Title"/>
    <w:uiPriority w:val="99"/>
    <w:locked/>
    <w:rsid w:val="000E0A7C"/>
    <w:rPr>
      <w:rFonts w:ascii="Cambria" w:hAnsi="Cambria" w:cs="Times New Roman"/>
      <w:b/>
      <w:bCs/>
      <w:kern w:val="28"/>
      <w:sz w:val="32"/>
      <w:szCs w:val="32"/>
      <w:lang w:val="en-US"/>
    </w:rPr>
  </w:style>
  <w:style w:type="paragraph" w:styleId="BodyText">
    <w:name w:val="Body Text"/>
    <w:basedOn w:val="Normal"/>
    <w:link w:val="BodyTextChar"/>
    <w:uiPriority w:val="99"/>
    <w:rsid w:val="008B1D1A"/>
    <w:pPr>
      <w:spacing w:after="120"/>
    </w:pPr>
  </w:style>
  <w:style w:type="character" w:customStyle="1" w:styleId="BodyTextChar">
    <w:name w:val="Body Text Char"/>
    <w:link w:val="BodyText"/>
    <w:uiPriority w:val="99"/>
    <w:semiHidden/>
    <w:locked/>
    <w:rsid w:val="000E0A7C"/>
    <w:rPr>
      <w:rFonts w:cs="Times New Roman"/>
      <w:sz w:val="20"/>
      <w:szCs w:val="20"/>
      <w:lang w:val="en-US"/>
    </w:rPr>
  </w:style>
  <w:style w:type="paragraph" w:styleId="BodyTextIndent2">
    <w:name w:val="Body Text Indent 2"/>
    <w:basedOn w:val="Normal"/>
    <w:link w:val="BodyTextIndent2Char"/>
    <w:uiPriority w:val="99"/>
    <w:rsid w:val="008B1D1A"/>
    <w:pPr>
      <w:spacing w:after="120" w:line="480" w:lineRule="auto"/>
      <w:ind w:left="360"/>
    </w:pPr>
  </w:style>
  <w:style w:type="character" w:customStyle="1" w:styleId="BodyTextIndent2Char">
    <w:name w:val="Body Text Indent 2 Char"/>
    <w:link w:val="BodyTextIndent2"/>
    <w:uiPriority w:val="99"/>
    <w:semiHidden/>
    <w:locked/>
    <w:rsid w:val="000E0A7C"/>
    <w:rPr>
      <w:rFonts w:cs="Times New Roman"/>
      <w:sz w:val="20"/>
      <w:szCs w:val="20"/>
      <w:lang w:val="en-US"/>
    </w:rPr>
  </w:style>
  <w:style w:type="paragraph" w:customStyle="1" w:styleId="p11">
    <w:name w:val="p11"/>
    <w:basedOn w:val="Normal"/>
    <w:uiPriority w:val="99"/>
    <w:rsid w:val="008B1D1A"/>
    <w:pPr>
      <w:widowControl w:val="0"/>
      <w:tabs>
        <w:tab w:val="left" w:pos="720"/>
      </w:tabs>
      <w:spacing w:line="240" w:lineRule="atLeast"/>
      <w:jc w:val="both"/>
    </w:pPr>
    <w:rPr>
      <w:sz w:val="24"/>
      <w:lang w:eastAsia="en-US"/>
    </w:rPr>
  </w:style>
  <w:style w:type="table" w:styleId="TableGrid">
    <w:name w:val="Table Grid"/>
    <w:basedOn w:val="TableNormal"/>
    <w:uiPriority w:val="99"/>
    <w:rsid w:val="008B1D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link w:val="HeadingChar"/>
    <w:uiPriority w:val="99"/>
    <w:rsid w:val="008B1D1A"/>
    <w:pPr>
      <w:keepNext/>
      <w:pBdr>
        <w:bottom w:val="single" w:sz="6" w:space="12" w:color="auto"/>
      </w:pBdr>
      <w:spacing w:before="240" w:after="240"/>
    </w:pPr>
    <w:rPr>
      <w:rFonts w:ascii="Helvetica Light" w:hAnsi="Helvetica Light"/>
      <w:sz w:val="22"/>
      <w:szCs w:val="22"/>
      <w:lang w:val="en-US" w:eastAsia="en-US"/>
    </w:rPr>
  </w:style>
  <w:style w:type="character" w:customStyle="1" w:styleId="HeadingChar">
    <w:name w:val="Heading Char"/>
    <w:link w:val="Heading"/>
    <w:uiPriority w:val="99"/>
    <w:locked/>
    <w:rsid w:val="00B72962"/>
    <w:rPr>
      <w:rFonts w:ascii="Helvetica Light" w:hAnsi="Helvetica Light"/>
      <w:sz w:val="22"/>
      <w:lang w:val="en-US" w:eastAsia="en-US"/>
    </w:rPr>
  </w:style>
  <w:style w:type="paragraph" w:customStyle="1" w:styleId="TableText">
    <w:name w:val="Table Text"/>
    <w:basedOn w:val="Normal"/>
    <w:uiPriority w:val="99"/>
    <w:rsid w:val="00514B37"/>
    <w:pPr>
      <w:ind w:left="14"/>
    </w:pPr>
    <w:rPr>
      <w:rFonts w:ascii="Arial" w:hAnsi="Arial"/>
      <w:spacing w:val="-5"/>
      <w:sz w:val="16"/>
      <w:lang w:eastAsia="en-US"/>
    </w:rPr>
  </w:style>
  <w:style w:type="character" w:styleId="CommentReference">
    <w:name w:val="annotation reference"/>
    <w:uiPriority w:val="99"/>
    <w:semiHidden/>
    <w:rsid w:val="00167D6D"/>
    <w:rPr>
      <w:rFonts w:cs="Times New Roman"/>
      <w:sz w:val="16"/>
    </w:rPr>
  </w:style>
  <w:style w:type="paragraph" w:styleId="CommentText">
    <w:name w:val="annotation text"/>
    <w:basedOn w:val="Normal"/>
    <w:link w:val="CommentTextChar"/>
    <w:uiPriority w:val="99"/>
    <w:semiHidden/>
    <w:rsid w:val="00167D6D"/>
  </w:style>
  <w:style w:type="character" w:customStyle="1" w:styleId="CommentTextChar">
    <w:name w:val="Comment Text Char"/>
    <w:link w:val="CommentText"/>
    <w:uiPriority w:val="99"/>
    <w:semiHidden/>
    <w:locked/>
    <w:rsid w:val="000E0A7C"/>
    <w:rPr>
      <w:rFonts w:cs="Times New Roman"/>
      <w:sz w:val="20"/>
      <w:szCs w:val="20"/>
      <w:lang w:val="en-US"/>
    </w:rPr>
  </w:style>
  <w:style w:type="paragraph" w:styleId="CommentSubject">
    <w:name w:val="annotation subject"/>
    <w:basedOn w:val="CommentText"/>
    <w:next w:val="CommentText"/>
    <w:link w:val="CommentSubjectChar"/>
    <w:uiPriority w:val="99"/>
    <w:semiHidden/>
    <w:rsid w:val="00167D6D"/>
    <w:rPr>
      <w:b/>
      <w:bCs/>
    </w:rPr>
  </w:style>
  <w:style w:type="character" w:customStyle="1" w:styleId="CommentSubjectChar">
    <w:name w:val="Comment Subject Char"/>
    <w:link w:val="CommentSubject"/>
    <w:uiPriority w:val="99"/>
    <w:semiHidden/>
    <w:locked/>
    <w:rsid w:val="000E0A7C"/>
    <w:rPr>
      <w:rFonts w:cs="Times New Roman"/>
      <w:b/>
      <w:bCs/>
      <w:sz w:val="20"/>
      <w:szCs w:val="20"/>
      <w:lang w:val="en-US"/>
    </w:rPr>
  </w:style>
  <w:style w:type="paragraph" w:customStyle="1" w:styleId="msolistparagraph0">
    <w:name w:val="msolistparagraph"/>
    <w:basedOn w:val="Normal"/>
    <w:uiPriority w:val="99"/>
    <w:rsid w:val="006700CB"/>
    <w:pPr>
      <w:ind w:left="720"/>
    </w:pPr>
    <w:rPr>
      <w:sz w:val="24"/>
      <w:szCs w:val="24"/>
      <w:lang w:val="en-CA"/>
    </w:rPr>
  </w:style>
  <w:style w:type="paragraph" w:customStyle="1" w:styleId="TableHeading">
    <w:name w:val="Table Heading"/>
    <w:basedOn w:val="Normal"/>
    <w:next w:val="Normal"/>
    <w:uiPriority w:val="99"/>
    <w:rsid w:val="00FD65E3"/>
    <w:pPr>
      <w:widowControl w:val="0"/>
      <w:tabs>
        <w:tab w:val="left" w:pos="851"/>
      </w:tabs>
      <w:jc w:val="center"/>
    </w:pPr>
    <w:rPr>
      <w:b/>
      <w:sz w:val="24"/>
      <w:lang w:val="en-GB" w:eastAsia="en-US"/>
    </w:rPr>
  </w:style>
  <w:style w:type="paragraph" w:customStyle="1" w:styleId="Level1">
    <w:name w:val="Level 1"/>
    <w:uiPriority w:val="99"/>
    <w:rsid w:val="00CF271A"/>
    <w:pPr>
      <w:autoSpaceDE w:val="0"/>
      <w:autoSpaceDN w:val="0"/>
      <w:adjustRightInd w:val="0"/>
      <w:ind w:left="720"/>
    </w:pPr>
    <w:rPr>
      <w:sz w:val="24"/>
      <w:szCs w:val="24"/>
      <w:lang w:val="en-US" w:eastAsia="en-US"/>
    </w:rPr>
  </w:style>
  <w:style w:type="paragraph" w:styleId="PlainText">
    <w:name w:val="Plain Text"/>
    <w:basedOn w:val="Normal"/>
    <w:link w:val="PlainTextChar"/>
    <w:uiPriority w:val="99"/>
    <w:rsid w:val="00CF271A"/>
    <w:pPr>
      <w:autoSpaceDE w:val="0"/>
      <w:autoSpaceDN w:val="0"/>
      <w:adjustRightInd w:val="0"/>
    </w:pPr>
    <w:rPr>
      <w:rFonts w:ascii="Calibri" w:hAnsi="Calibri"/>
      <w:sz w:val="21"/>
      <w:szCs w:val="21"/>
      <w:lang w:val="en-CA"/>
    </w:rPr>
  </w:style>
  <w:style w:type="character" w:customStyle="1" w:styleId="PlainTextChar">
    <w:name w:val="Plain Text Char"/>
    <w:link w:val="PlainText"/>
    <w:uiPriority w:val="99"/>
    <w:locked/>
    <w:rsid w:val="00CF271A"/>
    <w:rPr>
      <w:rFonts w:ascii="Calibri" w:hAnsi="Calibri" w:cs="Times New Roman"/>
      <w:sz w:val="21"/>
    </w:rPr>
  </w:style>
  <w:style w:type="character" w:customStyle="1" w:styleId="SYSHYPERTEXT">
    <w:name w:val="SYS_HYPERTEXT"/>
    <w:uiPriority w:val="99"/>
    <w:rsid w:val="00CF271A"/>
    <w:rPr>
      <w:color w:val="0000FF"/>
      <w:u w:val="single"/>
    </w:rPr>
  </w:style>
  <w:style w:type="character" w:styleId="Emphasis">
    <w:name w:val="Emphasis"/>
    <w:uiPriority w:val="99"/>
    <w:qFormat/>
    <w:rsid w:val="00EC5696"/>
    <w:rPr>
      <w:rFonts w:cs="Times New Roman"/>
      <w:i/>
    </w:rPr>
  </w:style>
  <w:style w:type="paragraph" w:customStyle="1" w:styleId="Default">
    <w:name w:val="Default"/>
    <w:rsid w:val="009509FD"/>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2E660E"/>
    <w:pPr>
      <w:ind w:left="720"/>
      <w:contextualSpacing/>
    </w:pPr>
  </w:style>
  <w:style w:type="paragraph" w:styleId="ListBullet">
    <w:name w:val="List Bullet"/>
    <w:basedOn w:val="Normal"/>
    <w:uiPriority w:val="99"/>
    <w:semiHidden/>
    <w:locked/>
    <w:rsid w:val="007733B2"/>
    <w:pPr>
      <w:overflowPunct w:val="0"/>
      <w:autoSpaceDE w:val="0"/>
      <w:autoSpaceDN w:val="0"/>
      <w:spacing w:after="260" w:line="260" w:lineRule="atLeast"/>
      <w:ind w:left="340" w:hanging="340"/>
      <w:jc w:val="both"/>
    </w:pPr>
    <w:rPr>
      <w:sz w:val="22"/>
      <w:szCs w:val="22"/>
      <w:lang w:val="en-CA"/>
    </w:rPr>
  </w:style>
  <w:style w:type="paragraph" w:customStyle="1" w:styleId="Style11">
    <w:name w:val="Style 11"/>
    <w:basedOn w:val="Normal"/>
    <w:rsid w:val="003B6C0D"/>
    <w:pPr>
      <w:widowControl w:val="0"/>
      <w:autoSpaceDE w:val="0"/>
      <w:autoSpaceDN w:val="0"/>
      <w:spacing w:line="384" w:lineRule="atLeast"/>
    </w:pPr>
    <w:rPr>
      <w:sz w:val="24"/>
      <w:szCs w:val="24"/>
      <w:lang w:eastAsia="en-US"/>
    </w:rPr>
  </w:style>
  <w:style w:type="paragraph" w:customStyle="1" w:styleId="Sec3header">
    <w:name w:val="Sec3 header"/>
    <w:basedOn w:val="Style11"/>
    <w:rsid w:val="003B6C0D"/>
    <w:pPr>
      <w:tabs>
        <w:tab w:val="left" w:leader="dot" w:pos="8424"/>
      </w:tabs>
      <w:spacing w:before="80" w:line="240" w:lineRule="auto"/>
    </w:pPr>
    <w:rPr>
      <w:rFonts w:ascii="Arial" w:hAnsi="Arial" w:cs="Arial"/>
      <w:b/>
      <w:sz w:val="22"/>
      <w:szCs w:val="20"/>
    </w:rPr>
  </w:style>
  <w:style w:type="paragraph" w:styleId="ListNumber">
    <w:name w:val="List Number"/>
    <w:basedOn w:val="ListBullet"/>
    <w:uiPriority w:val="99"/>
    <w:semiHidden/>
    <w:unhideWhenUsed/>
    <w:rsid w:val="00BF6006"/>
    <w:pPr>
      <w:numPr>
        <w:numId w:val="2"/>
      </w:numPr>
      <w:overflowPunct/>
      <w:autoSpaceDE/>
      <w:autoSpaceDN/>
      <w:spacing w:after="120" w:line="240" w:lineRule="auto"/>
      <w:ind w:left="720"/>
      <w:jc w:val="left"/>
    </w:pPr>
    <w:rPr>
      <w:rFonts w:ascii="Arial" w:hAnsi="Arial"/>
      <w:lang w:eastAsia="en-US"/>
    </w:rPr>
  </w:style>
  <w:style w:type="paragraph" w:customStyle="1" w:styleId="Pa4">
    <w:name w:val="Pa4"/>
    <w:basedOn w:val="Default"/>
    <w:next w:val="Default"/>
    <w:uiPriority w:val="99"/>
    <w:rsid w:val="00216399"/>
    <w:pPr>
      <w:spacing w:line="181" w:lineRule="atLeast"/>
    </w:pPr>
    <w:rPr>
      <w:rFonts w:ascii="Gotham Book" w:hAnsi="Gotham Book" w:cs="Times New Roman"/>
      <w:color w:val="auto"/>
      <w:lang w:val="en-GB"/>
    </w:rPr>
  </w:style>
  <w:style w:type="paragraph" w:customStyle="1" w:styleId="Pa27">
    <w:name w:val="Pa27"/>
    <w:basedOn w:val="Default"/>
    <w:next w:val="Default"/>
    <w:uiPriority w:val="99"/>
    <w:rsid w:val="00216399"/>
    <w:pPr>
      <w:spacing w:line="181" w:lineRule="atLeast"/>
    </w:pPr>
    <w:rPr>
      <w:rFonts w:ascii="Gotham Book" w:hAnsi="Gotham Book" w:cs="Times New Roman"/>
      <w:color w:val="auto"/>
      <w:lang w:val="en-GB"/>
    </w:rPr>
  </w:style>
  <w:style w:type="paragraph" w:styleId="FootnoteText">
    <w:name w:val="footnote text"/>
    <w:basedOn w:val="Normal"/>
    <w:link w:val="FootnoteTextChar"/>
    <w:uiPriority w:val="99"/>
    <w:unhideWhenUsed/>
    <w:rsid w:val="004A1F5E"/>
  </w:style>
  <w:style w:type="character" w:customStyle="1" w:styleId="FootnoteTextChar">
    <w:name w:val="Footnote Text Char"/>
    <w:basedOn w:val="DefaultParagraphFont"/>
    <w:link w:val="FootnoteText"/>
    <w:uiPriority w:val="99"/>
    <w:rsid w:val="004A1F5E"/>
    <w:rPr>
      <w:lang w:val="en-US"/>
    </w:rPr>
  </w:style>
  <w:style w:type="character" w:styleId="FootnoteReference">
    <w:name w:val="footnote reference"/>
    <w:basedOn w:val="DefaultParagraphFont"/>
    <w:uiPriority w:val="99"/>
    <w:semiHidden/>
    <w:unhideWhenUsed/>
    <w:rsid w:val="004A1F5E"/>
    <w:rPr>
      <w:vertAlign w:val="superscript"/>
    </w:rPr>
  </w:style>
  <w:style w:type="character" w:styleId="FollowedHyperlink">
    <w:name w:val="FollowedHyperlink"/>
    <w:basedOn w:val="DefaultParagraphFont"/>
    <w:uiPriority w:val="99"/>
    <w:semiHidden/>
    <w:unhideWhenUsed/>
    <w:rsid w:val="000E3A35"/>
    <w:rPr>
      <w:color w:val="800080" w:themeColor="followedHyperlink"/>
      <w:u w:val="single"/>
    </w:rPr>
  </w:style>
  <w:style w:type="paragraph" w:styleId="Caption">
    <w:name w:val="caption"/>
    <w:basedOn w:val="Normal"/>
    <w:next w:val="Normal"/>
    <w:unhideWhenUsed/>
    <w:qFormat/>
    <w:locked/>
    <w:rsid w:val="00E94584"/>
    <w:pPr>
      <w:spacing w:after="200"/>
    </w:pPr>
    <w:rPr>
      <w:i/>
      <w:iCs/>
      <w:color w:val="1F497D" w:themeColor="text2"/>
      <w:sz w:val="18"/>
      <w:szCs w:val="18"/>
    </w:rPr>
  </w:style>
  <w:style w:type="paragraph" w:styleId="TOC3">
    <w:name w:val="toc 3"/>
    <w:basedOn w:val="Normal"/>
    <w:next w:val="Normal"/>
    <w:autoRedefine/>
    <w:uiPriority w:val="39"/>
    <w:locked/>
    <w:rsid w:val="00303100"/>
    <w:pPr>
      <w:spacing w:after="100"/>
      <w:ind w:left="400"/>
    </w:pPr>
  </w:style>
  <w:style w:type="paragraph" w:styleId="TableofFigures">
    <w:name w:val="table of figures"/>
    <w:basedOn w:val="Normal"/>
    <w:next w:val="Normal"/>
    <w:uiPriority w:val="99"/>
    <w:unhideWhenUsed/>
    <w:rsid w:val="00303100"/>
  </w:style>
  <w:style w:type="paragraph" w:styleId="TOCHeading">
    <w:name w:val="TOC Heading"/>
    <w:basedOn w:val="Heading1"/>
    <w:next w:val="Normal"/>
    <w:uiPriority w:val="39"/>
    <w:unhideWhenUsed/>
    <w:qFormat/>
    <w:rsid w:val="00AF7EBD"/>
    <w:pPr>
      <w:keepLines/>
      <w:spacing w:after="0" w:line="259" w:lineRule="auto"/>
      <w:outlineLvl w:val="9"/>
    </w:pPr>
    <w:rPr>
      <w:rFonts w:asciiTheme="majorHAnsi" w:eastAsiaTheme="majorEastAsia" w:hAnsiTheme="majorHAnsi" w:cstheme="majorBidi"/>
      <w:b w:val="0"/>
      <w:color w:val="365F91" w:themeColor="accent1" w:themeShade="BF"/>
      <w:kern w:val="0"/>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40416">
      <w:bodyDiv w:val="1"/>
      <w:marLeft w:val="0"/>
      <w:marRight w:val="0"/>
      <w:marTop w:val="0"/>
      <w:marBottom w:val="0"/>
      <w:divBdr>
        <w:top w:val="none" w:sz="0" w:space="0" w:color="auto"/>
        <w:left w:val="none" w:sz="0" w:space="0" w:color="auto"/>
        <w:bottom w:val="none" w:sz="0" w:space="0" w:color="auto"/>
        <w:right w:val="none" w:sz="0" w:space="0" w:color="auto"/>
      </w:divBdr>
    </w:div>
    <w:div w:id="180436315">
      <w:bodyDiv w:val="1"/>
      <w:marLeft w:val="0"/>
      <w:marRight w:val="0"/>
      <w:marTop w:val="0"/>
      <w:marBottom w:val="0"/>
      <w:divBdr>
        <w:top w:val="none" w:sz="0" w:space="0" w:color="auto"/>
        <w:left w:val="none" w:sz="0" w:space="0" w:color="auto"/>
        <w:bottom w:val="none" w:sz="0" w:space="0" w:color="auto"/>
        <w:right w:val="none" w:sz="0" w:space="0" w:color="auto"/>
      </w:divBdr>
    </w:div>
    <w:div w:id="345178124">
      <w:bodyDiv w:val="1"/>
      <w:marLeft w:val="0"/>
      <w:marRight w:val="0"/>
      <w:marTop w:val="0"/>
      <w:marBottom w:val="0"/>
      <w:divBdr>
        <w:top w:val="none" w:sz="0" w:space="0" w:color="auto"/>
        <w:left w:val="none" w:sz="0" w:space="0" w:color="auto"/>
        <w:bottom w:val="none" w:sz="0" w:space="0" w:color="auto"/>
        <w:right w:val="none" w:sz="0" w:space="0" w:color="auto"/>
      </w:divBdr>
    </w:div>
    <w:div w:id="773525360">
      <w:marLeft w:val="0"/>
      <w:marRight w:val="0"/>
      <w:marTop w:val="0"/>
      <w:marBottom w:val="0"/>
      <w:divBdr>
        <w:top w:val="none" w:sz="0" w:space="0" w:color="auto"/>
        <w:left w:val="none" w:sz="0" w:space="0" w:color="auto"/>
        <w:bottom w:val="none" w:sz="0" w:space="0" w:color="auto"/>
        <w:right w:val="none" w:sz="0" w:space="0" w:color="auto"/>
      </w:divBdr>
      <w:divsChild>
        <w:div w:id="773525363">
          <w:marLeft w:val="0"/>
          <w:marRight w:val="0"/>
          <w:marTop w:val="0"/>
          <w:marBottom w:val="0"/>
          <w:divBdr>
            <w:top w:val="none" w:sz="0" w:space="0" w:color="auto"/>
            <w:left w:val="none" w:sz="0" w:space="0" w:color="auto"/>
            <w:bottom w:val="none" w:sz="0" w:space="0" w:color="auto"/>
            <w:right w:val="none" w:sz="0" w:space="0" w:color="auto"/>
          </w:divBdr>
        </w:div>
        <w:div w:id="773525368">
          <w:marLeft w:val="0"/>
          <w:marRight w:val="0"/>
          <w:marTop w:val="0"/>
          <w:marBottom w:val="0"/>
          <w:divBdr>
            <w:top w:val="none" w:sz="0" w:space="0" w:color="auto"/>
            <w:left w:val="none" w:sz="0" w:space="0" w:color="auto"/>
            <w:bottom w:val="none" w:sz="0" w:space="0" w:color="auto"/>
            <w:right w:val="none" w:sz="0" w:space="0" w:color="auto"/>
          </w:divBdr>
        </w:div>
      </w:divsChild>
    </w:div>
    <w:div w:id="773525361">
      <w:marLeft w:val="0"/>
      <w:marRight w:val="0"/>
      <w:marTop w:val="0"/>
      <w:marBottom w:val="0"/>
      <w:divBdr>
        <w:top w:val="none" w:sz="0" w:space="0" w:color="auto"/>
        <w:left w:val="none" w:sz="0" w:space="0" w:color="auto"/>
        <w:bottom w:val="none" w:sz="0" w:space="0" w:color="auto"/>
        <w:right w:val="none" w:sz="0" w:space="0" w:color="auto"/>
      </w:divBdr>
    </w:div>
    <w:div w:id="773525362">
      <w:marLeft w:val="0"/>
      <w:marRight w:val="0"/>
      <w:marTop w:val="0"/>
      <w:marBottom w:val="0"/>
      <w:divBdr>
        <w:top w:val="none" w:sz="0" w:space="0" w:color="auto"/>
        <w:left w:val="none" w:sz="0" w:space="0" w:color="auto"/>
        <w:bottom w:val="none" w:sz="0" w:space="0" w:color="auto"/>
        <w:right w:val="none" w:sz="0" w:space="0" w:color="auto"/>
      </w:divBdr>
    </w:div>
    <w:div w:id="773525364">
      <w:marLeft w:val="0"/>
      <w:marRight w:val="0"/>
      <w:marTop w:val="0"/>
      <w:marBottom w:val="0"/>
      <w:divBdr>
        <w:top w:val="none" w:sz="0" w:space="0" w:color="auto"/>
        <w:left w:val="none" w:sz="0" w:space="0" w:color="auto"/>
        <w:bottom w:val="none" w:sz="0" w:space="0" w:color="auto"/>
        <w:right w:val="none" w:sz="0" w:space="0" w:color="auto"/>
      </w:divBdr>
    </w:div>
    <w:div w:id="773525365">
      <w:marLeft w:val="0"/>
      <w:marRight w:val="0"/>
      <w:marTop w:val="0"/>
      <w:marBottom w:val="0"/>
      <w:divBdr>
        <w:top w:val="none" w:sz="0" w:space="0" w:color="auto"/>
        <w:left w:val="none" w:sz="0" w:space="0" w:color="auto"/>
        <w:bottom w:val="none" w:sz="0" w:space="0" w:color="auto"/>
        <w:right w:val="none" w:sz="0" w:space="0" w:color="auto"/>
      </w:divBdr>
    </w:div>
    <w:div w:id="773525366">
      <w:marLeft w:val="0"/>
      <w:marRight w:val="0"/>
      <w:marTop w:val="0"/>
      <w:marBottom w:val="0"/>
      <w:divBdr>
        <w:top w:val="none" w:sz="0" w:space="0" w:color="auto"/>
        <w:left w:val="none" w:sz="0" w:space="0" w:color="auto"/>
        <w:bottom w:val="none" w:sz="0" w:space="0" w:color="auto"/>
        <w:right w:val="none" w:sz="0" w:space="0" w:color="auto"/>
      </w:divBdr>
    </w:div>
    <w:div w:id="773525369">
      <w:marLeft w:val="0"/>
      <w:marRight w:val="0"/>
      <w:marTop w:val="0"/>
      <w:marBottom w:val="0"/>
      <w:divBdr>
        <w:top w:val="none" w:sz="0" w:space="0" w:color="auto"/>
        <w:left w:val="none" w:sz="0" w:space="0" w:color="auto"/>
        <w:bottom w:val="none" w:sz="0" w:space="0" w:color="auto"/>
        <w:right w:val="none" w:sz="0" w:space="0" w:color="auto"/>
      </w:divBdr>
    </w:div>
    <w:div w:id="773525370">
      <w:marLeft w:val="0"/>
      <w:marRight w:val="0"/>
      <w:marTop w:val="0"/>
      <w:marBottom w:val="0"/>
      <w:divBdr>
        <w:top w:val="none" w:sz="0" w:space="0" w:color="auto"/>
        <w:left w:val="none" w:sz="0" w:space="0" w:color="auto"/>
        <w:bottom w:val="none" w:sz="0" w:space="0" w:color="auto"/>
        <w:right w:val="none" w:sz="0" w:space="0" w:color="auto"/>
      </w:divBdr>
      <w:divsChild>
        <w:div w:id="773525367">
          <w:marLeft w:val="0"/>
          <w:marRight w:val="0"/>
          <w:marTop w:val="0"/>
          <w:marBottom w:val="0"/>
          <w:divBdr>
            <w:top w:val="none" w:sz="0" w:space="0" w:color="auto"/>
            <w:left w:val="none" w:sz="0" w:space="0" w:color="auto"/>
            <w:bottom w:val="single" w:sz="8" w:space="1" w:color="auto"/>
            <w:right w:val="none" w:sz="0" w:space="0" w:color="auto"/>
          </w:divBdr>
        </w:div>
      </w:divsChild>
    </w:div>
    <w:div w:id="851408485">
      <w:bodyDiv w:val="1"/>
      <w:marLeft w:val="0"/>
      <w:marRight w:val="0"/>
      <w:marTop w:val="0"/>
      <w:marBottom w:val="0"/>
      <w:divBdr>
        <w:top w:val="none" w:sz="0" w:space="0" w:color="auto"/>
        <w:left w:val="none" w:sz="0" w:space="0" w:color="auto"/>
        <w:bottom w:val="none" w:sz="0" w:space="0" w:color="auto"/>
        <w:right w:val="none" w:sz="0" w:space="0" w:color="auto"/>
      </w:divBdr>
    </w:div>
    <w:div w:id="121959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tfig.itcilo.org/info.html?iframe=true&amp;width=840&amp;height=580" TargetMode="External"/><Relationship Id="rId26" Type="http://schemas.openxmlformats.org/officeDocument/2006/relationships/image" Target="media/image17.emf"/><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F3E91-BE2A-4A54-B0A6-DA956022F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11501</Words>
  <Characters>65558</Characters>
  <Application>Microsoft Office Word</Application>
  <DocSecurity>0</DocSecurity>
  <Lines>546</Lines>
  <Paragraphs>153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ACOA Standing Offer</vt:lpstr>
      <vt:lpstr>ACOA Standing Offer</vt:lpstr>
      <vt:lpstr>ACOA Standing Offer</vt:lpstr>
    </vt:vector>
  </TitlesOfParts>
  <Company>Economic Development Winnipeg</Company>
  <LinksUpToDate>false</LinksUpToDate>
  <CharactersWithSpaces>76906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ACOA Standing Offer</dc:title>
  <dc:creator>A.R. Malaket</dc:creator>
  <cp:keywords>NOT-APPL -</cp:keywords>
  <dc:description>NOT-APPL -</dc:description>
  <cp:lastModifiedBy>Aruna Vivekanantham</cp:lastModifiedBy>
  <cp:revision>2</cp:revision>
  <cp:lastPrinted>2014-12-16T19:37:00Z</cp:lastPrinted>
  <dcterms:created xsi:type="dcterms:W3CDTF">2016-09-21T10:16:00Z</dcterms:created>
  <dcterms:modified xsi:type="dcterms:W3CDTF">2016-09-21T10:16:00Z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NOT-APPL</vt:lpwstr>
  </property>
  <property fmtid="{D5CDD505-2E9C-101B-9397-08002B2CF9AE}" pid="3" name="Source">
    <vt:lpwstr>External</vt:lpwstr>
  </property>
  <property fmtid="{D5CDD505-2E9C-101B-9397-08002B2CF9AE}" pid="4" name="Footers">
    <vt:lpwstr>External No Footers</vt:lpwstr>
  </property>
  <property fmtid="{D5CDD505-2E9C-101B-9397-08002B2CF9AE}" pid="5" name="DocClassification">
    <vt:lpwstr>CLANOTAPP</vt:lpwstr>
  </property>
</Properties>
</file>