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54C9A19" w14:textId="77777777" w:rsidTr="00C97039">
        <w:trPr>
          <w:trHeight w:hRule="exact" w:val="851"/>
        </w:trPr>
        <w:tc>
          <w:tcPr>
            <w:tcW w:w="1276" w:type="dxa"/>
            <w:tcBorders>
              <w:bottom w:val="single" w:sz="4" w:space="0" w:color="auto"/>
            </w:tcBorders>
          </w:tcPr>
          <w:p w14:paraId="3D9039FA" w14:textId="77777777" w:rsidR="00F35BAF" w:rsidRPr="00DB58B5" w:rsidRDefault="00F35BAF" w:rsidP="00F566B6">
            <w:bookmarkStart w:id="0" w:name="_GoBack"/>
            <w:bookmarkEnd w:id="0"/>
          </w:p>
        </w:tc>
        <w:tc>
          <w:tcPr>
            <w:tcW w:w="2268" w:type="dxa"/>
            <w:tcBorders>
              <w:bottom w:val="single" w:sz="4" w:space="0" w:color="auto"/>
            </w:tcBorders>
            <w:vAlign w:val="bottom"/>
          </w:tcPr>
          <w:p w14:paraId="610D0AF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6B23E3" w14:textId="7F23CD0D" w:rsidR="00F35BAF" w:rsidRPr="00DB58B5" w:rsidRDefault="00F566B6" w:rsidP="00F566B6">
            <w:pPr>
              <w:jc w:val="right"/>
            </w:pPr>
            <w:r w:rsidRPr="00F566B6">
              <w:rPr>
                <w:sz w:val="40"/>
              </w:rPr>
              <w:t>ECE</w:t>
            </w:r>
            <w:r>
              <w:t>/TRANS/WP.29/GRVA/2020/17</w:t>
            </w:r>
            <w:r w:rsidR="00371BDA" w:rsidRPr="00371BDA">
              <w:rPr>
                <w:rStyle w:val="FootnoteReference"/>
                <w:sz w:val="20"/>
                <w:vertAlign w:val="baseline"/>
              </w:rPr>
              <w:footnoteReference w:customMarkFollows="1" w:id="2"/>
              <w:t>*</w:t>
            </w:r>
          </w:p>
        </w:tc>
      </w:tr>
      <w:tr w:rsidR="00F35BAF" w:rsidRPr="00DB58B5" w14:paraId="1436B9E3" w14:textId="77777777" w:rsidTr="00C97039">
        <w:trPr>
          <w:trHeight w:hRule="exact" w:val="2835"/>
        </w:trPr>
        <w:tc>
          <w:tcPr>
            <w:tcW w:w="1276" w:type="dxa"/>
            <w:tcBorders>
              <w:top w:val="single" w:sz="4" w:space="0" w:color="auto"/>
              <w:bottom w:val="single" w:sz="12" w:space="0" w:color="auto"/>
            </w:tcBorders>
          </w:tcPr>
          <w:p w14:paraId="26C09ABC" w14:textId="77777777" w:rsidR="00F35BAF" w:rsidRPr="00DB58B5" w:rsidRDefault="00F35BAF" w:rsidP="00C97039">
            <w:pPr>
              <w:spacing w:before="120"/>
              <w:jc w:val="center"/>
            </w:pPr>
            <w:r>
              <w:rPr>
                <w:noProof/>
                <w:lang w:eastAsia="fr-CH"/>
              </w:rPr>
              <w:drawing>
                <wp:inline distT="0" distB="0" distL="0" distR="0" wp14:anchorId="3ACBDD01" wp14:editId="39EA43C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FCD61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FAF231B" w14:textId="77777777" w:rsidR="00F35BAF" w:rsidRDefault="00F566B6" w:rsidP="00C97039">
            <w:pPr>
              <w:spacing w:before="240"/>
            </w:pPr>
            <w:proofErr w:type="spellStart"/>
            <w:r>
              <w:t>Distr</w:t>
            </w:r>
            <w:proofErr w:type="spellEnd"/>
            <w:r>
              <w:t>. générale</w:t>
            </w:r>
          </w:p>
          <w:p w14:paraId="4CE26CFE" w14:textId="77777777" w:rsidR="00F566B6" w:rsidRDefault="00F566B6" w:rsidP="00F566B6">
            <w:pPr>
              <w:spacing w:line="240" w:lineRule="exact"/>
            </w:pPr>
            <w:r>
              <w:t>29 novembre 2019</w:t>
            </w:r>
          </w:p>
          <w:p w14:paraId="257C303B" w14:textId="77777777" w:rsidR="00F566B6" w:rsidRDefault="00F566B6" w:rsidP="00F566B6">
            <w:pPr>
              <w:spacing w:line="240" w:lineRule="exact"/>
            </w:pPr>
            <w:r>
              <w:t>Français</w:t>
            </w:r>
          </w:p>
          <w:p w14:paraId="285306C0" w14:textId="77777777" w:rsidR="00F566B6" w:rsidRPr="00DB58B5" w:rsidRDefault="00F566B6" w:rsidP="00F566B6">
            <w:pPr>
              <w:spacing w:line="240" w:lineRule="exact"/>
            </w:pPr>
            <w:r>
              <w:t>Original : anglais</w:t>
            </w:r>
          </w:p>
        </w:tc>
      </w:tr>
    </w:tbl>
    <w:p w14:paraId="1285ED8B" w14:textId="77777777" w:rsidR="007F20FA" w:rsidRPr="000312C0" w:rsidRDefault="007F20FA" w:rsidP="007F20FA">
      <w:pPr>
        <w:spacing w:before="120"/>
        <w:rPr>
          <w:b/>
          <w:sz w:val="28"/>
          <w:szCs w:val="28"/>
        </w:rPr>
      </w:pPr>
      <w:r w:rsidRPr="000312C0">
        <w:rPr>
          <w:b/>
          <w:sz w:val="28"/>
          <w:szCs w:val="28"/>
        </w:rPr>
        <w:t>Commission économique pour l’Europe</w:t>
      </w:r>
    </w:p>
    <w:p w14:paraId="36F6AA30" w14:textId="77777777" w:rsidR="007F20FA" w:rsidRDefault="007F20FA" w:rsidP="007F20FA">
      <w:pPr>
        <w:spacing w:before="120"/>
        <w:rPr>
          <w:sz w:val="28"/>
          <w:szCs w:val="28"/>
        </w:rPr>
      </w:pPr>
      <w:r w:rsidRPr="00685843">
        <w:rPr>
          <w:sz w:val="28"/>
          <w:szCs w:val="28"/>
        </w:rPr>
        <w:t>Comité des transports intérieurs</w:t>
      </w:r>
    </w:p>
    <w:p w14:paraId="2FEBD239" w14:textId="77777777" w:rsidR="00F566B6" w:rsidRDefault="00F566B6"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4ECA5EF" w14:textId="53FBBE98" w:rsidR="00F566B6" w:rsidRDefault="00F566B6"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r w:rsidRPr="00CA4178">
        <w:rPr>
          <w:rStyle w:val="FootnoteReference"/>
          <w:rFonts w:eastAsia="Times New Roman"/>
          <w:bCs/>
          <w:sz w:val="20"/>
          <w:vertAlign w:val="baseline"/>
        </w:rPr>
        <w:footnoteReference w:customMarkFollows="1" w:id="3"/>
        <w:t>*</w:t>
      </w:r>
      <w:r w:rsidR="00371BDA">
        <w:rPr>
          <w:rStyle w:val="FootnoteReference"/>
          <w:rFonts w:eastAsia="Times New Roman"/>
          <w:bCs/>
          <w:sz w:val="20"/>
          <w:vertAlign w:val="baseline"/>
        </w:rPr>
        <w:t>*</w:t>
      </w:r>
    </w:p>
    <w:p w14:paraId="05A67168" w14:textId="77777777" w:rsidR="00F566B6" w:rsidRDefault="00F566B6" w:rsidP="00A3029F">
      <w:pPr>
        <w:spacing w:before="120"/>
        <w:rPr>
          <w:b/>
        </w:rPr>
      </w:pPr>
      <w:r>
        <w:rPr>
          <w:b/>
        </w:rPr>
        <w:t>Cinquième session</w:t>
      </w:r>
    </w:p>
    <w:p w14:paraId="5D59635E" w14:textId="77777777" w:rsidR="00F566B6" w:rsidRDefault="00F566B6" w:rsidP="00A3029F">
      <w:pPr>
        <w:spacing w:line="240" w:lineRule="exact"/>
      </w:pPr>
      <w:r>
        <w:t>Genève, 10-14 février 2020</w:t>
      </w:r>
    </w:p>
    <w:p w14:paraId="4945FD04" w14:textId="77777777" w:rsidR="00F566B6" w:rsidRDefault="00F566B6" w:rsidP="00A3029F">
      <w:pPr>
        <w:spacing w:line="240" w:lineRule="exact"/>
      </w:pPr>
      <w:r>
        <w:t>Point 7 de l’ordre du jour provisoire</w:t>
      </w:r>
    </w:p>
    <w:p w14:paraId="1D086390" w14:textId="77777777" w:rsidR="00F9573C" w:rsidRDefault="00F566B6" w:rsidP="00AF0CB5">
      <w:pPr>
        <w:rPr>
          <w:b/>
          <w:szCs w:val="24"/>
        </w:rPr>
      </w:pPr>
      <w:r w:rsidRPr="004C7657">
        <w:rPr>
          <w:b/>
          <w:szCs w:val="24"/>
        </w:rPr>
        <w:t>Systèmes avancés de freinage d’urgence</w:t>
      </w:r>
    </w:p>
    <w:p w14:paraId="65E04E5F" w14:textId="77777777" w:rsidR="00F566B6" w:rsidRDefault="00F566B6" w:rsidP="00F566B6">
      <w:pPr>
        <w:pStyle w:val="HChG"/>
      </w:pPr>
      <w:r>
        <w:tab/>
      </w:r>
      <w:r>
        <w:tab/>
        <w:t>P</w:t>
      </w:r>
      <w:r w:rsidRPr="004C7657">
        <w:t>roposition de compléments au texte original et à la série</w:t>
      </w:r>
      <w:r w:rsidR="0008441A">
        <w:t> </w:t>
      </w:r>
      <w:r w:rsidRPr="004C7657">
        <w:t>01 d’amendements au Règlement ONU n</w:t>
      </w:r>
      <w:r w:rsidRPr="004C7657">
        <w:rPr>
          <w:vertAlign w:val="superscript"/>
        </w:rPr>
        <w:t>o</w:t>
      </w:r>
      <w:r w:rsidRPr="004C7657">
        <w:t xml:space="preserve">[152] (Systèmes avancés de freinage d’urgence des véhicules </w:t>
      </w:r>
      <w:r w:rsidR="0008441A">
        <w:br/>
      </w:r>
      <w:r w:rsidRPr="004C7657">
        <w:t>des catégories M</w:t>
      </w:r>
      <w:r w:rsidRPr="004C7657">
        <w:rPr>
          <w:vertAlign w:val="subscript"/>
        </w:rPr>
        <w:t>1</w:t>
      </w:r>
      <w:r w:rsidRPr="004C7657">
        <w:t xml:space="preserve"> et N</w:t>
      </w:r>
      <w:r w:rsidRPr="004C7657">
        <w:rPr>
          <w:vertAlign w:val="subscript"/>
        </w:rPr>
        <w:t>1</w:t>
      </w:r>
      <w:r w:rsidRPr="004C7657">
        <w:t>)</w:t>
      </w:r>
    </w:p>
    <w:p w14:paraId="692B8227" w14:textId="41F44B5B" w:rsidR="00F566B6" w:rsidRDefault="00F566B6" w:rsidP="00F566B6">
      <w:pPr>
        <w:pStyle w:val="H1G"/>
        <w:rPr>
          <w:sz w:val="20"/>
        </w:rPr>
      </w:pPr>
      <w:r>
        <w:tab/>
      </w:r>
      <w:r>
        <w:tab/>
      </w:r>
      <w:r w:rsidRPr="004C7657">
        <w:t xml:space="preserve">Communication des </w:t>
      </w:r>
      <w:bookmarkStart w:id="1" w:name="_Hlk27749120"/>
      <w:r w:rsidRPr="004C7657">
        <w:t>experts du groupe de travail informel des systèmes avancés de freinage d’urgence des véhicules des catégories M</w:t>
      </w:r>
      <w:r w:rsidRPr="004C7657">
        <w:rPr>
          <w:vertAlign w:val="subscript"/>
        </w:rPr>
        <w:t>1</w:t>
      </w:r>
      <w:r w:rsidRPr="004C7657">
        <w:t xml:space="preserve"> et N</w:t>
      </w:r>
      <w:r w:rsidRPr="004C7657">
        <w:rPr>
          <w:vertAlign w:val="subscript"/>
        </w:rPr>
        <w:t>1</w:t>
      </w:r>
      <w:bookmarkEnd w:id="1"/>
      <w:r w:rsidRPr="00CA4178">
        <w:rPr>
          <w:rStyle w:val="FootnoteReference"/>
          <w:b w:val="0"/>
          <w:sz w:val="20"/>
          <w:vertAlign w:val="baseline"/>
        </w:rPr>
        <w:footnoteReference w:customMarkFollows="1" w:id="4"/>
        <w:t>**</w:t>
      </w:r>
      <w:r w:rsidR="00371BDA">
        <w:rPr>
          <w:rStyle w:val="FootnoteReference"/>
          <w:b w:val="0"/>
          <w:sz w:val="20"/>
          <w:vertAlign w:val="baseline"/>
        </w:rPr>
        <w:t>*</w:t>
      </w:r>
    </w:p>
    <w:p w14:paraId="452D04BC" w14:textId="77777777" w:rsidR="00D57DE4" w:rsidRDefault="0008441A" w:rsidP="0008441A">
      <w:pPr>
        <w:pStyle w:val="SingleTxtG"/>
        <w:ind w:firstLine="567"/>
        <w:rPr>
          <w:szCs w:val="24"/>
        </w:rPr>
      </w:pPr>
      <w:r w:rsidRPr="004C7657">
        <w:rPr>
          <w:szCs w:val="24"/>
        </w:rPr>
        <w:t>Le texte ci-après a été établi par les experts du groupe de travail informel des systèmes avancés de freinage d’urgence (AEBS) des véhicules des catégories M</w:t>
      </w:r>
      <w:r w:rsidRPr="004C7657">
        <w:rPr>
          <w:szCs w:val="24"/>
          <w:vertAlign w:val="subscript"/>
        </w:rPr>
        <w:t>1</w:t>
      </w:r>
      <w:r w:rsidRPr="004C7657">
        <w:rPr>
          <w:szCs w:val="24"/>
        </w:rPr>
        <w:t xml:space="preserve"> et N</w:t>
      </w:r>
      <w:r w:rsidRPr="004C7657">
        <w:rPr>
          <w:szCs w:val="24"/>
          <w:vertAlign w:val="subscript"/>
        </w:rPr>
        <w:t>1</w:t>
      </w:r>
      <w:r w:rsidRPr="004C7657">
        <w:rPr>
          <w:szCs w:val="24"/>
        </w:rPr>
        <w:t xml:space="preserve"> afin d’améliorer le texte du Règlement s’agissant de l’évaluation de la fiabilité de l’AEBS. Les modifications qu’il est proposé d’apporter au texte actuel du Règlement figurent en caractères gras pour les ajouts et biffés pour les suppressions.</w:t>
      </w:r>
    </w:p>
    <w:p w14:paraId="6B1B6FB8" w14:textId="77777777" w:rsidR="00D57DE4" w:rsidRPr="004C7657" w:rsidRDefault="00D57DE4" w:rsidP="00D57DE4">
      <w:pPr>
        <w:pStyle w:val="HChG"/>
        <w:pageBreakBefore/>
        <w:spacing w:line="240" w:lineRule="auto"/>
        <w:rPr>
          <w:sz w:val="24"/>
          <w:szCs w:val="24"/>
        </w:rPr>
      </w:pPr>
      <w:r>
        <w:rPr>
          <w:szCs w:val="24"/>
        </w:rPr>
        <w:lastRenderedPageBreak/>
        <w:tab/>
      </w:r>
      <w:r w:rsidRPr="004C7657">
        <w:rPr>
          <w:sz w:val="24"/>
          <w:szCs w:val="24"/>
        </w:rPr>
        <w:t>I.</w:t>
      </w:r>
      <w:r w:rsidRPr="004C7657">
        <w:rPr>
          <w:sz w:val="24"/>
          <w:szCs w:val="24"/>
        </w:rPr>
        <w:tab/>
        <w:t>Proposition</w:t>
      </w:r>
    </w:p>
    <w:p w14:paraId="1699D45E" w14:textId="77777777" w:rsidR="00D57DE4" w:rsidRPr="004C7657" w:rsidRDefault="00D57DE4" w:rsidP="00D57DE4">
      <w:pPr>
        <w:pStyle w:val="SingleTxtG"/>
        <w:spacing w:line="240" w:lineRule="auto"/>
        <w:rPr>
          <w:szCs w:val="24"/>
        </w:rPr>
      </w:pPr>
      <w:bookmarkStart w:id="2" w:name="_Hlk20393058"/>
      <w:r w:rsidRPr="004C7657">
        <w:rPr>
          <w:i/>
          <w:szCs w:val="24"/>
        </w:rPr>
        <w:t>Ajouter un nouveau paragraphe 6.10</w:t>
      </w:r>
      <w:r w:rsidRPr="004C7657">
        <w:rPr>
          <w:szCs w:val="24"/>
        </w:rPr>
        <w:t xml:space="preserve"> ainsi conçu</w:t>
      </w:r>
      <w:r>
        <w:rPr>
          <w:szCs w:val="24"/>
        </w:rPr>
        <w:t> </w:t>
      </w:r>
      <w:r w:rsidRPr="004C7657">
        <w:rPr>
          <w:szCs w:val="24"/>
        </w:rPr>
        <w:t>:</w:t>
      </w:r>
    </w:p>
    <w:p w14:paraId="2674CAA1" w14:textId="77777777" w:rsidR="00D57DE4" w:rsidRPr="004C7657" w:rsidRDefault="00D57DE4" w:rsidP="00D57DE4">
      <w:pPr>
        <w:pStyle w:val="SingleTxtG"/>
        <w:spacing w:line="240" w:lineRule="auto"/>
        <w:ind w:hanging="141"/>
        <w:rPr>
          <w:b/>
          <w:bCs/>
          <w:szCs w:val="24"/>
        </w:rPr>
      </w:pPr>
      <w:r w:rsidRPr="004C7657">
        <w:rPr>
          <w:szCs w:val="24"/>
        </w:rPr>
        <w:t>« </w:t>
      </w:r>
      <w:r w:rsidRPr="004C7657">
        <w:rPr>
          <w:b/>
          <w:bCs/>
          <w:szCs w:val="24"/>
        </w:rPr>
        <w:t>6.10</w:t>
      </w:r>
      <w:r w:rsidRPr="004C7657">
        <w:rPr>
          <w:b/>
          <w:bCs/>
          <w:szCs w:val="24"/>
        </w:rPr>
        <w:tab/>
      </w:r>
      <w:r>
        <w:rPr>
          <w:b/>
          <w:bCs/>
          <w:szCs w:val="24"/>
        </w:rPr>
        <w:tab/>
      </w:r>
      <w:r w:rsidRPr="004C7657">
        <w:rPr>
          <w:b/>
          <w:bCs/>
          <w:szCs w:val="24"/>
        </w:rPr>
        <w:t>Fiabilité du système</w:t>
      </w:r>
    </w:p>
    <w:p w14:paraId="698E49F8" w14:textId="77777777" w:rsidR="00D57DE4" w:rsidRPr="004C7657" w:rsidRDefault="00D57DE4" w:rsidP="00D57DE4">
      <w:pPr>
        <w:pStyle w:val="SingleTxtG"/>
        <w:spacing w:line="240" w:lineRule="auto"/>
        <w:ind w:left="2268" w:hanging="1134"/>
        <w:rPr>
          <w:b/>
          <w:bCs/>
          <w:szCs w:val="24"/>
        </w:rPr>
      </w:pPr>
      <w:r w:rsidRPr="004C7657">
        <w:rPr>
          <w:b/>
          <w:bCs/>
          <w:szCs w:val="24"/>
        </w:rPr>
        <w:t>6.10.1</w:t>
      </w:r>
      <w:r w:rsidRPr="004C7657">
        <w:rPr>
          <w:b/>
          <w:bCs/>
          <w:szCs w:val="24"/>
        </w:rPr>
        <w:tab/>
      </w:r>
      <w:r w:rsidRPr="004C7657">
        <w:rPr>
          <w:b/>
          <w:bCs/>
          <w:szCs w:val="24"/>
        </w:rPr>
        <w:tab/>
        <w:t>Chacun des scénarios d’essai ci-dessus, un scénario correspondant à une configuration d’essai, une vitesse du véhicule mis à l’essai et une configuration de charge d’une catégorie (voiture contre voiture, voiture contre piéton), doit être appliqué deux fois. Si l’un de ces deux essais ne satisfait pas aux prescriptions, il peut être répété une fois. Un scénario d’essai est jugé satisfaisant si deux essais répondent aux prescriptions. Le nombre d’essais insatisfaisants dans une catégorie ne doit pas dépasser</w:t>
      </w:r>
      <w:r>
        <w:rPr>
          <w:b/>
          <w:bCs/>
          <w:szCs w:val="24"/>
        </w:rPr>
        <w:t> </w:t>
      </w:r>
      <w:r w:rsidRPr="004C7657">
        <w:rPr>
          <w:b/>
          <w:bCs/>
          <w:szCs w:val="24"/>
        </w:rPr>
        <w:t>:</w:t>
      </w:r>
    </w:p>
    <w:p w14:paraId="12B893E0" w14:textId="77777777" w:rsidR="00D57DE4" w:rsidRPr="004C7657" w:rsidRDefault="00D57DE4" w:rsidP="00D57DE4">
      <w:pPr>
        <w:pStyle w:val="SingleTxtG"/>
        <w:numPr>
          <w:ilvl w:val="0"/>
          <w:numId w:val="17"/>
        </w:numPr>
        <w:kinsoku/>
        <w:overflowPunct/>
        <w:autoSpaceDE/>
        <w:autoSpaceDN/>
        <w:adjustRightInd/>
        <w:snapToGrid/>
        <w:spacing w:line="240" w:lineRule="auto"/>
        <w:ind w:left="2552" w:hanging="284"/>
        <w:rPr>
          <w:b/>
          <w:bCs/>
          <w:szCs w:val="24"/>
        </w:rPr>
      </w:pPr>
      <w:r w:rsidRPr="004C7657">
        <w:rPr>
          <w:b/>
          <w:bCs/>
          <w:szCs w:val="24"/>
        </w:rPr>
        <w:t>10</w:t>
      </w:r>
      <w:r>
        <w:rPr>
          <w:b/>
          <w:bCs/>
          <w:szCs w:val="24"/>
        </w:rPr>
        <w:t> </w:t>
      </w:r>
      <w:r w:rsidRPr="004C7657">
        <w:rPr>
          <w:b/>
          <w:bCs/>
          <w:szCs w:val="24"/>
        </w:rPr>
        <w:t xml:space="preserve">% </w:t>
      </w:r>
      <w:bookmarkStart w:id="3" w:name="_Hlk27750284"/>
      <w:r w:rsidRPr="004C7657">
        <w:rPr>
          <w:b/>
          <w:bCs/>
          <w:szCs w:val="24"/>
        </w:rPr>
        <w:t xml:space="preserve">du nombre d’essais effectués pour les scénarios </w:t>
      </w:r>
      <w:bookmarkEnd w:id="3"/>
      <w:r w:rsidRPr="004C7657">
        <w:rPr>
          <w:b/>
          <w:bCs/>
          <w:szCs w:val="24"/>
        </w:rPr>
        <w:t>voiture contre voiture</w:t>
      </w:r>
      <w:r>
        <w:rPr>
          <w:b/>
          <w:bCs/>
          <w:szCs w:val="24"/>
        </w:rPr>
        <w:t> </w:t>
      </w:r>
      <w:r w:rsidRPr="004C7657">
        <w:rPr>
          <w:b/>
          <w:bCs/>
          <w:szCs w:val="24"/>
        </w:rPr>
        <w:t xml:space="preserve">;  </w:t>
      </w:r>
    </w:p>
    <w:p w14:paraId="4E0DB79D" w14:textId="77777777" w:rsidR="00D57DE4" w:rsidRPr="004C7657" w:rsidRDefault="00D57DE4" w:rsidP="00D57DE4">
      <w:pPr>
        <w:pStyle w:val="SingleTxtG"/>
        <w:numPr>
          <w:ilvl w:val="0"/>
          <w:numId w:val="17"/>
        </w:numPr>
        <w:kinsoku/>
        <w:overflowPunct/>
        <w:autoSpaceDE/>
        <w:autoSpaceDN/>
        <w:adjustRightInd/>
        <w:snapToGrid/>
        <w:spacing w:line="240" w:lineRule="auto"/>
        <w:ind w:left="2552" w:hanging="284"/>
        <w:rPr>
          <w:b/>
          <w:bCs/>
          <w:szCs w:val="24"/>
        </w:rPr>
      </w:pPr>
      <w:r w:rsidRPr="004C7657">
        <w:rPr>
          <w:b/>
          <w:bCs/>
          <w:szCs w:val="24"/>
        </w:rPr>
        <w:t>10</w:t>
      </w:r>
      <w:r>
        <w:rPr>
          <w:b/>
          <w:bCs/>
          <w:szCs w:val="24"/>
        </w:rPr>
        <w:t> </w:t>
      </w:r>
      <w:r w:rsidRPr="004C7657">
        <w:rPr>
          <w:b/>
          <w:bCs/>
          <w:szCs w:val="24"/>
        </w:rPr>
        <w:t>% du nombre d’essais effectués pour les scénarios voiture contre piéton.</w:t>
      </w:r>
    </w:p>
    <w:p w14:paraId="7F49E78F" w14:textId="77777777" w:rsidR="00D57DE4" w:rsidRPr="004C7657" w:rsidRDefault="00D57DE4" w:rsidP="00D57DE4">
      <w:pPr>
        <w:pStyle w:val="SingleTxtG"/>
        <w:spacing w:line="240" w:lineRule="auto"/>
        <w:ind w:left="2268" w:hanging="1134"/>
        <w:rPr>
          <w:b/>
          <w:bCs/>
          <w:szCs w:val="24"/>
        </w:rPr>
      </w:pPr>
      <w:r w:rsidRPr="004C7657">
        <w:rPr>
          <w:b/>
          <w:bCs/>
          <w:szCs w:val="24"/>
        </w:rPr>
        <w:t>6.10.2</w:t>
      </w:r>
      <w:r w:rsidRPr="004C7657">
        <w:rPr>
          <w:b/>
          <w:bCs/>
          <w:szCs w:val="24"/>
        </w:rPr>
        <w:tab/>
        <w:t>La cause principale de tout essai insatisfaisant doit être analysée avec le service technique et annexée au procès-verbal d’essai. Si la cause principale ne peut être imputée à une variation des paramètres de la configuration d’essai, le service technique peut effectuer des essais à d’autres vitesses dans la plage des vitesses définie aux paragraphes</w:t>
      </w:r>
      <w:r>
        <w:rPr>
          <w:b/>
          <w:bCs/>
          <w:szCs w:val="24"/>
        </w:rPr>
        <w:t> </w:t>
      </w:r>
      <w:r w:rsidRPr="004C7657">
        <w:rPr>
          <w:b/>
          <w:bCs/>
          <w:szCs w:val="24"/>
        </w:rPr>
        <w:t>5.2.1.3., 5.2.2.3. ou 5.2.2.4., selon le cas.</w:t>
      </w:r>
    </w:p>
    <w:p w14:paraId="51455DDF" w14:textId="653F19D1" w:rsidR="00D57DE4" w:rsidRPr="004C7657" w:rsidRDefault="00D57DE4" w:rsidP="00D57DE4">
      <w:pPr>
        <w:pStyle w:val="SingleTxtG"/>
        <w:spacing w:line="240" w:lineRule="auto"/>
        <w:ind w:left="2268" w:hanging="1134"/>
        <w:rPr>
          <w:szCs w:val="24"/>
        </w:rPr>
      </w:pPr>
      <w:r w:rsidRPr="004C7657">
        <w:rPr>
          <w:b/>
          <w:bCs/>
          <w:szCs w:val="24"/>
        </w:rPr>
        <w:t>6.10.3</w:t>
      </w:r>
      <w:r w:rsidRPr="004C7657">
        <w:rPr>
          <w:b/>
          <w:bCs/>
          <w:szCs w:val="24"/>
        </w:rPr>
        <w:tab/>
        <w:t>Dans le cadre de l’évaluation conformément aux dispositions de l’annexe</w:t>
      </w:r>
      <w:r w:rsidR="00A67BFB">
        <w:rPr>
          <w:b/>
          <w:bCs/>
          <w:szCs w:val="24"/>
        </w:rPr>
        <w:t> </w:t>
      </w:r>
      <w:r w:rsidRPr="004C7657">
        <w:rPr>
          <w:b/>
          <w:bCs/>
          <w:szCs w:val="24"/>
        </w:rPr>
        <w:t>3, le constructeur doit démontrer, dossier à l’appui, que le système peut satisfaire aux prescriptions.</w:t>
      </w:r>
      <w:r>
        <w:rPr>
          <w:szCs w:val="24"/>
        </w:rPr>
        <w:t> </w:t>
      </w:r>
      <w:r w:rsidRPr="004C7657">
        <w:rPr>
          <w:szCs w:val="24"/>
        </w:rPr>
        <w:t>»</w:t>
      </w:r>
    </w:p>
    <w:bookmarkEnd w:id="2"/>
    <w:p w14:paraId="6D2F16D7" w14:textId="77777777" w:rsidR="00D57DE4" w:rsidRPr="004C7657" w:rsidRDefault="00D57DE4" w:rsidP="00D57DE4">
      <w:pPr>
        <w:pStyle w:val="HChG"/>
        <w:spacing w:line="240" w:lineRule="auto"/>
        <w:rPr>
          <w:sz w:val="24"/>
          <w:szCs w:val="24"/>
        </w:rPr>
      </w:pPr>
      <w:r w:rsidRPr="004C7657">
        <w:rPr>
          <w:sz w:val="24"/>
          <w:szCs w:val="24"/>
        </w:rPr>
        <w:tab/>
        <w:t>II.</w:t>
      </w:r>
      <w:r w:rsidRPr="004C7657">
        <w:rPr>
          <w:sz w:val="24"/>
          <w:szCs w:val="24"/>
        </w:rPr>
        <w:tab/>
        <w:t>Justification</w:t>
      </w:r>
    </w:p>
    <w:p w14:paraId="428C2659" w14:textId="77777777" w:rsidR="00D57DE4" w:rsidRPr="004C7657" w:rsidRDefault="00D57DE4" w:rsidP="00D57DE4">
      <w:pPr>
        <w:pStyle w:val="SingleTxtG"/>
        <w:spacing w:line="240" w:lineRule="auto"/>
        <w:rPr>
          <w:szCs w:val="24"/>
        </w:rPr>
      </w:pPr>
      <w:r w:rsidRPr="004C7657">
        <w:rPr>
          <w:szCs w:val="24"/>
        </w:rPr>
        <w:t>1.</w:t>
      </w:r>
      <w:r w:rsidRPr="004C7657">
        <w:rPr>
          <w:szCs w:val="24"/>
        </w:rPr>
        <w:tab/>
        <w:t xml:space="preserve">La présente proposition s’inscrit dans le cadre du suivi de l’accord général conclu à la quatrième session du Groupe de travail des véhicules automatisés/autonomes et connectés (GRVA), en septembre 2019, concernant la nécessité de se pencher sur la fiabilité du système et sur les éventuelles incertitudes liées à la méthode d’essai. </w:t>
      </w:r>
    </w:p>
    <w:p w14:paraId="15A80212" w14:textId="77777777" w:rsidR="00D57DE4" w:rsidRPr="004C7657" w:rsidRDefault="00D57DE4" w:rsidP="00D57DE4">
      <w:pPr>
        <w:pStyle w:val="SingleTxtG"/>
        <w:spacing w:line="240" w:lineRule="auto"/>
        <w:rPr>
          <w:szCs w:val="24"/>
        </w:rPr>
      </w:pPr>
      <w:r w:rsidRPr="004C7657">
        <w:rPr>
          <w:szCs w:val="24"/>
        </w:rPr>
        <w:t>2.</w:t>
      </w:r>
      <w:r w:rsidRPr="004C7657">
        <w:rPr>
          <w:szCs w:val="24"/>
        </w:rPr>
        <w:tab/>
        <w:t>En raison de facteurs extérieurs au système, il est tout simplement impossible de s’assurer que chaque essai se déroule exactement dans les mêmes conditions. C’est pourquoi on ne peut conclure, après un seul essai insatisfaisant, que les AEBS ne peuvent atteindre les performances maximales. Dans le même temps, il convient de vérifier si un essai insatisfaisant est ou non dû à une défaillance systématique de l’AEBS.</w:t>
      </w:r>
    </w:p>
    <w:p w14:paraId="696428EE" w14:textId="77777777" w:rsidR="00D57DE4" w:rsidRPr="004C7657" w:rsidRDefault="00D57DE4" w:rsidP="00D57DE4">
      <w:pPr>
        <w:pStyle w:val="SingleTxtG"/>
        <w:spacing w:line="240" w:lineRule="auto"/>
        <w:rPr>
          <w:szCs w:val="24"/>
        </w:rPr>
      </w:pPr>
      <w:r w:rsidRPr="004C7657">
        <w:rPr>
          <w:szCs w:val="24"/>
        </w:rPr>
        <w:t>3.</w:t>
      </w:r>
      <w:r w:rsidRPr="004C7657">
        <w:rPr>
          <w:szCs w:val="24"/>
        </w:rPr>
        <w:tab/>
        <w:t xml:space="preserve">Le présent texte est le produit des débats du groupe de travail informel de l’AEBS à sa dixième session. Il propose une solution équilibrée aux deux questions en jeu. </w:t>
      </w:r>
    </w:p>
    <w:p w14:paraId="42831BBC" w14:textId="77777777" w:rsidR="0008441A" w:rsidRPr="00D57DE4" w:rsidRDefault="00D57DE4" w:rsidP="00D57DE4">
      <w:pPr>
        <w:pStyle w:val="SingleTxtG"/>
        <w:spacing w:before="240" w:after="0"/>
        <w:jc w:val="center"/>
        <w:rPr>
          <w:u w:val="single"/>
        </w:rPr>
      </w:pPr>
      <w:r>
        <w:rPr>
          <w:u w:val="single"/>
        </w:rPr>
        <w:tab/>
      </w:r>
      <w:r>
        <w:rPr>
          <w:u w:val="single"/>
        </w:rPr>
        <w:tab/>
      </w:r>
      <w:r>
        <w:rPr>
          <w:u w:val="single"/>
        </w:rPr>
        <w:tab/>
      </w:r>
    </w:p>
    <w:sectPr w:rsidR="0008441A" w:rsidRPr="00D57DE4" w:rsidSect="00F566B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FE9A9" w14:textId="77777777" w:rsidR="0052218F" w:rsidRDefault="0052218F" w:rsidP="00F95C08">
      <w:pPr>
        <w:spacing w:line="240" w:lineRule="auto"/>
      </w:pPr>
    </w:p>
  </w:endnote>
  <w:endnote w:type="continuationSeparator" w:id="0">
    <w:p w14:paraId="23D13671" w14:textId="77777777" w:rsidR="0052218F" w:rsidRPr="00AC3823" w:rsidRDefault="0052218F" w:rsidP="00AC3823">
      <w:pPr>
        <w:pStyle w:val="Footer"/>
      </w:pPr>
    </w:p>
  </w:endnote>
  <w:endnote w:type="continuationNotice" w:id="1">
    <w:p w14:paraId="3962C918" w14:textId="77777777" w:rsidR="0052218F" w:rsidRDefault="005221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0B67" w14:textId="77777777" w:rsidR="00F566B6" w:rsidRPr="00F566B6" w:rsidRDefault="00F566B6" w:rsidP="00F566B6">
    <w:pPr>
      <w:pStyle w:val="Footer"/>
      <w:tabs>
        <w:tab w:val="right" w:pos="9638"/>
      </w:tabs>
    </w:pPr>
    <w:r w:rsidRPr="00F566B6">
      <w:rPr>
        <w:b/>
        <w:sz w:val="18"/>
      </w:rPr>
      <w:fldChar w:fldCharType="begin"/>
    </w:r>
    <w:r w:rsidRPr="00F566B6">
      <w:rPr>
        <w:b/>
        <w:sz w:val="18"/>
      </w:rPr>
      <w:instrText xml:space="preserve"> PAGE  \* MERGEFORMAT </w:instrText>
    </w:r>
    <w:r w:rsidRPr="00F566B6">
      <w:rPr>
        <w:b/>
        <w:sz w:val="18"/>
      </w:rPr>
      <w:fldChar w:fldCharType="separate"/>
    </w:r>
    <w:r w:rsidRPr="00F566B6">
      <w:rPr>
        <w:b/>
        <w:noProof/>
        <w:sz w:val="18"/>
      </w:rPr>
      <w:t>2</w:t>
    </w:r>
    <w:r w:rsidRPr="00F566B6">
      <w:rPr>
        <w:b/>
        <w:sz w:val="18"/>
      </w:rPr>
      <w:fldChar w:fldCharType="end"/>
    </w:r>
    <w:r>
      <w:rPr>
        <w:b/>
        <w:sz w:val="18"/>
      </w:rPr>
      <w:tab/>
    </w:r>
    <w:r>
      <w:t>GE.19-20611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C5CC" w14:textId="77777777" w:rsidR="00F566B6" w:rsidRPr="00F566B6" w:rsidRDefault="00F566B6" w:rsidP="00F566B6">
    <w:pPr>
      <w:pStyle w:val="Footer"/>
      <w:tabs>
        <w:tab w:val="right" w:pos="9638"/>
      </w:tabs>
      <w:rPr>
        <w:b/>
        <w:sz w:val="18"/>
      </w:rPr>
    </w:pPr>
    <w:r>
      <w:t>GE.19-20611</w:t>
    </w:r>
    <w:r>
      <w:tab/>
    </w:r>
    <w:r w:rsidRPr="00F566B6">
      <w:rPr>
        <w:b/>
        <w:sz w:val="18"/>
      </w:rPr>
      <w:fldChar w:fldCharType="begin"/>
    </w:r>
    <w:r w:rsidRPr="00F566B6">
      <w:rPr>
        <w:b/>
        <w:sz w:val="18"/>
      </w:rPr>
      <w:instrText xml:space="preserve"> PAGE  \* MERGEFORMAT </w:instrText>
    </w:r>
    <w:r w:rsidRPr="00F566B6">
      <w:rPr>
        <w:b/>
        <w:sz w:val="18"/>
      </w:rPr>
      <w:fldChar w:fldCharType="separate"/>
    </w:r>
    <w:r w:rsidRPr="00F566B6">
      <w:rPr>
        <w:b/>
        <w:noProof/>
        <w:sz w:val="18"/>
      </w:rPr>
      <w:t>3</w:t>
    </w:r>
    <w:r w:rsidRPr="00F566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A781E" w14:textId="77777777" w:rsidR="007F20FA" w:rsidRPr="00F566B6" w:rsidRDefault="00F566B6" w:rsidP="00F566B6">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1C99CAB" wp14:editId="1E8C096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19-20611  (F)    210120    210120</w:t>
    </w:r>
    <w:r>
      <w:rPr>
        <w:sz w:val="20"/>
      </w:rPr>
      <w:br/>
    </w:r>
    <w:r w:rsidRPr="00F566B6">
      <w:rPr>
        <w:rFonts w:ascii="C39T30Lfz" w:hAnsi="C39T30Lfz"/>
        <w:sz w:val="56"/>
      </w:rPr>
      <w:t></w:t>
    </w:r>
    <w:r w:rsidRPr="00F566B6">
      <w:rPr>
        <w:rFonts w:ascii="C39T30Lfz" w:hAnsi="C39T30Lfz"/>
        <w:sz w:val="56"/>
      </w:rPr>
      <w:t></w:t>
    </w:r>
    <w:r w:rsidRPr="00F566B6">
      <w:rPr>
        <w:rFonts w:ascii="C39T30Lfz" w:hAnsi="C39T30Lfz"/>
        <w:sz w:val="56"/>
      </w:rPr>
      <w:t></w:t>
    </w:r>
    <w:r w:rsidRPr="00F566B6">
      <w:rPr>
        <w:rFonts w:ascii="C39T30Lfz" w:hAnsi="C39T30Lfz"/>
        <w:sz w:val="56"/>
      </w:rPr>
      <w:t></w:t>
    </w:r>
    <w:r w:rsidRPr="00F566B6">
      <w:rPr>
        <w:rFonts w:ascii="C39T30Lfz" w:hAnsi="C39T30Lfz"/>
        <w:sz w:val="56"/>
      </w:rPr>
      <w:t></w:t>
    </w:r>
    <w:r w:rsidRPr="00F566B6">
      <w:rPr>
        <w:rFonts w:ascii="C39T30Lfz" w:hAnsi="C39T30Lfz"/>
        <w:sz w:val="56"/>
      </w:rPr>
      <w:t></w:t>
    </w:r>
    <w:r w:rsidRPr="00F566B6">
      <w:rPr>
        <w:rFonts w:ascii="C39T30Lfz" w:hAnsi="C39T30Lfz"/>
        <w:sz w:val="56"/>
      </w:rPr>
      <w:t></w:t>
    </w:r>
    <w:r w:rsidRPr="00F566B6">
      <w:rPr>
        <w:rFonts w:ascii="C39T30Lfz" w:hAnsi="C39T30Lfz"/>
        <w:sz w:val="56"/>
      </w:rPr>
      <w:t></w:t>
    </w:r>
    <w:r w:rsidRPr="00F566B6">
      <w:rPr>
        <w:rFonts w:ascii="C39T30Lfz" w:hAnsi="C39T30Lfz"/>
        <w:sz w:val="56"/>
      </w:rPr>
      <w:t></w:t>
    </w:r>
    <w:r>
      <w:rPr>
        <w:noProof/>
        <w:sz w:val="20"/>
      </w:rPr>
      <w:drawing>
        <wp:anchor distT="0" distB="0" distL="114300" distR="114300" simplePos="0" relativeHeight="251658240" behindDoc="0" locked="0" layoutInCell="1" allowOverlap="1" wp14:anchorId="16A758AC" wp14:editId="2D017AF4">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8F8A1" w14:textId="77777777" w:rsidR="0052218F" w:rsidRPr="00AC3823" w:rsidRDefault="0052218F" w:rsidP="00AC3823">
      <w:pPr>
        <w:pStyle w:val="Footer"/>
        <w:tabs>
          <w:tab w:val="right" w:pos="2155"/>
        </w:tabs>
        <w:spacing w:after="80" w:line="240" w:lineRule="atLeast"/>
        <w:ind w:left="680"/>
        <w:rPr>
          <w:u w:val="single"/>
        </w:rPr>
      </w:pPr>
      <w:r>
        <w:rPr>
          <w:u w:val="single"/>
        </w:rPr>
        <w:tab/>
      </w:r>
    </w:p>
  </w:footnote>
  <w:footnote w:type="continuationSeparator" w:id="0">
    <w:p w14:paraId="3EEEBE67" w14:textId="77777777" w:rsidR="0052218F" w:rsidRPr="00AC3823" w:rsidRDefault="0052218F" w:rsidP="00AC3823">
      <w:pPr>
        <w:pStyle w:val="Footer"/>
        <w:tabs>
          <w:tab w:val="right" w:pos="2155"/>
        </w:tabs>
        <w:spacing w:after="80" w:line="240" w:lineRule="atLeast"/>
        <w:ind w:left="680"/>
        <w:rPr>
          <w:u w:val="single"/>
        </w:rPr>
      </w:pPr>
      <w:r>
        <w:rPr>
          <w:u w:val="single"/>
        </w:rPr>
        <w:tab/>
      </w:r>
    </w:p>
  </w:footnote>
  <w:footnote w:type="continuationNotice" w:id="1">
    <w:p w14:paraId="125D0623" w14:textId="77777777" w:rsidR="0052218F" w:rsidRPr="00AC3823" w:rsidRDefault="0052218F">
      <w:pPr>
        <w:spacing w:line="240" w:lineRule="auto"/>
        <w:rPr>
          <w:sz w:val="2"/>
          <w:szCs w:val="2"/>
        </w:rPr>
      </w:pPr>
    </w:p>
  </w:footnote>
  <w:footnote w:id="2">
    <w:p w14:paraId="1B7E6688" w14:textId="42D527A7" w:rsidR="00371BDA" w:rsidRPr="00371BDA" w:rsidRDefault="00371BDA">
      <w:pPr>
        <w:pStyle w:val="FootnoteText"/>
      </w:pPr>
      <w:r>
        <w:rPr>
          <w:rStyle w:val="FootnoteReference"/>
        </w:rPr>
        <w:tab/>
      </w:r>
      <w:r w:rsidRPr="00371BDA">
        <w:rPr>
          <w:rStyle w:val="FootnoteReference"/>
          <w:sz w:val="20"/>
          <w:vertAlign w:val="baseline"/>
        </w:rPr>
        <w:t>*</w:t>
      </w:r>
      <w:r>
        <w:rPr>
          <w:rStyle w:val="FootnoteReference"/>
          <w:sz w:val="20"/>
          <w:vertAlign w:val="baseline"/>
        </w:rPr>
        <w:tab/>
      </w:r>
      <w:r>
        <w:t>Nouveau tirage pour raisons techniques (22 janvier 2020).</w:t>
      </w:r>
    </w:p>
  </w:footnote>
  <w:footnote w:id="3">
    <w:p w14:paraId="2CD6AC85" w14:textId="065EF75B" w:rsidR="00F566B6" w:rsidRPr="00F566B6" w:rsidRDefault="00F566B6">
      <w:pPr>
        <w:pStyle w:val="FootnoteText"/>
      </w:pPr>
      <w:r>
        <w:rPr>
          <w:rStyle w:val="FootnoteReference"/>
        </w:rPr>
        <w:tab/>
      </w:r>
      <w:r w:rsidRPr="00F566B6">
        <w:rPr>
          <w:rStyle w:val="FootnoteReference"/>
          <w:sz w:val="20"/>
          <w:vertAlign w:val="baseline"/>
        </w:rPr>
        <w:t>*</w:t>
      </w:r>
      <w:r w:rsidR="00371BDA">
        <w:rPr>
          <w:rStyle w:val="FootnoteReference"/>
          <w:sz w:val="20"/>
          <w:vertAlign w:val="baseline"/>
        </w:rPr>
        <w:t>*</w:t>
      </w:r>
      <w:r>
        <w:rPr>
          <w:rStyle w:val="FootnoteReference"/>
          <w:sz w:val="20"/>
          <w:vertAlign w:val="baseline"/>
        </w:rPr>
        <w:tab/>
      </w:r>
      <w:r w:rsidRPr="003A10C8">
        <w:t xml:space="preserve">Ancien </w:t>
      </w:r>
      <w:r w:rsidRPr="003A10C8">
        <w:rPr>
          <w:b/>
        </w:rPr>
        <w:t>Groupe de travail en matière de roulement et de freinage (GRRF)</w:t>
      </w:r>
      <w:r w:rsidRPr="00CA4178">
        <w:t>.</w:t>
      </w:r>
    </w:p>
  </w:footnote>
  <w:footnote w:id="4">
    <w:p w14:paraId="42A547E7" w14:textId="04440EB1" w:rsidR="00F566B6" w:rsidRPr="00F566B6" w:rsidRDefault="00F566B6">
      <w:pPr>
        <w:pStyle w:val="FootnoteText"/>
      </w:pPr>
      <w:r>
        <w:rPr>
          <w:rStyle w:val="FootnoteReference"/>
        </w:rPr>
        <w:tab/>
      </w:r>
      <w:r w:rsidRPr="00F566B6">
        <w:rPr>
          <w:rStyle w:val="FootnoteReference"/>
          <w:sz w:val="20"/>
          <w:vertAlign w:val="baseline"/>
        </w:rPr>
        <w:t>**</w:t>
      </w:r>
      <w:r w:rsidR="00371BDA">
        <w:rPr>
          <w:sz w:val="20"/>
        </w:rPr>
        <w:t>*</w:t>
      </w:r>
      <w:r>
        <w:rPr>
          <w:rStyle w:val="FootnoteReference"/>
          <w:sz w:val="20"/>
          <w:vertAlign w:val="baseline"/>
        </w:rPr>
        <w:tab/>
      </w:r>
      <w:r w:rsidRPr="004C7657">
        <w:rPr>
          <w:szCs w:val="18"/>
        </w:rPr>
        <w:t>Conformément au programme de travail du Comité des transports intérieurs pour 2020 tel qu’il figure dans le projet de budget-programme pour 2020 (A/74/6 (titre V, chap.</w:t>
      </w:r>
      <w:r>
        <w:rPr>
          <w:szCs w:val="18"/>
        </w:rPr>
        <w:t> </w:t>
      </w:r>
      <w:r w:rsidRPr="004C7657">
        <w:rPr>
          <w:szCs w:val="18"/>
        </w:rPr>
        <w:t>20), par.</w:t>
      </w:r>
      <w:r>
        <w:rPr>
          <w:szCs w:val="18"/>
        </w:rPr>
        <w:t> </w:t>
      </w:r>
      <w:r w:rsidRPr="004C7657">
        <w:rPr>
          <w:szCs w:val="18"/>
        </w:rPr>
        <w:t>20.37), le Forum mondial a pour mission d’élaborer, d’harmoniser et de mettre à jour les Règlements ONU en vue d’améliorer les caractéristiques fonctionnelles des véhicules.</w:t>
      </w:r>
      <w:r w:rsidR="00371BDA">
        <w:rPr>
          <w:szCs w:val="18"/>
        </w:rPr>
        <w:t xml:space="preserve"> </w:t>
      </w:r>
      <w:r w:rsidR="00371BDA">
        <w:rPr>
          <w:lang w:val="fr-FR"/>
        </w:rPr>
        <w:t>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BBEA" w14:textId="3FAD6FF7" w:rsidR="00F566B6" w:rsidRPr="00F566B6" w:rsidRDefault="00F566B6">
    <w:pPr>
      <w:pStyle w:val="Header"/>
    </w:pPr>
    <w:fldSimple w:instr=" TITLE  \* MERGEFORMAT ">
      <w:r w:rsidR="00CA4178">
        <w:t>ECE/TRANS/WP.29/GRVA/2020/17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275D" w14:textId="3F2FD712" w:rsidR="00F566B6" w:rsidRPr="00F566B6" w:rsidRDefault="00F566B6" w:rsidP="00F566B6">
    <w:pPr>
      <w:pStyle w:val="Header"/>
      <w:jc w:val="right"/>
    </w:pPr>
    <w:fldSimple w:instr=" TITLE  \* MERGEFORMAT ">
      <w:r w:rsidR="00CA4178">
        <w:t>ECE/TRANS/WP.29/GRVA/2020/17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8F"/>
    <w:rsid w:val="0000045C"/>
    <w:rsid w:val="00017F94"/>
    <w:rsid w:val="00023842"/>
    <w:rsid w:val="000334F9"/>
    <w:rsid w:val="00045FEB"/>
    <w:rsid w:val="0007796D"/>
    <w:rsid w:val="0008441A"/>
    <w:rsid w:val="000B7790"/>
    <w:rsid w:val="00111F2F"/>
    <w:rsid w:val="0014365E"/>
    <w:rsid w:val="00143C66"/>
    <w:rsid w:val="00151352"/>
    <w:rsid w:val="00176178"/>
    <w:rsid w:val="001F525A"/>
    <w:rsid w:val="00223272"/>
    <w:rsid w:val="0024779E"/>
    <w:rsid w:val="00257168"/>
    <w:rsid w:val="002744B8"/>
    <w:rsid w:val="002832AC"/>
    <w:rsid w:val="002D7C93"/>
    <w:rsid w:val="00305801"/>
    <w:rsid w:val="003067D2"/>
    <w:rsid w:val="00371BDA"/>
    <w:rsid w:val="003916DE"/>
    <w:rsid w:val="00421996"/>
    <w:rsid w:val="00441C3B"/>
    <w:rsid w:val="00446FE5"/>
    <w:rsid w:val="00452396"/>
    <w:rsid w:val="004837D8"/>
    <w:rsid w:val="004E2EED"/>
    <w:rsid w:val="004E468C"/>
    <w:rsid w:val="0052218F"/>
    <w:rsid w:val="005505B7"/>
    <w:rsid w:val="00573BE5"/>
    <w:rsid w:val="00586ED3"/>
    <w:rsid w:val="00596AA9"/>
    <w:rsid w:val="00670852"/>
    <w:rsid w:val="0071601D"/>
    <w:rsid w:val="007A62E6"/>
    <w:rsid w:val="007F20FA"/>
    <w:rsid w:val="0080684C"/>
    <w:rsid w:val="00871C75"/>
    <w:rsid w:val="008776DC"/>
    <w:rsid w:val="009446C0"/>
    <w:rsid w:val="009705C8"/>
    <w:rsid w:val="009C1CF4"/>
    <w:rsid w:val="009F6B74"/>
    <w:rsid w:val="00A3029F"/>
    <w:rsid w:val="00A30353"/>
    <w:rsid w:val="00A67BFB"/>
    <w:rsid w:val="00AC3823"/>
    <w:rsid w:val="00AE323C"/>
    <w:rsid w:val="00AF0CB5"/>
    <w:rsid w:val="00B00181"/>
    <w:rsid w:val="00B00B0D"/>
    <w:rsid w:val="00B45F2E"/>
    <w:rsid w:val="00B765F7"/>
    <w:rsid w:val="00BA0CA9"/>
    <w:rsid w:val="00C02897"/>
    <w:rsid w:val="00C97039"/>
    <w:rsid w:val="00CA4178"/>
    <w:rsid w:val="00D3439C"/>
    <w:rsid w:val="00D3596F"/>
    <w:rsid w:val="00D57DE4"/>
    <w:rsid w:val="00DB1831"/>
    <w:rsid w:val="00DD3BFD"/>
    <w:rsid w:val="00DF6678"/>
    <w:rsid w:val="00E0299A"/>
    <w:rsid w:val="00E85C74"/>
    <w:rsid w:val="00EA6547"/>
    <w:rsid w:val="00EF2E22"/>
    <w:rsid w:val="00F35BAF"/>
    <w:rsid w:val="00F566B6"/>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99CA9"/>
  <w15:docId w15:val="{993A6893-F616-429D-BF43-8C8A6E7F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3596F"/>
    <w:rPr>
      <w:rFonts w:ascii="Times New Roman" w:eastAsiaTheme="minorHAnsi" w:hAnsi="Times New Roman" w:cs="Times New Roman"/>
      <w:sz w:val="20"/>
      <w:szCs w:val="20"/>
      <w:lang w:eastAsia="en-US"/>
    </w:rPr>
  </w:style>
  <w:style w:type="character" w:customStyle="1" w:styleId="HChGChar">
    <w:name w:val="_ H _Ch_G Char"/>
    <w:link w:val="HChG"/>
    <w:rsid w:val="00D3596F"/>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2975</Characters>
  <Application>Microsoft Office Word</Application>
  <DocSecurity>0</DocSecurity>
  <Lines>74</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ECE/TRANS/WP.29/GRVA/2020/17</vt:lpstr>
      <vt:lpstr>ECE/TRANS/WP.29/GRVA/2020/17</vt:lpstr>
    </vt:vector>
  </TitlesOfParts>
  <Company>DCM</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ECE/TRANS/WP.29/GRVA/2020/17</dc:title>
  <dc:subject/>
  <dc:creator>Brianne MAGNAT</dc:creator>
  <cp:keywords/>
  <cp:lastModifiedBy>Benedicte Boudol</cp:lastModifiedBy>
  <cp:revision>2</cp:revision>
  <cp:lastPrinted>2020-01-21T13:25:00Z</cp:lastPrinted>
  <dcterms:created xsi:type="dcterms:W3CDTF">2020-01-22T15:10:00Z</dcterms:created>
  <dcterms:modified xsi:type="dcterms:W3CDTF">2020-01-22T15:10:00Z</dcterms:modified>
</cp:coreProperties>
</file>