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E679F" w:rsidP="003E679F">
            <w:pPr>
              <w:suppressAutoHyphens w:val="0"/>
              <w:spacing w:after="20"/>
              <w:jc w:val="right"/>
            </w:pPr>
            <w:r w:rsidRPr="003E679F">
              <w:rPr>
                <w:sz w:val="40"/>
              </w:rPr>
              <w:t>ECE</w:t>
            </w:r>
            <w:r>
              <w:t>/TRANS/WP.29/GRVA/2020/14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E679F" w:rsidP="003E679F">
            <w:pPr>
              <w:spacing w:before="240"/>
            </w:pPr>
            <w:r>
              <w:t>Distr.: General</w:t>
            </w:r>
          </w:p>
          <w:p w:rsidR="003E679F" w:rsidRDefault="003E679F" w:rsidP="003E679F">
            <w:pPr>
              <w:suppressAutoHyphens w:val="0"/>
            </w:pPr>
            <w:r>
              <w:t>29 November 2019</w:t>
            </w:r>
          </w:p>
          <w:p w:rsidR="003E679F" w:rsidRDefault="003E679F" w:rsidP="003E679F">
            <w:pPr>
              <w:suppressAutoHyphens w:val="0"/>
            </w:pPr>
            <w:r>
              <w:t>English</w:t>
            </w:r>
          </w:p>
          <w:p w:rsidR="003E679F" w:rsidRDefault="003E679F" w:rsidP="003E679F">
            <w:pPr>
              <w:suppressAutoHyphens w:val="0"/>
            </w:pPr>
            <w:r>
              <w:t>Original: Russian</w:t>
            </w:r>
          </w:p>
        </w:tc>
      </w:tr>
    </w:tbl>
    <w:p w:rsidR="00A915FB" w:rsidRDefault="00A915FB">
      <w:pPr>
        <w:spacing w:before="120"/>
        <w:rPr>
          <w:b/>
          <w:sz w:val="28"/>
          <w:szCs w:val="28"/>
        </w:rPr>
      </w:pPr>
      <w:r>
        <w:rPr>
          <w:b/>
          <w:sz w:val="28"/>
          <w:szCs w:val="28"/>
        </w:rPr>
        <w:t>Economic Commission for Europe</w:t>
      </w:r>
    </w:p>
    <w:p w:rsidR="00A915FB" w:rsidRDefault="00A915FB">
      <w:pPr>
        <w:spacing w:before="120"/>
        <w:rPr>
          <w:sz w:val="28"/>
          <w:szCs w:val="28"/>
        </w:rPr>
      </w:pPr>
      <w:r>
        <w:rPr>
          <w:sz w:val="28"/>
          <w:szCs w:val="28"/>
        </w:rPr>
        <w:t>Inland Transport Committee</w:t>
      </w:r>
    </w:p>
    <w:p w:rsidR="00A915FB" w:rsidRPr="00A915FB" w:rsidRDefault="00A915FB" w:rsidP="00A915FB">
      <w:pPr>
        <w:spacing w:before="120"/>
        <w:rPr>
          <w:b/>
          <w:sz w:val="24"/>
          <w:szCs w:val="24"/>
        </w:rPr>
      </w:pPr>
      <w:r w:rsidRPr="00A915FB">
        <w:rPr>
          <w:b/>
          <w:sz w:val="24"/>
          <w:szCs w:val="24"/>
        </w:rPr>
        <w:t>World Forum for Harmonization of Vehicle Regulations</w:t>
      </w:r>
    </w:p>
    <w:p w:rsidR="00A915FB" w:rsidRPr="008D05EB" w:rsidRDefault="00A915FB" w:rsidP="00681DC5">
      <w:pPr>
        <w:spacing w:before="120"/>
      </w:pPr>
      <w:r w:rsidRPr="00681DC5">
        <w:rPr>
          <w:b/>
          <w:bCs/>
        </w:rPr>
        <w:t>Working Party on Automated/Autonomous and Connected Vehicles</w:t>
      </w:r>
      <w:r w:rsidR="008D05EB" w:rsidRPr="008D05EB">
        <w:rPr>
          <w:rStyle w:val="FootnoteReference"/>
          <w:sz w:val="20"/>
          <w:vertAlign w:val="baseline"/>
        </w:rPr>
        <w:footnoteReference w:customMarkFollows="1" w:id="1"/>
        <w:t>*</w:t>
      </w:r>
    </w:p>
    <w:p w:rsidR="00A915FB" w:rsidRPr="00681DC5" w:rsidRDefault="00A915FB" w:rsidP="00681DC5">
      <w:pPr>
        <w:spacing w:before="120"/>
        <w:rPr>
          <w:b/>
          <w:bCs/>
        </w:rPr>
      </w:pPr>
      <w:r w:rsidRPr="00681DC5">
        <w:rPr>
          <w:b/>
          <w:bCs/>
        </w:rPr>
        <w:t>Fifth session</w:t>
      </w:r>
    </w:p>
    <w:p w:rsidR="00A915FB" w:rsidRPr="00584DF8" w:rsidRDefault="00A915FB" w:rsidP="00A915FB">
      <w:r w:rsidRPr="00584DF8">
        <w:t>Geneva, 10–14 February 2020</w:t>
      </w:r>
    </w:p>
    <w:p w:rsidR="00A915FB" w:rsidRPr="00584DF8" w:rsidRDefault="00A915FB" w:rsidP="00A915FB">
      <w:r w:rsidRPr="00584DF8">
        <w:t>Item 8 (c) of the provisional agenda</w:t>
      </w:r>
    </w:p>
    <w:p w:rsidR="00A915FB" w:rsidRPr="00681DC5" w:rsidRDefault="00A915FB" w:rsidP="00A915FB">
      <w:pPr>
        <w:rPr>
          <w:b/>
          <w:bCs/>
        </w:rPr>
      </w:pPr>
      <w:r w:rsidRPr="00681DC5">
        <w:rPr>
          <w:b/>
          <w:bCs/>
        </w:rPr>
        <w:t>UN Regulations Nos. 13, 13-H, 139 and 140:</w:t>
      </w:r>
    </w:p>
    <w:p w:rsidR="00A915FB" w:rsidRPr="00681DC5" w:rsidRDefault="00A915FB" w:rsidP="00A915FB">
      <w:pPr>
        <w:rPr>
          <w:b/>
          <w:bCs/>
        </w:rPr>
      </w:pPr>
      <w:r w:rsidRPr="00681DC5">
        <w:rPr>
          <w:b/>
          <w:bCs/>
        </w:rPr>
        <w:t>Clarifications</w:t>
      </w:r>
    </w:p>
    <w:p w:rsidR="00AB7C47" w:rsidRPr="00584DF8" w:rsidRDefault="00AB7C47" w:rsidP="008D05EB">
      <w:pPr>
        <w:pStyle w:val="HChG"/>
      </w:pPr>
      <w:r w:rsidRPr="00584DF8">
        <w:tab/>
      </w:r>
      <w:r w:rsidRPr="00584DF8">
        <w:tab/>
        <w:t>Proposal for a Supplement to the 11 series of amendments to UN Regulation No. 13 (Heavy vehicle braking)</w:t>
      </w:r>
    </w:p>
    <w:p w:rsidR="00AB7C47" w:rsidRPr="00584DF8" w:rsidRDefault="00AB7C47" w:rsidP="008D05EB">
      <w:pPr>
        <w:pStyle w:val="H1G"/>
      </w:pPr>
      <w:r w:rsidRPr="00584DF8">
        <w:tab/>
      </w:r>
      <w:r w:rsidRPr="00584DF8">
        <w:tab/>
        <w:t>Submitted by the expert from the Russian Federation</w:t>
      </w:r>
      <w:r w:rsidR="008D05EB" w:rsidRPr="008D05EB">
        <w:rPr>
          <w:rStyle w:val="FootnoteReference"/>
          <w:b w:val="0"/>
          <w:bCs/>
          <w:sz w:val="20"/>
          <w:vertAlign w:val="baseline"/>
        </w:rPr>
        <w:footnoteReference w:customMarkFollows="1" w:id="2"/>
        <w:t>**</w:t>
      </w:r>
    </w:p>
    <w:p w:rsidR="00AB7C47" w:rsidRPr="00584DF8" w:rsidRDefault="008D05EB" w:rsidP="008D05EB">
      <w:pPr>
        <w:pStyle w:val="SingleTxtG"/>
      </w:pPr>
      <w:r>
        <w:tab/>
      </w:r>
      <w:r w:rsidR="00AB7C47" w:rsidRPr="00584DF8">
        <w:t>This proposal is intended to correct inaccuracies found in the Russian translation of official text of UN Regulation No. 13. It deals only with the Russian text of the Regulation. The modifications to the existing text of the Regulation are marked in bold for new or strikethrough for deleted characters.</w:t>
      </w:r>
    </w:p>
    <w:p w:rsidR="00AB7C47" w:rsidRPr="00584DF8" w:rsidRDefault="00AB7C47" w:rsidP="008D05EB">
      <w:pPr>
        <w:pStyle w:val="SingleTxtG"/>
      </w:pPr>
      <w:r w:rsidRPr="00584DF8">
        <w:br w:type="page"/>
      </w:r>
      <w:bookmarkStart w:id="0" w:name="_GoBack"/>
      <w:bookmarkEnd w:id="0"/>
    </w:p>
    <w:p w:rsidR="00AB7C47" w:rsidRPr="00584DF8" w:rsidRDefault="00AB7C47" w:rsidP="008D05EB">
      <w:pPr>
        <w:pStyle w:val="HChG"/>
      </w:pPr>
      <w:r w:rsidRPr="00584DF8">
        <w:lastRenderedPageBreak/>
        <w:tab/>
        <w:t>I.</w:t>
      </w:r>
      <w:r w:rsidRPr="00584DF8">
        <w:tab/>
        <w:t>Proposal</w:t>
      </w:r>
      <w:r w:rsidRPr="00584DF8">
        <w:tab/>
      </w:r>
    </w:p>
    <w:p w:rsidR="00AB7C47" w:rsidRPr="001F084C" w:rsidRDefault="00AB7C47" w:rsidP="008D05EB">
      <w:pPr>
        <w:pStyle w:val="SingleTxtG"/>
        <w:rPr>
          <w:i/>
          <w:iCs/>
        </w:rPr>
      </w:pPr>
      <w:r w:rsidRPr="001F084C">
        <w:rPr>
          <w:i/>
          <w:iCs/>
        </w:rPr>
        <w:t xml:space="preserve">Annex 4: </w:t>
      </w:r>
    </w:p>
    <w:p w:rsidR="00AB7C47" w:rsidRPr="00584DF8" w:rsidRDefault="00AB7C47" w:rsidP="008D05EB">
      <w:pPr>
        <w:pStyle w:val="SingleTxtG"/>
      </w:pPr>
      <w:r w:rsidRPr="001F084C">
        <w:rPr>
          <w:i/>
          <w:iCs/>
        </w:rPr>
        <w:t>Paragraph 1.4.1.2.2</w:t>
      </w:r>
      <w:r w:rsidRPr="00584DF8">
        <w:t>, amend to read:</w:t>
      </w:r>
    </w:p>
    <w:p w:rsidR="00AB7C47" w:rsidRPr="00584DF8" w:rsidRDefault="00AB7C47" w:rsidP="008D05EB">
      <w:pPr>
        <w:pStyle w:val="SingleTxtG"/>
      </w:pPr>
      <w:r w:rsidRPr="00584DF8">
        <w:t>The modification does not apply to English.</w:t>
      </w:r>
    </w:p>
    <w:p w:rsidR="00AB7C47" w:rsidRPr="00584DF8" w:rsidRDefault="00AB7C47" w:rsidP="008D05EB">
      <w:pPr>
        <w:pStyle w:val="SingleTxtG"/>
      </w:pPr>
      <w:r w:rsidRPr="00517C62">
        <w:rPr>
          <w:i/>
          <w:iCs/>
        </w:rPr>
        <w:t>Paragraph 3</w:t>
      </w:r>
      <w:r w:rsidRPr="00584DF8">
        <w:t>, amend to read:</w:t>
      </w:r>
    </w:p>
    <w:p w:rsidR="00AB7C47" w:rsidRPr="00584DF8" w:rsidRDefault="00AB7C47" w:rsidP="008D05EB">
      <w:pPr>
        <w:pStyle w:val="SingleTxtG"/>
      </w:pPr>
      <w:r w:rsidRPr="00584DF8">
        <w:t>The modification does not apply to English.</w:t>
      </w:r>
    </w:p>
    <w:p w:rsidR="00AB7C47" w:rsidRPr="00517C62" w:rsidRDefault="00AB7C47" w:rsidP="008D05EB">
      <w:pPr>
        <w:pStyle w:val="SingleTxtG"/>
        <w:rPr>
          <w:i/>
          <w:iCs/>
        </w:rPr>
      </w:pPr>
      <w:r w:rsidRPr="00517C62">
        <w:rPr>
          <w:i/>
          <w:iCs/>
        </w:rPr>
        <w:t>Annex 7, Part A:</w:t>
      </w:r>
    </w:p>
    <w:p w:rsidR="00AB7C47" w:rsidRPr="00584DF8" w:rsidRDefault="00AB7C47" w:rsidP="008D05EB">
      <w:pPr>
        <w:pStyle w:val="SingleTxtG"/>
      </w:pPr>
      <w:r w:rsidRPr="00517C62">
        <w:rPr>
          <w:i/>
          <w:iCs/>
        </w:rPr>
        <w:t>Paragraph 2</w:t>
      </w:r>
      <w:r w:rsidRPr="00584DF8">
        <w:t>, amend to read:</w:t>
      </w:r>
    </w:p>
    <w:p w:rsidR="00AB7C47" w:rsidRPr="00584DF8" w:rsidRDefault="00AB7C47" w:rsidP="008D05EB">
      <w:pPr>
        <w:pStyle w:val="SingleTxtG"/>
      </w:pPr>
      <w:r w:rsidRPr="00584DF8">
        <w:t>The modification does not apply to English.</w:t>
      </w:r>
    </w:p>
    <w:p w:rsidR="00AB7C47" w:rsidRPr="00517C62" w:rsidRDefault="00AB7C47" w:rsidP="008D05EB">
      <w:pPr>
        <w:pStyle w:val="SingleTxtG"/>
        <w:rPr>
          <w:i/>
          <w:iCs/>
        </w:rPr>
      </w:pPr>
      <w:r w:rsidRPr="00517C62">
        <w:rPr>
          <w:i/>
          <w:iCs/>
        </w:rPr>
        <w:t>Annex 7, Part B:</w:t>
      </w:r>
    </w:p>
    <w:p w:rsidR="00AB7C47" w:rsidRPr="00584DF8" w:rsidRDefault="00AB7C47" w:rsidP="008D05EB">
      <w:pPr>
        <w:pStyle w:val="SingleTxtG"/>
      </w:pPr>
      <w:r w:rsidRPr="00517C62">
        <w:rPr>
          <w:i/>
          <w:iCs/>
        </w:rPr>
        <w:t>Paragraph 2</w:t>
      </w:r>
      <w:r w:rsidRPr="00584DF8">
        <w:t>, amend to read:</w:t>
      </w:r>
    </w:p>
    <w:p w:rsidR="00AB7C47" w:rsidRPr="00584DF8" w:rsidRDefault="00AB7C47" w:rsidP="008D05EB">
      <w:pPr>
        <w:pStyle w:val="SingleTxtG"/>
      </w:pPr>
      <w:r w:rsidRPr="00584DF8">
        <w:t>The modification does not apply to English.</w:t>
      </w:r>
    </w:p>
    <w:p w:rsidR="00AB7C47" w:rsidRPr="00584DF8" w:rsidRDefault="00AB7C47" w:rsidP="008D05EB">
      <w:pPr>
        <w:pStyle w:val="SingleTxtG"/>
      </w:pPr>
      <w:r w:rsidRPr="00517C62">
        <w:rPr>
          <w:i/>
          <w:iCs/>
        </w:rPr>
        <w:t>Paragraph 2.2.1</w:t>
      </w:r>
      <w:r w:rsidRPr="00584DF8">
        <w:t>, amend to read:</w:t>
      </w:r>
    </w:p>
    <w:p w:rsidR="00AB7C47" w:rsidRPr="00584DF8" w:rsidRDefault="00AB7C47" w:rsidP="008D05EB">
      <w:pPr>
        <w:pStyle w:val="SingleTxtG"/>
      </w:pPr>
      <w:r w:rsidRPr="00584DF8">
        <w:t>The modification does not apply to English.</w:t>
      </w:r>
    </w:p>
    <w:p w:rsidR="00AB7C47" w:rsidRPr="00517C62" w:rsidRDefault="00AB7C47" w:rsidP="008D05EB">
      <w:pPr>
        <w:pStyle w:val="SingleTxtG"/>
        <w:rPr>
          <w:i/>
          <w:iCs/>
        </w:rPr>
      </w:pPr>
      <w:r w:rsidRPr="00517C62">
        <w:rPr>
          <w:i/>
          <w:iCs/>
        </w:rPr>
        <w:t>Annex 7, Part C:</w:t>
      </w:r>
    </w:p>
    <w:p w:rsidR="00AB7C47" w:rsidRPr="00584DF8" w:rsidRDefault="00AB7C47" w:rsidP="008D05EB">
      <w:pPr>
        <w:pStyle w:val="SingleTxtG"/>
      </w:pPr>
      <w:r w:rsidRPr="00517C62">
        <w:rPr>
          <w:i/>
          <w:iCs/>
        </w:rPr>
        <w:t>Paragraph 1.1.1</w:t>
      </w:r>
      <w:r w:rsidRPr="00584DF8">
        <w:t>, amend to read:</w:t>
      </w:r>
    </w:p>
    <w:p w:rsidR="00AB7C47" w:rsidRPr="00584DF8" w:rsidRDefault="00AB7C47" w:rsidP="008D05EB">
      <w:pPr>
        <w:pStyle w:val="SingleTxtG"/>
      </w:pPr>
      <w:r w:rsidRPr="00584DF8">
        <w:t>The modification does not apply to English.</w:t>
      </w:r>
    </w:p>
    <w:p w:rsidR="00AB7C47" w:rsidRPr="00584DF8" w:rsidRDefault="00AB7C47" w:rsidP="008D05EB">
      <w:pPr>
        <w:pStyle w:val="SingleTxtG"/>
      </w:pPr>
      <w:r w:rsidRPr="00FD211C">
        <w:rPr>
          <w:i/>
          <w:iCs/>
        </w:rPr>
        <w:t>Paragraph 1.1.2</w:t>
      </w:r>
      <w:r w:rsidRPr="00584DF8">
        <w:t>, amend to read:</w:t>
      </w:r>
    </w:p>
    <w:p w:rsidR="00AB7C47" w:rsidRPr="00584DF8" w:rsidRDefault="00AB7C47" w:rsidP="008D05EB">
      <w:pPr>
        <w:pStyle w:val="SingleTxtG"/>
      </w:pPr>
      <w:r w:rsidRPr="00584DF8">
        <w:t>The modification does not apply to English.</w:t>
      </w:r>
    </w:p>
    <w:p w:rsidR="00AB7C47" w:rsidRPr="00584DF8" w:rsidRDefault="00AB7C47" w:rsidP="008D05EB">
      <w:pPr>
        <w:pStyle w:val="SingleTxtG"/>
      </w:pPr>
      <w:r w:rsidRPr="00FD211C">
        <w:rPr>
          <w:i/>
          <w:iCs/>
        </w:rPr>
        <w:t>Paragraph 2</w:t>
      </w:r>
      <w:r w:rsidRPr="00584DF8">
        <w:t>, amend to read:</w:t>
      </w:r>
    </w:p>
    <w:p w:rsidR="00AB7C47" w:rsidRPr="00584DF8" w:rsidRDefault="00AB7C47" w:rsidP="008D05EB">
      <w:pPr>
        <w:pStyle w:val="SingleTxtG"/>
      </w:pPr>
      <w:r w:rsidRPr="00584DF8">
        <w:t xml:space="preserve">The modification does not apply to English. </w:t>
      </w:r>
    </w:p>
    <w:p w:rsidR="00AB7C47" w:rsidRPr="00584DF8" w:rsidRDefault="00AB7C47" w:rsidP="008D05EB">
      <w:pPr>
        <w:pStyle w:val="SingleTxtG"/>
      </w:pPr>
      <w:r w:rsidRPr="00FD211C">
        <w:rPr>
          <w:i/>
          <w:iCs/>
        </w:rPr>
        <w:t>Paragraph 2.1.2.1</w:t>
      </w:r>
      <w:r w:rsidRPr="00584DF8">
        <w:t>, amend to read:</w:t>
      </w:r>
    </w:p>
    <w:p w:rsidR="00AB7C47" w:rsidRPr="00584DF8" w:rsidRDefault="00AB7C47" w:rsidP="008D05EB">
      <w:pPr>
        <w:pStyle w:val="SingleTxtG"/>
      </w:pPr>
      <w:r w:rsidRPr="00584DF8">
        <w:t xml:space="preserve">The modification does not apply to English. </w:t>
      </w:r>
    </w:p>
    <w:p w:rsidR="00AB7C47" w:rsidRPr="00FD211C" w:rsidRDefault="00AB7C47" w:rsidP="008D05EB">
      <w:pPr>
        <w:pStyle w:val="SingleTxtG"/>
        <w:rPr>
          <w:i/>
          <w:iCs/>
        </w:rPr>
      </w:pPr>
      <w:r w:rsidRPr="00FD211C">
        <w:rPr>
          <w:i/>
          <w:iCs/>
        </w:rPr>
        <w:t xml:space="preserve">Annex 8: </w:t>
      </w:r>
    </w:p>
    <w:p w:rsidR="00AB7C47" w:rsidRPr="00584DF8" w:rsidRDefault="00AB7C47" w:rsidP="008D05EB">
      <w:pPr>
        <w:pStyle w:val="SingleTxtG"/>
      </w:pPr>
      <w:r w:rsidRPr="00FD211C">
        <w:rPr>
          <w:i/>
          <w:iCs/>
        </w:rPr>
        <w:t>Paragraph 2.1</w:t>
      </w:r>
      <w:r w:rsidRPr="00584DF8">
        <w:t>, amend to read:</w:t>
      </w:r>
    </w:p>
    <w:p w:rsidR="00AB7C47" w:rsidRPr="00584DF8" w:rsidRDefault="00AB7C47" w:rsidP="008D05EB">
      <w:pPr>
        <w:pStyle w:val="SingleTxtG"/>
      </w:pPr>
      <w:r w:rsidRPr="00584DF8">
        <w:t>The modification does not apply to English.</w:t>
      </w:r>
    </w:p>
    <w:p w:rsidR="00AB7C47" w:rsidRPr="00FD211C" w:rsidRDefault="00AB7C47" w:rsidP="008D05EB">
      <w:pPr>
        <w:pStyle w:val="SingleTxtG"/>
        <w:rPr>
          <w:i/>
          <w:iCs/>
        </w:rPr>
      </w:pPr>
      <w:r w:rsidRPr="00FD211C">
        <w:rPr>
          <w:i/>
          <w:iCs/>
        </w:rPr>
        <w:t xml:space="preserve">Annex 10: </w:t>
      </w:r>
    </w:p>
    <w:p w:rsidR="00AB7C47" w:rsidRPr="00584DF8" w:rsidRDefault="00AB7C47" w:rsidP="008D05EB">
      <w:pPr>
        <w:pStyle w:val="SingleTxtG"/>
      </w:pPr>
      <w:r w:rsidRPr="00FD211C">
        <w:rPr>
          <w:i/>
          <w:iCs/>
        </w:rPr>
        <w:t>Paragraph 1.3.1</w:t>
      </w:r>
      <w:r w:rsidRPr="00584DF8">
        <w:t>, amend to read:</w:t>
      </w:r>
    </w:p>
    <w:p w:rsidR="00AB7C47" w:rsidRPr="00584DF8" w:rsidRDefault="00AB7C47" w:rsidP="008D05EB">
      <w:pPr>
        <w:pStyle w:val="SingleTxtG"/>
      </w:pPr>
      <w:r w:rsidRPr="00584DF8">
        <w:t>The modification does not apply to English.</w:t>
      </w:r>
    </w:p>
    <w:p w:rsidR="00AB7C47" w:rsidRPr="00584DF8" w:rsidRDefault="00AB7C47" w:rsidP="008D05EB">
      <w:pPr>
        <w:pStyle w:val="SingleTxtG"/>
      </w:pPr>
      <w:r w:rsidRPr="00FD211C">
        <w:rPr>
          <w:i/>
          <w:iCs/>
        </w:rPr>
        <w:t>Paragraph 1.3.1.1</w:t>
      </w:r>
      <w:r w:rsidRPr="00584DF8">
        <w:t>, amend to read:</w:t>
      </w:r>
    </w:p>
    <w:p w:rsidR="00AB7C47" w:rsidRPr="00584DF8" w:rsidRDefault="00AB7C47" w:rsidP="008D05EB">
      <w:pPr>
        <w:pStyle w:val="SingleTxtG"/>
      </w:pPr>
      <w:r w:rsidRPr="00584DF8">
        <w:t>The modification does not apply to English.</w:t>
      </w:r>
    </w:p>
    <w:p w:rsidR="00AB7C47" w:rsidRPr="00584DF8" w:rsidRDefault="00AB7C47" w:rsidP="00FD211C">
      <w:pPr>
        <w:pStyle w:val="HChG"/>
      </w:pPr>
      <w:r w:rsidRPr="00584DF8">
        <w:tab/>
        <w:t>II.</w:t>
      </w:r>
      <w:r w:rsidRPr="00584DF8">
        <w:tab/>
        <w:t>Justification</w:t>
      </w:r>
    </w:p>
    <w:p w:rsidR="00AB7C47" w:rsidRPr="00584DF8" w:rsidRDefault="00AB7C47" w:rsidP="008D05EB">
      <w:pPr>
        <w:pStyle w:val="SingleTxtG"/>
      </w:pPr>
      <w:r w:rsidRPr="00584DF8">
        <w:t>1.</w:t>
      </w:r>
      <w:r w:rsidRPr="00584DF8">
        <w:tab/>
      </w:r>
      <w:r w:rsidRPr="00460B98">
        <w:rPr>
          <w:i/>
          <w:iCs/>
        </w:rPr>
        <w:t>Annex 4, paragraph 1.4.1.2.2</w:t>
      </w:r>
      <w:r w:rsidRPr="00584DF8">
        <w:t xml:space="preserve">: A clarifying text is introduced to remove ambiguity. In the context of this paragraph, the original English </w:t>
      </w:r>
      <w:r w:rsidR="00EE1A2C">
        <w:t>“</w:t>
      </w:r>
      <w:r w:rsidRPr="00584DF8">
        <w:t>fifth wheel</w:t>
      </w:r>
      <w:r w:rsidR="00EE1A2C">
        <w:t>”</w:t>
      </w:r>
      <w:r w:rsidRPr="00584DF8">
        <w:t xml:space="preserve"> is a shortened form of </w:t>
      </w:r>
      <w:r w:rsidR="00EE1A2C">
        <w:t>“</w:t>
      </w:r>
      <w:r w:rsidRPr="00584DF8">
        <w:t>fifth wheel coupling device</w:t>
      </w:r>
      <w:r w:rsidR="00EE1A2C">
        <w:t>”</w:t>
      </w:r>
      <w:r w:rsidRPr="00584DF8">
        <w:t>.</w:t>
      </w:r>
    </w:p>
    <w:p w:rsidR="00AB7C47" w:rsidRPr="00584DF8" w:rsidRDefault="00AB7C47" w:rsidP="008D05EB">
      <w:pPr>
        <w:pStyle w:val="SingleTxtG"/>
      </w:pPr>
      <w:r w:rsidRPr="00584DF8">
        <w:t>2.</w:t>
      </w:r>
      <w:r w:rsidRPr="00584DF8">
        <w:tab/>
      </w:r>
      <w:r w:rsidRPr="00460B98">
        <w:rPr>
          <w:i/>
          <w:iCs/>
        </w:rPr>
        <w:t>Annex 4, paragraph 3</w:t>
      </w:r>
      <w:r w:rsidRPr="00584DF8">
        <w:t>: The vehicle category symbol was missing.</w:t>
      </w:r>
    </w:p>
    <w:p w:rsidR="00AB7C47" w:rsidRPr="00584DF8" w:rsidRDefault="00AB7C47" w:rsidP="008D05EB">
      <w:pPr>
        <w:pStyle w:val="SingleTxtG"/>
      </w:pPr>
      <w:r w:rsidRPr="00584DF8">
        <w:t>3.</w:t>
      </w:r>
      <w:r w:rsidRPr="00584DF8">
        <w:tab/>
      </w:r>
      <w:r w:rsidRPr="00460B98">
        <w:rPr>
          <w:i/>
          <w:iCs/>
        </w:rPr>
        <w:t>Annex 7, Parts A and B, paragraph 2 in each Part</w:t>
      </w:r>
      <w:r w:rsidRPr="00584DF8">
        <w:t xml:space="preserve">: As these paragraphs contain the requirements for compressors, the proper Russian term for </w:t>
      </w:r>
      <w:r w:rsidR="00EE1A2C">
        <w:t>“</w:t>
      </w:r>
      <w:r w:rsidRPr="00584DF8">
        <w:t>capacity</w:t>
      </w:r>
      <w:r w:rsidR="00EE1A2C">
        <w:t>”</w:t>
      </w:r>
      <w:r w:rsidRPr="00584DF8">
        <w:t xml:space="preserve"> should be used.</w:t>
      </w:r>
    </w:p>
    <w:p w:rsidR="00AB7C47" w:rsidRPr="00584DF8" w:rsidRDefault="00AB7C47" w:rsidP="008D05EB">
      <w:pPr>
        <w:pStyle w:val="SingleTxtG"/>
      </w:pPr>
      <w:r w:rsidRPr="00584DF8">
        <w:t>4.</w:t>
      </w:r>
      <w:r w:rsidRPr="00584DF8">
        <w:tab/>
      </w:r>
      <w:r w:rsidRPr="00460B98">
        <w:rPr>
          <w:i/>
          <w:iCs/>
        </w:rPr>
        <w:t>Annex 7, Part B, paragraph 2.2.1</w:t>
      </w:r>
      <w:r w:rsidRPr="00584DF8">
        <w:t>: Correction of a typographical error.</w:t>
      </w:r>
    </w:p>
    <w:p w:rsidR="00AB7C47" w:rsidRPr="00584DF8" w:rsidRDefault="00AB7C47" w:rsidP="008D05EB">
      <w:pPr>
        <w:pStyle w:val="SingleTxtG"/>
      </w:pPr>
      <w:r w:rsidRPr="00584DF8">
        <w:lastRenderedPageBreak/>
        <w:t>5.</w:t>
      </w:r>
      <w:r w:rsidRPr="00584DF8">
        <w:tab/>
      </w:r>
      <w:r w:rsidRPr="00EF6F74">
        <w:rPr>
          <w:i/>
          <w:iCs/>
        </w:rPr>
        <w:t>Annex 7, Part C, paragraphs 1.1.1 and 1.1.2</w:t>
      </w:r>
      <w:r w:rsidRPr="00584DF8">
        <w:t xml:space="preserve">: As these paragraphs contain requirements for energy storage devices (energy reservoirs), the proper Russian term for </w:t>
      </w:r>
      <w:r w:rsidR="00EE1A2C">
        <w:t>“</w:t>
      </w:r>
      <w:r w:rsidRPr="00584DF8">
        <w:t>capacity</w:t>
      </w:r>
      <w:r w:rsidR="00EE1A2C">
        <w:t>”</w:t>
      </w:r>
      <w:r w:rsidRPr="00584DF8">
        <w:t xml:space="preserve"> should be used.</w:t>
      </w:r>
    </w:p>
    <w:p w:rsidR="00AB7C47" w:rsidRPr="00584DF8" w:rsidRDefault="00AB7C47" w:rsidP="008D05EB">
      <w:pPr>
        <w:pStyle w:val="SingleTxtG"/>
      </w:pPr>
      <w:r w:rsidRPr="00584DF8">
        <w:t>6.</w:t>
      </w:r>
      <w:r w:rsidRPr="00584DF8">
        <w:tab/>
      </w:r>
      <w:r w:rsidRPr="00EF6F74">
        <w:rPr>
          <w:i/>
          <w:iCs/>
        </w:rPr>
        <w:t>Annex 7, Part C, paragraph 2</w:t>
      </w:r>
      <w:r w:rsidRPr="00584DF8">
        <w:t xml:space="preserve">: As these paragraphs contain the requirements for pumps, the proper Russian term for </w:t>
      </w:r>
      <w:r w:rsidR="00EE1A2C">
        <w:t>“</w:t>
      </w:r>
      <w:r w:rsidRPr="00584DF8">
        <w:t>capacity</w:t>
      </w:r>
      <w:r w:rsidR="00EE1A2C">
        <w:t>”</w:t>
      </w:r>
      <w:r w:rsidRPr="00584DF8">
        <w:t xml:space="preserve"> should be used.</w:t>
      </w:r>
    </w:p>
    <w:p w:rsidR="00AB7C47" w:rsidRPr="00584DF8" w:rsidRDefault="00AB7C47" w:rsidP="008D05EB">
      <w:pPr>
        <w:pStyle w:val="SingleTxtG"/>
      </w:pPr>
      <w:r w:rsidRPr="00584DF8">
        <w:t>7.</w:t>
      </w:r>
      <w:r w:rsidRPr="00584DF8">
        <w:tab/>
      </w:r>
      <w:r w:rsidRPr="00EF6F74">
        <w:rPr>
          <w:i/>
          <w:iCs/>
        </w:rPr>
        <w:t>Annex 7, Part C, paragraph 2.1.2.1</w:t>
      </w:r>
      <w:r w:rsidRPr="00584DF8">
        <w:t xml:space="preserve">: The Russian term for </w:t>
      </w:r>
      <w:r w:rsidR="00EE1A2C">
        <w:t>“</w:t>
      </w:r>
      <w:r w:rsidRPr="00584DF8">
        <w:t>feed rate</w:t>
      </w:r>
      <w:r w:rsidR="00EE1A2C">
        <w:t>”</w:t>
      </w:r>
      <w:r w:rsidRPr="00584DF8">
        <w:t xml:space="preserve"> is incorrect. </w:t>
      </w:r>
    </w:p>
    <w:p w:rsidR="00AB7C47" w:rsidRPr="00584DF8" w:rsidRDefault="00AB7C47" w:rsidP="008D05EB">
      <w:pPr>
        <w:pStyle w:val="SingleTxtG"/>
      </w:pPr>
      <w:r w:rsidRPr="00584DF8">
        <w:t>8.</w:t>
      </w:r>
      <w:r w:rsidRPr="00584DF8">
        <w:tab/>
      </w:r>
      <w:r w:rsidRPr="00EF6F74">
        <w:rPr>
          <w:i/>
          <w:iCs/>
        </w:rPr>
        <w:t>Annex 8, paragraph 2.1</w:t>
      </w:r>
      <w:r w:rsidRPr="00584DF8">
        <w:t>: In accordance with the requirements specified in this paragraph, a spring braking system must provide for graduated braking.</w:t>
      </w:r>
    </w:p>
    <w:p w:rsidR="00AB7C47" w:rsidRPr="00584DF8" w:rsidRDefault="00AB7C47" w:rsidP="008D05EB">
      <w:pPr>
        <w:pStyle w:val="SingleTxtG"/>
      </w:pPr>
      <w:r w:rsidRPr="00584DF8">
        <w:t>9.</w:t>
      </w:r>
      <w:r w:rsidRPr="00584DF8">
        <w:tab/>
      </w:r>
      <w:r w:rsidRPr="00EF6F74">
        <w:rPr>
          <w:i/>
          <w:iCs/>
        </w:rPr>
        <w:t>Annex 10, paragraphs 1.3.1. and 1.3.1.1</w:t>
      </w:r>
      <w:r w:rsidRPr="00584DF8">
        <w:t xml:space="preserve">: The references to </w:t>
      </w:r>
      <w:r w:rsidR="00EE1A2C">
        <w:t>“</w:t>
      </w:r>
      <w:r w:rsidRPr="00584DF8">
        <w:t>fifth wheel couplings</w:t>
      </w:r>
      <w:r w:rsidR="00EE1A2C">
        <w:t>”</w:t>
      </w:r>
      <w:r w:rsidRPr="00584DF8">
        <w:t xml:space="preserve"> are deleted, as there are none in the original English.</w:t>
      </w:r>
    </w:p>
    <w:p w:rsidR="003E679F" w:rsidRDefault="00B8085E" w:rsidP="00B8085E">
      <w:pPr>
        <w:pStyle w:val="SingleTxtG"/>
        <w:spacing w:before="240"/>
        <w:jc w:val="center"/>
      </w:pPr>
      <w:r>
        <w:rPr>
          <w:u w:val="single"/>
        </w:rPr>
        <w:tab/>
      </w:r>
      <w:r>
        <w:rPr>
          <w:u w:val="single"/>
        </w:rPr>
        <w:tab/>
      </w:r>
      <w:r>
        <w:rPr>
          <w:u w:val="single"/>
        </w:rPr>
        <w:tab/>
      </w:r>
    </w:p>
    <w:sectPr w:rsidR="003E679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C8F" w:rsidRPr="00FB1744" w:rsidRDefault="009A2C8F" w:rsidP="00FB1744">
      <w:pPr>
        <w:pStyle w:val="Footer"/>
      </w:pPr>
    </w:p>
  </w:endnote>
  <w:endnote w:type="continuationSeparator" w:id="0">
    <w:p w:rsidR="009A2C8F" w:rsidRPr="00FB1744" w:rsidRDefault="009A2C8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9F" w:rsidRDefault="003E679F" w:rsidP="003E679F">
    <w:pPr>
      <w:pStyle w:val="Footer"/>
      <w:tabs>
        <w:tab w:val="right" w:pos="9638"/>
      </w:tabs>
    </w:pPr>
    <w:r w:rsidRPr="003E679F">
      <w:rPr>
        <w:b/>
        <w:bCs/>
        <w:sz w:val="18"/>
      </w:rPr>
      <w:fldChar w:fldCharType="begin"/>
    </w:r>
    <w:r w:rsidRPr="003E679F">
      <w:rPr>
        <w:b/>
        <w:bCs/>
        <w:sz w:val="18"/>
      </w:rPr>
      <w:instrText xml:space="preserve"> PAGE  \* MERGEFORMAT </w:instrText>
    </w:r>
    <w:r w:rsidRPr="003E679F">
      <w:rPr>
        <w:b/>
        <w:bCs/>
        <w:sz w:val="18"/>
      </w:rPr>
      <w:fldChar w:fldCharType="separate"/>
    </w:r>
    <w:r w:rsidRPr="003E679F">
      <w:rPr>
        <w:b/>
        <w:bCs/>
        <w:noProof/>
        <w:sz w:val="18"/>
      </w:rPr>
      <w:t>2</w:t>
    </w:r>
    <w:r w:rsidRPr="003E679F">
      <w:rPr>
        <w:b/>
        <w:bCs/>
        <w:sz w:val="18"/>
      </w:rPr>
      <w:fldChar w:fldCharType="end"/>
    </w:r>
    <w:r>
      <w:tab/>
      <w:t>GE.19-20601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9F" w:rsidRDefault="003E679F" w:rsidP="003E679F">
    <w:pPr>
      <w:pStyle w:val="Footer"/>
      <w:tabs>
        <w:tab w:val="right" w:pos="9638"/>
      </w:tabs>
    </w:pPr>
    <w:r>
      <w:t>GE.19-20601</w:t>
    </w:r>
    <w:r>
      <w:tab/>
    </w:r>
    <w:r w:rsidRPr="003E679F">
      <w:rPr>
        <w:b/>
        <w:bCs/>
        <w:sz w:val="18"/>
      </w:rPr>
      <w:fldChar w:fldCharType="begin"/>
    </w:r>
    <w:r w:rsidRPr="003E679F">
      <w:rPr>
        <w:b/>
        <w:bCs/>
        <w:sz w:val="18"/>
      </w:rPr>
      <w:instrText xml:space="preserve"> PAGE  \* MERGEFORMAT </w:instrText>
    </w:r>
    <w:r w:rsidRPr="003E679F">
      <w:rPr>
        <w:b/>
        <w:bCs/>
        <w:sz w:val="18"/>
      </w:rPr>
      <w:fldChar w:fldCharType="separate"/>
    </w:r>
    <w:r w:rsidRPr="003E679F">
      <w:rPr>
        <w:b/>
        <w:bCs/>
        <w:noProof/>
        <w:sz w:val="18"/>
      </w:rPr>
      <w:t>3</w:t>
    </w:r>
    <w:r w:rsidRPr="003E679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9F" w:rsidRDefault="003E679F">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E679F" w:rsidRDefault="003E679F" w:rsidP="003E679F">
    <w:pPr>
      <w:pStyle w:val="Footer"/>
      <w:rPr>
        <w:sz w:val="20"/>
      </w:rPr>
    </w:pPr>
    <w:r>
      <w:rPr>
        <w:sz w:val="20"/>
      </w:rPr>
      <w:t>GE.19-20601  (E)</w:t>
    </w:r>
    <w:r w:rsidR="00EE1A2C">
      <w:rPr>
        <w:sz w:val="20"/>
      </w:rPr>
      <w:t xml:space="preserve">    051219    051219</w:t>
    </w:r>
  </w:p>
  <w:p w:rsidR="003E679F" w:rsidRPr="003E679F" w:rsidRDefault="003E679F" w:rsidP="003E679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C8F" w:rsidRPr="00FB1744" w:rsidRDefault="009A2C8F" w:rsidP="00FB1744">
      <w:pPr>
        <w:tabs>
          <w:tab w:val="right" w:pos="2155"/>
        </w:tabs>
        <w:spacing w:after="80" w:line="240" w:lineRule="auto"/>
        <w:ind w:left="680"/>
      </w:pPr>
      <w:r>
        <w:rPr>
          <w:u w:val="single"/>
        </w:rPr>
        <w:tab/>
      </w:r>
    </w:p>
  </w:footnote>
  <w:footnote w:type="continuationSeparator" w:id="0">
    <w:p w:rsidR="009A2C8F" w:rsidRPr="00FB1744" w:rsidRDefault="009A2C8F" w:rsidP="00FB1744">
      <w:pPr>
        <w:tabs>
          <w:tab w:val="right" w:pos="2155"/>
        </w:tabs>
        <w:spacing w:after="80" w:line="240" w:lineRule="auto"/>
        <w:ind w:left="680"/>
      </w:pPr>
      <w:r>
        <w:rPr>
          <w:u w:val="single"/>
        </w:rPr>
        <w:tab/>
      </w:r>
    </w:p>
  </w:footnote>
  <w:footnote w:id="1">
    <w:p w:rsidR="008D05EB" w:rsidRPr="008D05EB" w:rsidRDefault="008D05EB">
      <w:pPr>
        <w:pStyle w:val="FootnoteText"/>
      </w:pPr>
      <w:r>
        <w:rPr>
          <w:rStyle w:val="FootnoteReference"/>
        </w:rPr>
        <w:tab/>
      </w:r>
      <w:r w:rsidRPr="008D05EB">
        <w:rPr>
          <w:rStyle w:val="FootnoteReference"/>
          <w:sz w:val="20"/>
          <w:vertAlign w:val="baseline"/>
        </w:rPr>
        <w:t>*</w:t>
      </w:r>
      <w:r>
        <w:rPr>
          <w:rStyle w:val="FootnoteReference"/>
          <w:sz w:val="20"/>
          <w:vertAlign w:val="baseline"/>
        </w:rPr>
        <w:tab/>
      </w:r>
      <w:r>
        <w:t xml:space="preserve">Formerly: </w:t>
      </w:r>
      <w:r w:rsidRPr="00AF580F">
        <w:rPr>
          <w:b/>
          <w:bCs/>
        </w:rPr>
        <w:t>Working Party on Brakes and Running Gear (GRRF)</w:t>
      </w:r>
      <w:r>
        <w:t>.</w:t>
      </w:r>
    </w:p>
  </w:footnote>
  <w:footnote w:id="2">
    <w:p w:rsidR="008D05EB" w:rsidRPr="008D05EB" w:rsidRDefault="008D05EB">
      <w:pPr>
        <w:pStyle w:val="FootnoteText"/>
      </w:pPr>
      <w:r>
        <w:rPr>
          <w:rStyle w:val="FootnoteReference"/>
        </w:rPr>
        <w:tab/>
      </w:r>
      <w:r w:rsidRPr="008D05EB">
        <w:rPr>
          <w:rStyle w:val="FootnoteReference"/>
          <w:sz w:val="20"/>
          <w:vertAlign w:val="baseline"/>
        </w:rPr>
        <w:t>**</w:t>
      </w:r>
      <w:r>
        <w:rPr>
          <w:rStyle w:val="FootnoteReference"/>
          <w:sz w:val="20"/>
          <w:vertAlign w:val="baseline"/>
        </w:rPr>
        <w:tab/>
      </w:r>
      <w: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9F" w:rsidRDefault="003E679F" w:rsidP="003E679F">
    <w:pPr>
      <w:pStyle w:val="Header"/>
    </w:pPr>
    <w:r>
      <w:t>ECE/TRANS/WP.29/GRVA/2020/14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9F" w:rsidRDefault="003E679F" w:rsidP="003E679F">
    <w:pPr>
      <w:pStyle w:val="Header"/>
      <w:jc w:val="right"/>
    </w:pPr>
    <w:r>
      <w:t>ECE/TRANS/WP.29/GRVA/2020/14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8F"/>
    <w:rsid w:val="00046E92"/>
    <w:rsid w:val="000D1B89"/>
    <w:rsid w:val="001170DC"/>
    <w:rsid w:val="001F084C"/>
    <w:rsid w:val="00247E2C"/>
    <w:rsid w:val="002D6C53"/>
    <w:rsid w:val="002F5595"/>
    <w:rsid w:val="00334F6A"/>
    <w:rsid w:val="00342AC8"/>
    <w:rsid w:val="003B4550"/>
    <w:rsid w:val="003C6261"/>
    <w:rsid w:val="003E679F"/>
    <w:rsid w:val="0043448D"/>
    <w:rsid w:val="00460B98"/>
    <w:rsid w:val="00461253"/>
    <w:rsid w:val="005042C2"/>
    <w:rsid w:val="00506C12"/>
    <w:rsid w:val="00517C62"/>
    <w:rsid w:val="0056599A"/>
    <w:rsid w:val="00587690"/>
    <w:rsid w:val="00671529"/>
    <w:rsid w:val="00681DC5"/>
    <w:rsid w:val="00717266"/>
    <w:rsid w:val="007268F9"/>
    <w:rsid w:val="007C52B0"/>
    <w:rsid w:val="008D05EB"/>
    <w:rsid w:val="009411B4"/>
    <w:rsid w:val="009A2C8F"/>
    <w:rsid w:val="009D0139"/>
    <w:rsid w:val="009F5CDC"/>
    <w:rsid w:val="00A429CD"/>
    <w:rsid w:val="00A775CF"/>
    <w:rsid w:val="00A915FB"/>
    <w:rsid w:val="00AB3C7E"/>
    <w:rsid w:val="00AB7C47"/>
    <w:rsid w:val="00B06045"/>
    <w:rsid w:val="00B8085E"/>
    <w:rsid w:val="00C35A27"/>
    <w:rsid w:val="00E02C2B"/>
    <w:rsid w:val="00ED6C48"/>
    <w:rsid w:val="00EE1A2C"/>
    <w:rsid w:val="00EF6F74"/>
    <w:rsid w:val="00F65F5D"/>
    <w:rsid w:val="00F86A3A"/>
    <w:rsid w:val="00FB1744"/>
    <w:rsid w:val="00FC04AB"/>
    <w:rsid w:val="00FD21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37F2F"/>
  <w15:docId w15:val="{30A852B8-8A01-4EE7-97DD-AEEF93C6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PP Char,5_G_6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E80D-39D1-4CE7-AA04-2B14238F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500</Words>
  <Characters>2652</Characters>
  <Application>Microsoft Office Word</Application>
  <DocSecurity>0</DocSecurity>
  <Lines>76</Lines>
  <Paragraphs>60</Paragraphs>
  <ScaleCrop>false</ScaleCrop>
  <HeadingPairs>
    <vt:vector size="2" baseType="variant">
      <vt:variant>
        <vt:lpstr>Title</vt:lpstr>
      </vt:variant>
      <vt:variant>
        <vt:i4>1</vt:i4>
      </vt:variant>
    </vt:vector>
  </HeadingPairs>
  <TitlesOfParts>
    <vt:vector size="1" baseType="lpstr">
      <vt:lpstr>ECE/TRANS/WP.29/GRVA/2020/14</vt:lpstr>
    </vt:vector>
  </TitlesOfParts>
  <Company>DCM</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ECE/TRANS/WP.29/GRVA/2020/14</dc:title>
  <dc:subject>1920601</dc:subject>
  <dc:creator>Brigoli</dc:creator>
  <cp:keywords/>
  <dc:description/>
  <cp:lastModifiedBy>Cristina BRIGOLI</cp:lastModifiedBy>
  <cp:revision>2</cp:revision>
  <cp:lastPrinted>2019-12-05T10:20:00Z</cp:lastPrinted>
  <dcterms:created xsi:type="dcterms:W3CDTF">2019-12-05T10:27:00Z</dcterms:created>
  <dcterms:modified xsi:type="dcterms:W3CDTF">2019-12-05T10:27:00Z</dcterms:modified>
</cp:coreProperties>
</file>