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55728"/>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55728" w:rsidP="00855728">
            <w:pPr>
              <w:jc w:val="right"/>
            </w:pPr>
            <w:r w:rsidRPr="00855728">
              <w:rPr>
                <w:sz w:val="40"/>
              </w:rPr>
              <w:t>ECE</w:t>
            </w:r>
            <w:r>
              <w:t>/TRANS/WP.29/GRVA/2020/7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55728" w:rsidP="00C97039">
            <w:pPr>
              <w:spacing w:before="240"/>
            </w:pPr>
            <w:proofErr w:type="spellStart"/>
            <w:r>
              <w:t>Distr</w:t>
            </w:r>
            <w:proofErr w:type="spellEnd"/>
            <w:r>
              <w:t>. générale</w:t>
            </w:r>
          </w:p>
          <w:p w:rsidR="00855728" w:rsidRDefault="00855728" w:rsidP="00855728">
            <w:pPr>
              <w:spacing w:line="240" w:lineRule="exact"/>
            </w:pPr>
            <w:r>
              <w:t>29 novembre 2019</w:t>
            </w:r>
          </w:p>
          <w:p w:rsidR="00855728" w:rsidRDefault="00855728" w:rsidP="00855728">
            <w:pPr>
              <w:spacing w:line="240" w:lineRule="exact"/>
            </w:pPr>
            <w:r>
              <w:t>Français</w:t>
            </w:r>
          </w:p>
          <w:p w:rsidR="00855728" w:rsidRPr="00DB58B5" w:rsidRDefault="00855728" w:rsidP="0085572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7682B" w:rsidRPr="00C7682B" w:rsidRDefault="00C7682B" w:rsidP="00C7682B">
      <w:pPr>
        <w:spacing w:before="120"/>
        <w:rPr>
          <w:b/>
          <w:sz w:val="24"/>
          <w:szCs w:val="24"/>
        </w:rPr>
      </w:pPr>
      <w:r w:rsidRPr="00C7682B">
        <w:rPr>
          <w:b/>
          <w:bCs/>
          <w:sz w:val="24"/>
          <w:szCs w:val="24"/>
          <w:lang w:val="fr-FR"/>
        </w:rPr>
        <w:t xml:space="preserve">Forum mondial de l’harmonisation des Règlements </w:t>
      </w:r>
      <w:r w:rsidR="00A2398E">
        <w:rPr>
          <w:b/>
          <w:bCs/>
          <w:sz w:val="24"/>
          <w:szCs w:val="24"/>
          <w:lang w:val="fr-FR"/>
        </w:rPr>
        <w:br/>
      </w:r>
      <w:r w:rsidRPr="00C7682B">
        <w:rPr>
          <w:b/>
          <w:bCs/>
          <w:sz w:val="24"/>
          <w:szCs w:val="24"/>
          <w:lang w:val="fr-FR"/>
        </w:rPr>
        <w:t>concernant les véhicules</w:t>
      </w:r>
    </w:p>
    <w:p w:rsidR="00C7682B" w:rsidRPr="00C95890" w:rsidRDefault="00C7682B" w:rsidP="00C7682B">
      <w:pPr>
        <w:spacing w:before="120"/>
        <w:rPr>
          <w:b/>
        </w:rPr>
      </w:pPr>
      <w:bookmarkStart w:id="0" w:name="_Hlk518466992"/>
      <w:r>
        <w:rPr>
          <w:b/>
          <w:bCs/>
          <w:lang w:val="fr-FR"/>
        </w:rPr>
        <w:t>Groupe de travail des véhicules automatisés/autonomes et connectés</w:t>
      </w:r>
      <w:r w:rsidRPr="003A5500">
        <w:rPr>
          <w:rStyle w:val="Appelnotedebasdep"/>
          <w:sz w:val="20"/>
          <w:vertAlign w:val="baseline"/>
          <w:lang w:val="fr-FR"/>
        </w:rPr>
        <w:footnoteReference w:customMarkFollows="1" w:id="2"/>
        <w:t>*</w:t>
      </w:r>
      <w:bookmarkEnd w:id="0"/>
    </w:p>
    <w:p w:rsidR="00C7682B" w:rsidRPr="00C95890" w:rsidRDefault="00C7682B" w:rsidP="00C7682B">
      <w:pPr>
        <w:spacing w:before="120"/>
        <w:rPr>
          <w:b/>
        </w:rPr>
      </w:pPr>
      <w:r>
        <w:rPr>
          <w:b/>
          <w:bCs/>
          <w:lang w:val="fr-FR"/>
        </w:rPr>
        <w:t>Cinquième session</w:t>
      </w:r>
    </w:p>
    <w:p w:rsidR="00C7682B" w:rsidRPr="00C95890" w:rsidRDefault="00C7682B" w:rsidP="00C7682B">
      <w:r>
        <w:rPr>
          <w:lang w:val="fr-FR"/>
        </w:rPr>
        <w:t>Genève, 10-14 février 2020</w:t>
      </w:r>
    </w:p>
    <w:p w:rsidR="00C7682B" w:rsidRPr="00C95890" w:rsidRDefault="00C7682B" w:rsidP="00C7682B">
      <w:r>
        <w:rPr>
          <w:lang w:val="fr-FR"/>
        </w:rPr>
        <w:t>Point 6 a) de l’ordre du jour provisoire</w:t>
      </w:r>
    </w:p>
    <w:p w:rsidR="00C7682B" w:rsidRDefault="00C7682B" w:rsidP="00C7682B">
      <w:pPr>
        <w:rPr>
          <w:b/>
          <w:bCs/>
          <w:lang w:val="fr-FR"/>
        </w:rPr>
      </w:pPr>
      <w:r>
        <w:rPr>
          <w:b/>
          <w:bCs/>
          <w:lang w:val="fr-FR"/>
        </w:rPr>
        <w:t>Règlement ONU n</w:t>
      </w:r>
      <w:r>
        <w:rPr>
          <w:b/>
          <w:bCs/>
          <w:vertAlign w:val="superscript"/>
          <w:lang w:val="fr-FR"/>
        </w:rPr>
        <w:t>o</w:t>
      </w:r>
      <w:r>
        <w:rPr>
          <w:b/>
          <w:bCs/>
          <w:lang w:val="fr-FR"/>
        </w:rPr>
        <w:t> 79 :</w:t>
      </w:r>
    </w:p>
    <w:p w:rsidR="00C7682B" w:rsidRPr="00C95890" w:rsidRDefault="00C7682B" w:rsidP="00C7682B">
      <w:pPr>
        <w:rPr>
          <w:b/>
        </w:rPr>
      </w:pPr>
      <w:r>
        <w:rPr>
          <w:b/>
          <w:bCs/>
          <w:lang w:val="fr-FR"/>
        </w:rPr>
        <w:t>Fonction de direction à commande automatique</w:t>
      </w:r>
    </w:p>
    <w:p w:rsidR="00C7682B" w:rsidRPr="00C95890" w:rsidRDefault="00C7682B" w:rsidP="003A5500">
      <w:pPr>
        <w:pStyle w:val="HChG"/>
      </w:pPr>
      <w:r>
        <w:rPr>
          <w:lang w:val="fr-FR"/>
        </w:rPr>
        <w:tab/>
      </w:r>
      <w:r>
        <w:rPr>
          <w:lang w:val="fr-FR"/>
        </w:rPr>
        <w:tab/>
        <w:t xml:space="preserve">Proposition de complément à la série 03 d’amendements </w:t>
      </w:r>
      <w:r w:rsidR="003A5500">
        <w:rPr>
          <w:lang w:val="fr-FR"/>
        </w:rPr>
        <w:br/>
      </w:r>
      <w:r>
        <w:rPr>
          <w:lang w:val="fr-FR"/>
        </w:rPr>
        <w:t>au Règlement ONU n</w:t>
      </w:r>
      <w:r>
        <w:rPr>
          <w:vertAlign w:val="superscript"/>
          <w:lang w:val="fr-FR"/>
        </w:rPr>
        <w:t>o</w:t>
      </w:r>
      <w:r>
        <w:rPr>
          <w:lang w:val="fr-FR"/>
        </w:rPr>
        <w:t xml:space="preserve"> 79 (Équipement de direction </w:t>
      </w:r>
      <w:r w:rsidR="003A5500">
        <w:rPr>
          <w:lang w:val="fr-FR"/>
        </w:rPr>
        <w:br/>
      </w:r>
      <w:r>
        <w:rPr>
          <w:lang w:val="fr-FR"/>
        </w:rPr>
        <w:t>des véhicules)</w:t>
      </w:r>
    </w:p>
    <w:p w:rsidR="00C7682B" w:rsidRPr="00C95890" w:rsidRDefault="00C7682B" w:rsidP="003A5500">
      <w:pPr>
        <w:pStyle w:val="H1G"/>
        <w:rPr>
          <w:szCs w:val="24"/>
        </w:rPr>
      </w:pPr>
      <w:r>
        <w:rPr>
          <w:lang w:val="fr-FR"/>
        </w:rPr>
        <w:tab/>
      </w:r>
      <w:r>
        <w:rPr>
          <w:lang w:val="fr-FR"/>
        </w:rPr>
        <w:tab/>
        <w:t>Communication de l’expert de l’Association des véhicules électriques routiers européens</w:t>
      </w:r>
      <w:r w:rsidRPr="003A5500">
        <w:rPr>
          <w:rStyle w:val="Appelnotedebasdep"/>
          <w:b w:val="0"/>
          <w:bCs/>
          <w:sz w:val="20"/>
          <w:vertAlign w:val="baseline"/>
          <w:lang w:val="fr-FR"/>
        </w:rPr>
        <w:footnoteReference w:customMarkFollows="1" w:id="3"/>
        <w:t>**</w:t>
      </w:r>
    </w:p>
    <w:p w:rsidR="00C7682B" w:rsidRPr="009F1A57" w:rsidRDefault="00C7682B" w:rsidP="00A5401E">
      <w:pPr>
        <w:pStyle w:val="SingleTxtG"/>
        <w:ind w:firstLine="567"/>
      </w:pPr>
      <w:r>
        <w:rPr>
          <w:lang w:val="fr-FR"/>
        </w:rPr>
        <w:t>Le texte ci-après a été établi par l’expert de l’Association des véhicules électriques routiers européens (AVERE) et a pour objet d’introduire un amendement au Règlement ONU n</w:t>
      </w:r>
      <w:r>
        <w:rPr>
          <w:vertAlign w:val="superscript"/>
          <w:lang w:val="fr-FR"/>
        </w:rPr>
        <w:t>o</w:t>
      </w:r>
      <w:r>
        <w:rPr>
          <w:lang w:val="fr-FR"/>
        </w:rPr>
        <w:t> 79. Il vise à clarifier le texte du Règlement et est fondé sur le document ECE/TRANS/WP.29/GRVA/2019/26. Les modifications qu’il est proposé d’apporter au texte actuel du Règlement figurent en caractères gras pour les ajouts et biffés pour les suppressions.</w:t>
      </w:r>
    </w:p>
    <w:p w:rsidR="00C7682B" w:rsidRPr="00C95890" w:rsidRDefault="00165B29" w:rsidP="00165B29">
      <w:pPr>
        <w:pStyle w:val="HChG"/>
      </w:pPr>
      <w:r>
        <w:rPr>
          <w:lang w:val="fr-FR"/>
        </w:rPr>
        <w:br w:type="page"/>
      </w:r>
      <w:r w:rsidR="00C7682B">
        <w:rPr>
          <w:lang w:val="fr-FR"/>
        </w:rPr>
        <w:lastRenderedPageBreak/>
        <w:tab/>
        <w:t>I.</w:t>
      </w:r>
      <w:r w:rsidR="00C7682B">
        <w:rPr>
          <w:lang w:val="fr-FR"/>
        </w:rPr>
        <w:tab/>
        <w:t>Proposition</w:t>
      </w:r>
    </w:p>
    <w:p w:rsidR="00C7682B" w:rsidRPr="00C95890" w:rsidRDefault="00C7682B" w:rsidP="00261954">
      <w:pPr>
        <w:pStyle w:val="SingleTxtG"/>
        <w:spacing w:after="100"/>
        <w:rPr>
          <w:i/>
        </w:rPr>
      </w:pPr>
      <w:r>
        <w:rPr>
          <w:i/>
          <w:iCs/>
          <w:lang w:val="fr-FR"/>
        </w:rPr>
        <w:t>Paragraphe 5.6.2.1.3,</w:t>
      </w:r>
      <w:r>
        <w:rPr>
          <w:lang w:val="fr-FR"/>
        </w:rPr>
        <w:t xml:space="preserve"> lire (ajouter une nouvelle disposition) :</w:t>
      </w:r>
    </w:p>
    <w:p w:rsidR="00C7682B" w:rsidRPr="00196B7D" w:rsidRDefault="00C7682B" w:rsidP="00261954">
      <w:pPr>
        <w:pStyle w:val="SingleTxtG"/>
        <w:keepNext/>
        <w:spacing w:after="100"/>
        <w:ind w:left="2268" w:hanging="1134"/>
        <w:rPr>
          <w:lang w:val="fr-FR"/>
        </w:rPr>
      </w:pPr>
      <w:r w:rsidRPr="00196B7D">
        <w:rPr>
          <w:lang w:val="fr-FR"/>
        </w:rPr>
        <w:t>« 5.6.2.1.3</w:t>
      </w:r>
      <w:r>
        <w:rPr>
          <w:lang w:val="fr-FR"/>
        </w:rPr>
        <w:tab/>
      </w:r>
      <w:r w:rsidRPr="00196B7D">
        <w:rPr>
          <w:spacing w:val="-2"/>
          <w:lang w:val="fr-FR"/>
        </w:rPr>
        <w:t xml:space="preserve">Le système doit être conçu de façon à empêcher, pendant son utilisation, toute </w:t>
      </w:r>
      <w:r w:rsidRPr="00196B7D">
        <w:rPr>
          <w:lang w:val="fr-FR"/>
        </w:rPr>
        <w:t>intervention excessive de la commande de direction, afin que le conducteur</w:t>
      </w:r>
      <w:r w:rsidRPr="00196B7D">
        <w:rPr>
          <w:spacing w:val="-2"/>
          <w:lang w:val="fr-FR"/>
        </w:rPr>
        <w:t xml:space="preserve"> </w:t>
      </w:r>
      <w:r w:rsidRPr="00196B7D">
        <w:rPr>
          <w:lang w:val="fr-FR"/>
        </w:rPr>
        <w:t>puisse en garder la maîtrise et pour éviter tout comportement imprévu du véhicule. À cette fin, il doit être satisfait aux prescriptions ci</w:t>
      </w:r>
      <w:r w:rsidRPr="00196B7D">
        <w:rPr>
          <w:lang w:val="fr-FR"/>
        </w:rPr>
        <w:noBreakHyphen/>
        <w:t>après :</w:t>
      </w:r>
    </w:p>
    <w:p w:rsidR="00C7682B" w:rsidRPr="00887B94" w:rsidRDefault="00C7682B" w:rsidP="00261954">
      <w:pPr>
        <w:spacing w:after="100"/>
        <w:ind w:left="2835" w:right="1134" w:hanging="567"/>
        <w:jc w:val="both"/>
        <w:rPr>
          <w:lang w:val="fr-FR"/>
        </w:rPr>
      </w:pPr>
      <w:r w:rsidRPr="00887B94">
        <w:rPr>
          <w:lang w:val="fr-FR"/>
        </w:rPr>
        <w:t>a)</w:t>
      </w:r>
      <w:r w:rsidRPr="00887B94">
        <w:rPr>
          <w:lang w:val="fr-FR"/>
        </w:rPr>
        <w:tab/>
        <w:t>La force à exercer sur la commande de direction pour neutraliser le contrôle de la trajectoire effectué par le système ne doit pas être supérieure à 50 N ;</w:t>
      </w:r>
    </w:p>
    <w:p w:rsidR="00C7682B" w:rsidRPr="00887B94" w:rsidRDefault="00C7682B" w:rsidP="00261954">
      <w:pPr>
        <w:spacing w:after="100"/>
        <w:ind w:left="2835" w:right="1134" w:hanging="567"/>
        <w:jc w:val="both"/>
        <w:rPr>
          <w:lang w:val="fr-FR"/>
        </w:rPr>
      </w:pPr>
      <w:r w:rsidRPr="00887B94">
        <w:rPr>
          <w:lang w:val="fr-FR"/>
        </w:rPr>
        <w:t>b)</w:t>
      </w:r>
      <w:r w:rsidRPr="00887B94">
        <w:rPr>
          <w:lang w:val="fr-FR"/>
        </w:rPr>
        <w:tab/>
        <w:t>L</w:t>
      </w:r>
      <w:r>
        <w:rPr>
          <w:lang w:val="fr-FR"/>
        </w:rPr>
        <w:t>’</w:t>
      </w:r>
      <w:r w:rsidRPr="00887B94">
        <w:rPr>
          <w:lang w:val="fr-FR"/>
        </w:rPr>
        <w:t xml:space="preserve">accélération latérale maximale indiquée, </w:t>
      </w:r>
      <w:proofErr w:type="spellStart"/>
      <w:r w:rsidRPr="00887B94">
        <w:rPr>
          <w:lang w:val="fr-FR"/>
        </w:rPr>
        <w:t>ay</w:t>
      </w:r>
      <w:r w:rsidRPr="00887B94">
        <w:rPr>
          <w:vertAlign w:val="subscript"/>
          <w:lang w:val="fr-FR"/>
        </w:rPr>
        <w:t>smax</w:t>
      </w:r>
      <w:proofErr w:type="spellEnd"/>
      <w:r w:rsidRPr="00887B94">
        <w:rPr>
          <w:lang w:val="fr-FR"/>
        </w:rPr>
        <w:t>, doit se situer dans les limites définies dans le tableau suivant</w:t>
      </w:r>
      <w:r>
        <w:rPr>
          <w:lang w:val="fr-FR"/>
        </w:rPr>
        <w:t> :</w:t>
      </w:r>
    </w:p>
    <w:p w:rsidR="00C7682B" w:rsidRPr="00887B94" w:rsidRDefault="00C7682B" w:rsidP="00261954">
      <w:pPr>
        <w:pStyle w:val="Titre1"/>
        <w:spacing w:after="100"/>
        <w:ind w:left="2268"/>
      </w:pPr>
      <w:r w:rsidRPr="00887B94">
        <w:rPr>
          <w:lang w:val="fr-FR"/>
        </w:rPr>
        <w:t>Tableau</w:t>
      </w:r>
      <w:r>
        <w:rPr>
          <w:lang w:val="fr-FR"/>
        </w:rPr>
        <w:t> </w:t>
      </w:r>
      <w:r w:rsidRPr="00887B94">
        <w:rPr>
          <w:lang w:val="fr-FR"/>
        </w:rPr>
        <w:t>1</w:t>
      </w:r>
      <w:r w:rsidR="00165B29">
        <w:rPr>
          <w:lang w:val="fr-FR"/>
        </w:rPr>
        <w:br/>
      </w:r>
      <w:r w:rsidRPr="00D62E5E">
        <w:rPr>
          <w:b/>
          <w:bCs/>
          <w:lang w:val="fr-FR"/>
        </w:rPr>
        <w:t>Pour les véhicules des catégories M</w:t>
      </w:r>
      <w:r w:rsidRPr="00D62E5E">
        <w:rPr>
          <w:b/>
          <w:bCs/>
          <w:vertAlign w:val="subscript"/>
          <w:lang w:val="fr-FR"/>
        </w:rPr>
        <w:t>1</w:t>
      </w:r>
      <w:r w:rsidRPr="00D62E5E">
        <w:rPr>
          <w:b/>
          <w:bCs/>
          <w:lang w:val="fr-FR"/>
        </w:rPr>
        <w:t xml:space="preserve"> et N</w:t>
      </w:r>
      <w:r w:rsidRPr="00D62E5E">
        <w:rPr>
          <w:b/>
          <w:bCs/>
          <w:vertAlign w:val="subscript"/>
          <w:lang w:val="fr-FR"/>
        </w:rPr>
        <w:t>1</w:t>
      </w:r>
    </w:p>
    <w:tbl>
      <w:tblPr>
        <w:tblW w:w="6237" w:type="dxa"/>
        <w:tblInd w:w="2268" w:type="dxa"/>
        <w:tblLayout w:type="fixed"/>
        <w:tblCellMar>
          <w:left w:w="0" w:type="dxa"/>
          <w:right w:w="0" w:type="dxa"/>
        </w:tblCellMar>
        <w:tblLook w:val="04A0" w:firstRow="1" w:lastRow="0" w:firstColumn="1" w:lastColumn="0" w:noHBand="0" w:noVBand="1"/>
      </w:tblPr>
      <w:tblGrid>
        <w:gridCol w:w="2439"/>
        <w:gridCol w:w="949"/>
        <w:gridCol w:w="950"/>
        <w:gridCol w:w="949"/>
        <w:gridCol w:w="950"/>
      </w:tblGrid>
      <w:tr w:rsidR="00D62E5E" w:rsidRPr="00D62E5E" w:rsidTr="0027760E">
        <w:trPr>
          <w:tblHeader/>
        </w:trPr>
        <w:tc>
          <w:tcPr>
            <w:tcW w:w="2884" w:type="dxa"/>
            <w:tcBorders>
              <w:top w:val="single" w:sz="4" w:space="0" w:color="auto"/>
              <w:bottom w:val="single" w:sz="12" w:space="0" w:color="auto"/>
            </w:tcBorders>
            <w:shd w:val="clear" w:color="auto" w:fill="auto"/>
            <w:noWrap/>
            <w:vAlign w:val="bottom"/>
            <w:hideMark/>
          </w:tcPr>
          <w:p w:rsidR="00C7682B" w:rsidRPr="00D62E5E" w:rsidRDefault="00C7682B" w:rsidP="00D62E5E">
            <w:pPr>
              <w:spacing w:before="80" w:after="80" w:line="200" w:lineRule="exact"/>
              <w:ind w:right="113"/>
              <w:rPr>
                <w:i/>
                <w:sz w:val="16"/>
                <w:lang w:val="fr-FR" w:eastAsia="de-DE"/>
              </w:rPr>
            </w:pPr>
            <w:r w:rsidRPr="00D62E5E">
              <w:rPr>
                <w:i/>
                <w:sz w:val="16"/>
                <w:lang w:val="fr-FR" w:eastAsia="de-DE"/>
              </w:rPr>
              <w:t>Plage de vitesses</w:t>
            </w:r>
          </w:p>
        </w:tc>
        <w:tc>
          <w:tcPr>
            <w:tcW w:w="1121" w:type="dxa"/>
            <w:tcBorders>
              <w:top w:val="single" w:sz="4" w:space="0" w:color="auto"/>
              <w:bottom w:val="single" w:sz="12" w:space="0" w:color="auto"/>
            </w:tcBorders>
            <w:shd w:val="clear" w:color="auto" w:fill="auto"/>
            <w:vAlign w:val="bottom"/>
            <w:hideMark/>
          </w:tcPr>
          <w:p w:rsidR="00C7682B" w:rsidRPr="00D62E5E" w:rsidRDefault="00C7682B" w:rsidP="00D62E5E">
            <w:pPr>
              <w:spacing w:before="80" w:after="80" w:line="200" w:lineRule="exact"/>
              <w:ind w:right="113"/>
              <w:rPr>
                <w:i/>
                <w:sz w:val="16"/>
                <w:lang w:val="fr-FR" w:eastAsia="de-DE"/>
              </w:rPr>
            </w:pPr>
            <w:r w:rsidRPr="00D62E5E">
              <w:rPr>
                <w:i/>
                <w:sz w:val="16"/>
                <w:lang w:val="fr-FR" w:eastAsia="de-DE"/>
              </w:rPr>
              <w:t>10-60 km/h</w:t>
            </w:r>
          </w:p>
        </w:tc>
        <w:tc>
          <w:tcPr>
            <w:tcW w:w="1122" w:type="dxa"/>
            <w:tcBorders>
              <w:top w:val="single" w:sz="4" w:space="0" w:color="auto"/>
              <w:bottom w:val="single" w:sz="12" w:space="0" w:color="auto"/>
            </w:tcBorders>
            <w:shd w:val="clear" w:color="auto" w:fill="auto"/>
            <w:vAlign w:val="bottom"/>
            <w:hideMark/>
          </w:tcPr>
          <w:p w:rsidR="00C7682B" w:rsidRPr="00D62E5E" w:rsidRDefault="00C7682B" w:rsidP="00D62E5E">
            <w:pPr>
              <w:spacing w:before="80" w:after="80" w:line="200" w:lineRule="exact"/>
              <w:ind w:right="113"/>
              <w:rPr>
                <w:i/>
                <w:sz w:val="16"/>
                <w:lang w:val="fr-FR" w:eastAsia="de-DE"/>
              </w:rPr>
            </w:pPr>
            <w:r w:rsidRPr="00D62E5E">
              <w:rPr>
                <w:i/>
                <w:sz w:val="16"/>
                <w:lang w:val="fr-FR" w:eastAsia="de-DE"/>
              </w:rPr>
              <w:t>&gt;60-100 km/h</w:t>
            </w:r>
          </w:p>
        </w:tc>
        <w:tc>
          <w:tcPr>
            <w:tcW w:w="1121" w:type="dxa"/>
            <w:tcBorders>
              <w:top w:val="single" w:sz="4" w:space="0" w:color="auto"/>
              <w:bottom w:val="single" w:sz="12" w:space="0" w:color="auto"/>
            </w:tcBorders>
            <w:shd w:val="clear" w:color="auto" w:fill="auto"/>
            <w:vAlign w:val="bottom"/>
            <w:hideMark/>
          </w:tcPr>
          <w:p w:rsidR="00C7682B" w:rsidRPr="00D62E5E" w:rsidRDefault="00C7682B" w:rsidP="00D62E5E">
            <w:pPr>
              <w:spacing w:before="80" w:after="80" w:line="200" w:lineRule="exact"/>
              <w:ind w:right="113"/>
              <w:rPr>
                <w:i/>
                <w:sz w:val="16"/>
                <w:lang w:val="fr-FR" w:eastAsia="de-DE"/>
              </w:rPr>
            </w:pPr>
            <w:r w:rsidRPr="00D62E5E">
              <w:rPr>
                <w:i/>
                <w:sz w:val="16"/>
                <w:lang w:val="fr-FR" w:eastAsia="de-DE"/>
              </w:rPr>
              <w:t>&gt;100-130 km/h</w:t>
            </w:r>
          </w:p>
        </w:tc>
        <w:tc>
          <w:tcPr>
            <w:tcW w:w="1122" w:type="dxa"/>
            <w:tcBorders>
              <w:top w:val="single" w:sz="4" w:space="0" w:color="auto"/>
              <w:bottom w:val="single" w:sz="12" w:space="0" w:color="auto"/>
            </w:tcBorders>
            <w:shd w:val="clear" w:color="auto" w:fill="auto"/>
            <w:vAlign w:val="bottom"/>
            <w:hideMark/>
          </w:tcPr>
          <w:p w:rsidR="00C7682B" w:rsidRPr="00D62E5E" w:rsidRDefault="00C7682B" w:rsidP="00D62E5E">
            <w:pPr>
              <w:spacing w:before="80" w:after="80" w:line="200" w:lineRule="exact"/>
              <w:ind w:right="113"/>
              <w:rPr>
                <w:i/>
                <w:sz w:val="16"/>
                <w:lang w:val="fr-FR" w:eastAsia="de-DE"/>
              </w:rPr>
            </w:pPr>
            <w:r w:rsidRPr="00D62E5E">
              <w:rPr>
                <w:i/>
                <w:sz w:val="16"/>
                <w:lang w:val="fr-FR" w:eastAsia="de-DE"/>
              </w:rPr>
              <w:t>&gt;130 km/h</w:t>
            </w:r>
          </w:p>
        </w:tc>
      </w:tr>
      <w:tr w:rsidR="00D62E5E" w:rsidRPr="00D62E5E" w:rsidTr="0027760E">
        <w:trPr>
          <w:trHeight w:hRule="exact" w:val="113"/>
          <w:tblHeader/>
        </w:trPr>
        <w:tc>
          <w:tcPr>
            <w:tcW w:w="2884" w:type="dxa"/>
            <w:tcBorders>
              <w:top w:val="single" w:sz="12" w:space="0" w:color="auto"/>
            </w:tcBorders>
            <w:shd w:val="clear" w:color="auto" w:fill="auto"/>
            <w:noWrap/>
          </w:tcPr>
          <w:p w:rsidR="00D62E5E" w:rsidRPr="00D62E5E" w:rsidRDefault="00D62E5E" w:rsidP="00D62E5E">
            <w:pPr>
              <w:spacing w:before="40" w:after="120"/>
              <w:ind w:right="113"/>
              <w:rPr>
                <w:lang w:val="fr-FR" w:eastAsia="de-DE"/>
              </w:rPr>
            </w:pPr>
          </w:p>
        </w:tc>
        <w:tc>
          <w:tcPr>
            <w:tcW w:w="1121" w:type="dxa"/>
            <w:tcBorders>
              <w:top w:val="single" w:sz="12" w:space="0" w:color="auto"/>
            </w:tcBorders>
            <w:shd w:val="clear" w:color="auto" w:fill="auto"/>
          </w:tcPr>
          <w:p w:rsidR="00D62E5E" w:rsidRPr="00D62E5E" w:rsidRDefault="00D62E5E" w:rsidP="00D62E5E">
            <w:pPr>
              <w:spacing w:before="40" w:after="120"/>
              <w:ind w:right="113"/>
              <w:rPr>
                <w:lang w:val="fr-FR" w:eastAsia="de-DE"/>
              </w:rPr>
            </w:pPr>
          </w:p>
        </w:tc>
        <w:tc>
          <w:tcPr>
            <w:tcW w:w="1122" w:type="dxa"/>
            <w:tcBorders>
              <w:top w:val="single" w:sz="12" w:space="0" w:color="auto"/>
            </w:tcBorders>
            <w:shd w:val="clear" w:color="auto" w:fill="auto"/>
          </w:tcPr>
          <w:p w:rsidR="00D62E5E" w:rsidRPr="00D62E5E" w:rsidRDefault="00D62E5E" w:rsidP="00D62E5E">
            <w:pPr>
              <w:spacing w:before="40" w:after="120"/>
              <w:ind w:right="113"/>
              <w:rPr>
                <w:lang w:val="fr-FR" w:eastAsia="de-DE"/>
              </w:rPr>
            </w:pPr>
          </w:p>
        </w:tc>
        <w:tc>
          <w:tcPr>
            <w:tcW w:w="1121" w:type="dxa"/>
            <w:tcBorders>
              <w:top w:val="single" w:sz="12" w:space="0" w:color="auto"/>
            </w:tcBorders>
            <w:shd w:val="clear" w:color="auto" w:fill="auto"/>
          </w:tcPr>
          <w:p w:rsidR="00D62E5E" w:rsidRPr="00D62E5E" w:rsidRDefault="00D62E5E" w:rsidP="00D62E5E">
            <w:pPr>
              <w:spacing w:before="40" w:after="120"/>
              <w:ind w:right="113"/>
              <w:rPr>
                <w:lang w:val="fr-FR" w:eastAsia="de-DE"/>
              </w:rPr>
            </w:pPr>
          </w:p>
        </w:tc>
        <w:tc>
          <w:tcPr>
            <w:tcW w:w="1122" w:type="dxa"/>
            <w:tcBorders>
              <w:top w:val="single" w:sz="12" w:space="0" w:color="auto"/>
            </w:tcBorders>
            <w:shd w:val="clear" w:color="auto" w:fill="auto"/>
          </w:tcPr>
          <w:p w:rsidR="00D62E5E" w:rsidRPr="00D62E5E" w:rsidRDefault="00D62E5E" w:rsidP="00D62E5E">
            <w:pPr>
              <w:spacing w:before="40" w:after="120"/>
              <w:ind w:right="113"/>
              <w:rPr>
                <w:lang w:val="fr-FR" w:eastAsia="de-DE"/>
              </w:rPr>
            </w:pPr>
          </w:p>
        </w:tc>
      </w:tr>
      <w:tr w:rsidR="00D62E5E" w:rsidRPr="00D62E5E" w:rsidTr="0027760E">
        <w:tc>
          <w:tcPr>
            <w:tcW w:w="2884" w:type="dxa"/>
            <w:shd w:val="clear" w:color="auto" w:fill="auto"/>
            <w:noWrap/>
            <w:hideMark/>
          </w:tcPr>
          <w:p w:rsidR="00C7682B" w:rsidRPr="00D62E5E" w:rsidRDefault="00C7682B" w:rsidP="00AD1481">
            <w:pPr>
              <w:spacing w:before="20" w:after="80" w:line="220" w:lineRule="atLeast"/>
              <w:ind w:right="113"/>
              <w:rPr>
                <w:lang w:val="fr-FR" w:eastAsia="de-DE"/>
              </w:rPr>
            </w:pPr>
            <w:r w:rsidRPr="00D62E5E">
              <w:rPr>
                <w:lang w:val="fr-FR" w:eastAsia="de-DE"/>
              </w:rPr>
              <w:t xml:space="preserve">Valeur maximale de l’accélération latérale maximale indiquée </w:t>
            </w:r>
          </w:p>
        </w:tc>
        <w:tc>
          <w:tcPr>
            <w:tcW w:w="1121" w:type="dxa"/>
            <w:shd w:val="clear" w:color="auto" w:fill="auto"/>
            <w:noWrap/>
            <w:hideMark/>
          </w:tcPr>
          <w:p w:rsidR="00C7682B" w:rsidRPr="00D62E5E" w:rsidRDefault="00C7682B" w:rsidP="00AD1481">
            <w:pPr>
              <w:spacing w:before="20" w:after="80" w:line="220" w:lineRule="atLeast"/>
              <w:ind w:right="113"/>
              <w:rPr>
                <w:lang w:val="fr-FR" w:eastAsia="de-DE"/>
              </w:rPr>
            </w:pPr>
            <w:r w:rsidRPr="00D62E5E">
              <w:rPr>
                <w:lang w:val="fr-FR" w:eastAsia="de-DE"/>
              </w:rPr>
              <w:t>3 m/s</w:t>
            </w:r>
            <w:r w:rsidRPr="00D62E5E">
              <w:rPr>
                <w:vertAlign w:val="superscript"/>
                <w:lang w:val="fr-FR" w:eastAsia="de-DE"/>
              </w:rPr>
              <w:t>2</w:t>
            </w:r>
          </w:p>
        </w:tc>
        <w:tc>
          <w:tcPr>
            <w:tcW w:w="1122" w:type="dxa"/>
            <w:shd w:val="clear" w:color="auto" w:fill="auto"/>
            <w:noWrap/>
            <w:hideMark/>
          </w:tcPr>
          <w:p w:rsidR="00C7682B" w:rsidRPr="00D62E5E" w:rsidRDefault="00C7682B" w:rsidP="00AD1481">
            <w:pPr>
              <w:spacing w:before="20" w:after="80" w:line="220" w:lineRule="atLeast"/>
              <w:ind w:right="113"/>
              <w:rPr>
                <w:lang w:val="fr-FR" w:eastAsia="de-DE"/>
              </w:rPr>
            </w:pPr>
            <w:r w:rsidRPr="00D62E5E">
              <w:rPr>
                <w:lang w:val="fr-FR" w:eastAsia="de-DE"/>
              </w:rPr>
              <w:t>3 m/s</w:t>
            </w:r>
            <w:r w:rsidRPr="00D62E5E">
              <w:rPr>
                <w:vertAlign w:val="superscript"/>
                <w:lang w:val="fr-FR" w:eastAsia="de-DE"/>
              </w:rPr>
              <w:t>2</w:t>
            </w:r>
          </w:p>
        </w:tc>
        <w:tc>
          <w:tcPr>
            <w:tcW w:w="1121" w:type="dxa"/>
            <w:shd w:val="clear" w:color="auto" w:fill="auto"/>
            <w:noWrap/>
            <w:hideMark/>
          </w:tcPr>
          <w:p w:rsidR="00C7682B" w:rsidRPr="00D62E5E" w:rsidRDefault="00C7682B" w:rsidP="00AD1481">
            <w:pPr>
              <w:spacing w:before="20" w:after="80" w:line="220" w:lineRule="atLeast"/>
              <w:ind w:right="113"/>
              <w:rPr>
                <w:lang w:val="fr-FR" w:eastAsia="de-DE"/>
              </w:rPr>
            </w:pPr>
            <w:r w:rsidRPr="00D62E5E">
              <w:rPr>
                <w:lang w:val="fr-FR" w:eastAsia="de-DE"/>
              </w:rPr>
              <w:t>3 m/s</w:t>
            </w:r>
            <w:r w:rsidRPr="00D62E5E">
              <w:rPr>
                <w:vertAlign w:val="superscript"/>
                <w:lang w:val="fr-FR" w:eastAsia="de-DE"/>
              </w:rPr>
              <w:t>2</w:t>
            </w:r>
          </w:p>
        </w:tc>
        <w:tc>
          <w:tcPr>
            <w:tcW w:w="1122" w:type="dxa"/>
            <w:shd w:val="clear" w:color="auto" w:fill="auto"/>
            <w:noWrap/>
            <w:hideMark/>
          </w:tcPr>
          <w:p w:rsidR="00C7682B" w:rsidRPr="00D62E5E" w:rsidRDefault="00C7682B" w:rsidP="00AD1481">
            <w:pPr>
              <w:spacing w:before="20" w:after="80" w:line="220" w:lineRule="atLeast"/>
              <w:ind w:right="113"/>
              <w:rPr>
                <w:lang w:val="fr-FR" w:eastAsia="de-DE"/>
              </w:rPr>
            </w:pPr>
            <w:r w:rsidRPr="00D62E5E">
              <w:rPr>
                <w:lang w:val="fr-FR" w:eastAsia="de-DE"/>
              </w:rPr>
              <w:t>3 m/s</w:t>
            </w:r>
            <w:r w:rsidRPr="00D62E5E">
              <w:rPr>
                <w:vertAlign w:val="superscript"/>
                <w:lang w:val="fr-FR" w:eastAsia="de-DE"/>
              </w:rPr>
              <w:t>2</w:t>
            </w:r>
          </w:p>
        </w:tc>
      </w:tr>
      <w:tr w:rsidR="00D62E5E" w:rsidRPr="00D62E5E" w:rsidTr="0027760E">
        <w:tc>
          <w:tcPr>
            <w:tcW w:w="2884" w:type="dxa"/>
            <w:tcBorders>
              <w:bottom w:val="single" w:sz="12" w:space="0" w:color="auto"/>
            </w:tcBorders>
            <w:shd w:val="clear" w:color="auto" w:fill="auto"/>
            <w:noWrap/>
            <w:hideMark/>
          </w:tcPr>
          <w:p w:rsidR="00C7682B" w:rsidRPr="00D62E5E" w:rsidRDefault="00C7682B" w:rsidP="00AD1481">
            <w:pPr>
              <w:spacing w:before="20" w:after="80" w:line="220" w:lineRule="atLeast"/>
              <w:ind w:right="113"/>
              <w:rPr>
                <w:lang w:val="fr-FR" w:eastAsia="de-DE"/>
              </w:rPr>
            </w:pPr>
            <w:r w:rsidRPr="00D62E5E">
              <w:rPr>
                <w:lang w:val="fr-FR" w:eastAsia="de-DE"/>
              </w:rPr>
              <w:t>Valeur minimale de l’accélération latérale maximale indiquée</w:t>
            </w:r>
          </w:p>
        </w:tc>
        <w:tc>
          <w:tcPr>
            <w:tcW w:w="1121" w:type="dxa"/>
            <w:tcBorders>
              <w:bottom w:val="single" w:sz="12" w:space="0" w:color="auto"/>
            </w:tcBorders>
            <w:shd w:val="clear" w:color="auto" w:fill="auto"/>
            <w:noWrap/>
            <w:hideMark/>
          </w:tcPr>
          <w:p w:rsidR="00C7682B" w:rsidRPr="00D62E5E" w:rsidRDefault="00C7682B" w:rsidP="00AD1481">
            <w:pPr>
              <w:spacing w:before="20" w:after="80" w:line="220" w:lineRule="atLeast"/>
              <w:ind w:right="113"/>
              <w:rPr>
                <w:lang w:val="fr-FR" w:eastAsia="de-DE"/>
              </w:rPr>
            </w:pPr>
            <w:r w:rsidRPr="00D62E5E">
              <w:rPr>
                <w:lang w:val="fr-FR" w:eastAsia="de-DE"/>
              </w:rPr>
              <w:t>0 m/s</w:t>
            </w:r>
            <w:r w:rsidRPr="00D62E5E">
              <w:rPr>
                <w:vertAlign w:val="superscript"/>
                <w:lang w:val="fr-FR" w:eastAsia="de-DE"/>
              </w:rPr>
              <w:t>2</w:t>
            </w:r>
          </w:p>
        </w:tc>
        <w:tc>
          <w:tcPr>
            <w:tcW w:w="1122" w:type="dxa"/>
            <w:tcBorders>
              <w:bottom w:val="single" w:sz="12" w:space="0" w:color="auto"/>
            </w:tcBorders>
            <w:shd w:val="clear" w:color="auto" w:fill="auto"/>
            <w:noWrap/>
            <w:hideMark/>
          </w:tcPr>
          <w:p w:rsidR="00C7682B" w:rsidRPr="00D62E5E" w:rsidRDefault="00C7682B" w:rsidP="00AD1481">
            <w:pPr>
              <w:spacing w:before="20" w:after="80" w:line="220" w:lineRule="atLeast"/>
              <w:ind w:right="113"/>
              <w:rPr>
                <w:lang w:val="fr-FR" w:eastAsia="de-DE"/>
              </w:rPr>
            </w:pPr>
            <w:r w:rsidRPr="00D62E5E">
              <w:rPr>
                <w:lang w:val="fr-FR" w:eastAsia="de-DE"/>
              </w:rPr>
              <w:t>0,5 m/s</w:t>
            </w:r>
            <w:r w:rsidRPr="00D62E5E">
              <w:rPr>
                <w:vertAlign w:val="superscript"/>
                <w:lang w:val="fr-FR" w:eastAsia="de-DE"/>
              </w:rPr>
              <w:t>2</w:t>
            </w:r>
          </w:p>
        </w:tc>
        <w:tc>
          <w:tcPr>
            <w:tcW w:w="1121" w:type="dxa"/>
            <w:tcBorders>
              <w:bottom w:val="single" w:sz="12" w:space="0" w:color="auto"/>
            </w:tcBorders>
            <w:shd w:val="clear" w:color="auto" w:fill="auto"/>
            <w:noWrap/>
            <w:hideMark/>
          </w:tcPr>
          <w:p w:rsidR="00C7682B" w:rsidRPr="00D62E5E" w:rsidRDefault="00C7682B" w:rsidP="00AD1481">
            <w:pPr>
              <w:spacing w:before="20" w:after="80" w:line="220" w:lineRule="atLeast"/>
              <w:ind w:right="113"/>
              <w:rPr>
                <w:lang w:val="fr-FR" w:eastAsia="de-DE"/>
              </w:rPr>
            </w:pPr>
            <w:r w:rsidRPr="00D62E5E">
              <w:rPr>
                <w:bCs/>
                <w:lang w:val="fr-FR" w:eastAsia="de-DE"/>
              </w:rPr>
              <w:t>0,8 </w:t>
            </w:r>
            <w:r w:rsidRPr="00D62E5E">
              <w:rPr>
                <w:lang w:val="fr-FR" w:eastAsia="de-DE"/>
              </w:rPr>
              <w:t>m/s</w:t>
            </w:r>
            <w:r w:rsidRPr="00D62E5E">
              <w:rPr>
                <w:vertAlign w:val="superscript"/>
                <w:lang w:val="fr-FR" w:eastAsia="de-DE"/>
              </w:rPr>
              <w:t>2</w:t>
            </w:r>
          </w:p>
        </w:tc>
        <w:tc>
          <w:tcPr>
            <w:tcW w:w="1122" w:type="dxa"/>
            <w:tcBorders>
              <w:bottom w:val="single" w:sz="12" w:space="0" w:color="auto"/>
            </w:tcBorders>
            <w:shd w:val="clear" w:color="auto" w:fill="auto"/>
            <w:noWrap/>
            <w:hideMark/>
          </w:tcPr>
          <w:p w:rsidR="00C7682B" w:rsidRPr="00D62E5E" w:rsidRDefault="00C7682B" w:rsidP="00AD1481">
            <w:pPr>
              <w:spacing w:before="20" w:after="80" w:line="220" w:lineRule="atLeast"/>
              <w:ind w:right="113"/>
              <w:rPr>
                <w:lang w:val="fr-FR" w:eastAsia="de-DE"/>
              </w:rPr>
            </w:pPr>
            <w:r w:rsidRPr="00D62E5E">
              <w:rPr>
                <w:lang w:val="fr-FR" w:eastAsia="de-DE"/>
              </w:rPr>
              <w:t>0,3 m/s</w:t>
            </w:r>
            <w:r w:rsidRPr="00D62E5E">
              <w:rPr>
                <w:vertAlign w:val="superscript"/>
                <w:lang w:val="fr-FR" w:eastAsia="de-DE"/>
              </w:rPr>
              <w:t>2</w:t>
            </w:r>
          </w:p>
        </w:tc>
      </w:tr>
    </w:tbl>
    <w:p w:rsidR="00C7682B" w:rsidRPr="00D05236" w:rsidRDefault="00C7682B" w:rsidP="000C56F2">
      <w:pPr>
        <w:pStyle w:val="Titre1"/>
        <w:spacing w:before="120" w:after="120"/>
        <w:ind w:left="2268"/>
        <w:rPr>
          <w:b/>
          <w:bCs/>
        </w:rPr>
      </w:pPr>
      <w:r w:rsidRPr="00D05236">
        <w:rPr>
          <w:b/>
          <w:bCs/>
          <w:lang w:val="fr-FR"/>
        </w:rPr>
        <w:t>Pour les véhicules des catégories</w:t>
      </w:r>
      <w:r w:rsidRPr="00D05236">
        <w:rPr>
          <w:b/>
          <w:bCs/>
          <w:lang w:val="fr-FR" w:eastAsia="de-DE"/>
        </w:rPr>
        <w:t> M</w:t>
      </w:r>
      <w:r w:rsidRPr="00D05236">
        <w:rPr>
          <w:b/>
          <w:bCs/>
          <w:vertAlign w:val="subscript"/>
          <w:lang w:val="fr-FR" w:eastAsia="de-DE"/>
        </w:rPr>
        <w:t>2</w:t>
      </w:r>
      <w:r w:rsidRPr="00D05236">
        <w:rPr>
          <w:b/>
          <w:bCs/>
          <w:lang w:val="fr-FR" w:eastAsia="de-DE"/>
        </w:rPr>
        <w:t>, M</w:t>
      </w:r>
      <w:r w:rsidRPr="00D05236">
        <w:rPr>
          <w:b/>
          <w:bCs/>
          <w:vertAlign w:val="subscript"/>
          <w:lang w:val="fr-FR" w:eastAsia="de-DE"/>
        </w:rPr>
        <w:t>3</w:t>
      </w:r>
      <w:r w:rsidRPr="00D05236">
        <w:rPr>
          <w:b/>
          <w:bCs/>
          <w:lang w:val="fr-FR" w:eastAsia="de-DE"/>
        </w:rPr>
        <w:t>, N</w:t>
      </w:r>
      <w:r w:rsidRPr="00D05236">
        <w:rPr>
          <w:b/>
          <w:bCs/>
          <w:vertAlign w:val="subscript"/>
          <w:lang w:val="fr-FR" w:eastAsia="de-DE"/>
        </w:rPr>
        <w:t>2</w:t>
      </w:r>
      <w:r w:rsidRPr="00D05236">
        <w:rPr>
          <w:b/>
          <w:bCs/>
          <w:lang w:val="fr-FR" w:eastAsia="de-DE"/>
        </w:rPr>
        <w:t xml:space="preserve"> et N</w:t>
      </w:r>
      <w:r w:rsidRPr="00D05236">
        <w:rPr>
          <w:b/>
          <w:bCs/>
          <w:vertAlign w:val="subscript"/>
          <w:lang w:val="fr-FR" w:eastAsia="de-DE"/>
        </w:rPr>
        <w:t>3</w:t>
      </w:r>
    </w:p>
    <w:tbl>
      <w:tblPr>
        <w:tblW w:w="6237" w:type="dxa"/>
        <w:tblInd w:w="2268" w:type="dxa"/>
        <w:tblLayout w:type="fixed"/>
        <w:tblCellMar>
          <w:left w:w="0" w:type="dxa"/>
          <w:right w:w="0" w:type="dxa"/>
        </w:tblCellMar>
        <w:tblLook w:val="04A0" w:firstRow="1" w:lastRow="0" w:firstColumn="1" w:lastColumn="0" w:noHBand="0" w:noVBand="1"/>
      </w:tblPr>
      <w:tblGrid>
        <w:gridCol w:w="2450"/>
        <w:gridCol w:w="1262"/>
        <w:gridCol w:w="1262"/>
        <w:gridCol w:w="1263"/>
      </w:tblGrid>
      <w:tr w:rsidR="00D05236" w:rsidRPr="00D05236" w:rsidTr="000C56F2">
        <w:trPr>
          <w:tblHeader/>
        </w:trPr>
        <w:tc>
          <w:tcPr>
            <w:tcW w:w="2898" w:type="dxa"/>
            <w:tcBorders>
              <w:top w:val="single" w:sz="4" w:space="0" w:color="auto"/>
              <w:bottom w:val="single" w:sz="12" w:space="0" w:color="auto"/>
            </w:tcBorders>
            <w:shd w:val="clear" w:color="auto" w:fill="auto"/>
            <w:noWrap/>
            <w:vAlign w:val="bottom"/>
            <w:hideMark/>
          </w:tcPr>
          <w:p w:rsidR="00D05236" w:rsidRPr="00D05236" w:rsidRDefault="00D05236" w:rsidP="00D05236">
            <w:pPr>
              <w:spacing w:before="80" w:after="80" w:line="200" w:lineRule="exact"/>
              <w:ind w:right="113"/>
              <w:rPr>
                <w:i/>
                <w:sz w:val="16"/>
                <w:lang w:val="fr-FR" w:eastAsia="de-DE"/>
              </w:rPr>
            </w:pPr>
            <w:r w:rsidRPr="00D05236">
              <w:rPr>
                <w:i/>
                <w:sz w:val="16"/>
                <w:lang w:val="fr-FR" w:eastAsia="de-DE"/>
              </w:rPr>
              <w:t>Plage de vitesses</w:t>
            </w:r>
          </w:p>
        </w:tc>
        <w:tc>
          <w:tcPr>
            <w:tcW w:w="1491" w:type="dxa"/>
            <w:tcBorders>
              <w:top w:val="single" w:sz="4" w:space="0" w:color="auto"/>
              <w:bottom w:val="single" w:sz="12" w:space="0" w:color="auto"/>
            </w:tcBorders>
            <w:shd w:val="clear" w:color="auto" w:fill="auto"/>
            <w:vAlign w:val="bottom"/>
            <w:hideMark/>
          </w:tcPr>
          <w:p w:rsidR="00D05236" w:rsidRPr="00D05236" w:rsidRDefault="00D05236" w:rsidP="00D05236">
            <w:pPr>
              <w:spacing w:before="80" w:after="80" w:line="200" w:lineRule="exact"/>
              <w:ind w:right="113"/>
              <w:rPr>
                <w:i/>
                <w:sz w:val="16"/>
                <w:lang w:val="fr-FR" w:eastAsia="de-DE"/>
              </w:rPr>
            </w:pPr>
            <w:r w:rsidRPr="00D05236">
              <w:rPr>
                <w:i/>
                <w:sz w:val="16"/>
                <w:lang w:val="fr-FR" w:eastAsia="de-DE"/>
              </w:rPr>
              <w:t>10-30 km/h</w:t>
            </w:r>
          </w:p>
        </w:tc>
        <w:tc>
          <w:tcPr>
            <w:tcW w:w="1491" w:type="dxa"/>
            <w:tcBorders>
              <w:top w:val="single" w:sz="4" w:space="0" w:color="auto"/>
              <w:bottom w:val="single" w:sz="12" w:space="0" w:color="auto"/>
            </w:tcBorders>
            <w:shd w:val="clear" w:color="auto" w:fill="auto"/>
            <w:vAlign w:val="bottom"/>
            <w:hideMark/>
          </w:tcPr>
          <w:p w:rsidR="00D05236" w:rsidRPr="00D05236" w:rsidRDefault="00D05236" w:rsidP="00D05236">
            <w:pPr>
              <w:spacing w:before="80" w:after="80" w:line="200" w:lineRule="exact"/>
              <w:ind w:right="113"/>
              <w:rPr>
                <w:i/>
                <w:sz w:val="16"/>
                <w:lang w:val="fr-FR" w:eastAsia="de-DE"/>
              </w:rPr>
            </w:pPr>
            <w:r w:rsidRPr="00D05236">
              <w:rPr>
                <w:i/>
                <w:sz w:val="16"/>
                <w:lang w:val="fr-FR" w:eastAsia="de-DE"/>
              </w:rPr>
              <w:t>&gt;30-60 km/h</w:t>
            </w:r>
          </w:p>
        </w:tc>
        <w:tc>
          <w:tcPr>
            <w:tcW w:w="1492" w:type="dxa"/>
            <w:tcBorders>
              <w:top w:val="single" w:sz="4" w:space="0" w:color="auto"/>
              <w:bottom w:val="single" w:sz="12" w:space="0" w:color="auto"/>
            </w:tcBorders>
            <w:shd w:val="clear" w:color="auto" w:fill="auto"/>
            <w:vAlign w:val="bottom"/>
            <w:hideMark/>
          </w:tcPr>
          <w:p w:rsidR="00D05236" w:rsidRPr="00D05236" w:rsidRDefault="00D05236" w:rsidP="00D05236">
            <w:pPr>
              <w:spacing w:before="80" w:after="80" w:line="200" w:lineRule="exact"/>
              <w:ind w:right="113"/>
              <w:rPr>
                <w:i/>
                <w:sz w:val="16"/>
                <w:lang w:val="fr-FR" w:eastAsia="de-DE"/>
              </w:rPr>
            </w:pPr>
            <w:r w:rsidRPr="00D05236">
              <w:rPr>
                <w:i/>
                <w:sz w:val="16"/>
                <w:lang w:val="fr-FR" w:eastAsia="de-DE"/>
              </w:rPr>
              <w:t>&gt;60 km/h</w:t>
            </w:r>
          </w:p>
        </w:tc>
      </w:tr>
      <w:tr w:rsidR="00D05236" w:rsidRPr="00D05236" w:rsidTr="000C56F2">
        <w:trPr>
          <w:trHeight w:hRule="exact" w:val="113"/>
          <w:tblHeader/>
        </w:trPr>
        <w:tc>
          <w:tcPr>
            <w:tcW w:w="2898" w:type="dxa"/>
            <w:tcBorders>
              <w:top w:val="single" w:sz="12" w:space="0" w:color="auto"/>
            </w:tcBorders>
            <w:shd w:val="clear" w:color="auto" w:fill="auto"/>
            <w:noWrap/>
          </w:tcPr>
          <w:p w:rsidR="00D05236" w:rsidRPr="00D05236" w:rsidRDefault="00D05236" w:rsidP="00D05236">
            <w:pPr>
              <w:spacing w:before="40" w:after="120"/>
              <w:ind w:right="113"/>
              <w:rPr>
                <w:lang w:val="fr-FR" w:eastAsia="de-DE"/>
              </w:rPr>
            </w:pPr>
          </w:p>
        </w:tc>
        <w:tc>
          <w:tcPr>
            <w:tcW w:w="1491" w:type="dxa"/>
            <w:tcBorders>
              <w:top w:val="single" w:sz="12" w:space="0" w:color="auto"/>
            </w:tcBorders>
            <w:shd w:val="clear" w:color="auto" w:fill="auto"/>
          </w:tcPr>
          <w:p w:rsidR="00D05236" w:rsidRPr="00D05236" w:rsidRDefault="00D05236" w:rsidP="00D05236">
            <w:pPr>
              <w:spacing w:before="40" w:after="120"/>
              <w:ind w:right="113"/>
              <w:rPr>
                <w:lang w:val="fr-FR" w:eastAsia="de-DE"/>
              </w:rPr>
            </w:pPr>
          </w:p>
        </w:tc>
        <w:tc>
          <w:tcPr>
            <w:tcW w:w="1491" w:type="dxa"/>
            <w:tcBorders>
              <w:top w:val="single" w:sz="12" w:space="0" w:color="auto"/>
            </w:tcBorders>
            <w:shd w:val="clear" w:color="auto" w:fill="auto"/>
          </w:tcPr>
          <w:p w:rsidR="00D05236" w:rsidRPr="00D05236" w:rsidRDefault="00D05236" w:rsidP="00D05236">
            <w:pPr>
              <w:spacing w:before="40" w:after="120"/>
              <w:ind w:right="113"/>
              <w:rPr>
                <w:lang w:val="fr-FR" w:eastAsia="de-DE"/>
              </w:rPr>
            </w:pPr>
          </w:p>
        </w:tc>
        <w:tc>
          <w:tcPr>
            <w:tcW w:w="1492" w:type="dxa"/>
            <w:tcBorders>
              <w:top w:val="single" w:sz="12" w:space="0" w:color="auto"/>
            </w:tcBorders>
            <w:shd w:val="clear" w:color="auto" w:fill="auto"/>
          </w:tcPr>
          <w:p w:rsidR="00D05236" w:rsidRPr="00D05236" w:rsidRDefault="00D05236" w:rsidP="00D05236">
            <w:pPr>
              <w:spacing w:before="40" w:after="120"/>
              <w:ind w:right="113"/>
              <w:rPr>
                <w:lang w:val="fr-FR" w:eastAsia="de-DE"/>
              </w:rPr>
            </w:pPr>
          </w:p>
        </w:tc>
      </w:tr>
      <w:tr w:rsidR="00D05236" w:rsidRPr="00D05236" w:rsidTr="000C56F2">
        <w:tc>
          <w:tcPr>
            <w:tcW w:w="2898" w:type="dxa"/>
            <w:shd w:val="clear" w:color="auto" w:fill="auto"/>
            <w:noWrap/>
            <w:hideMark/>
          </w:tcPr>
          <w:p w:rsidR="00D05236" w:rsidRPr="00D05236" w:rsidRDefault="00D05236" w:rsidP="00AD1481">
            <w:pPr>
              <w:spacing w:before="20" w:after="80" w:line="220" w:lineRule="atLeast"/>
              <w:ind w:right="113"/>
              <w:rPr>
                <w:lang w:val="fr-FR" w:eastAsia="de-DE"/>
              </w:rPr>
            </w:pPr>
            <w:r w:rsidRPr="00D05236">
              <w:rPr>
                <w:lang w:val="fr-FR" w:eastAsia="de-DE"/>
              </w:rPr>
              <w:t xml:space="preserve">Valeur maximale de l’accélération latérale maximale indiquée </w:t>
            </w:r>
          </w:p>
        </w:tc>
        <w:tc>
          <w:tcPr>
            <w:tcW w:w="1491" w:type="dxa"/>
            <w:shd w:val="clear" w:color="auto" w:fill="auto"/>
            <w:hideMark/>
          </w:tcPr>
          <w:p w:rsidR="00D05236" w:rsidRPr="00D05236" w:rsidRDefault="00D05236" w:rsidP="00AD1481">
            <w:pPr>
              <w:spacing w:before="20" w:after="80" w:line="220" w:lineRule="atLeast"/>
              <w:ind w:right="113"/>
              <w:rPr>
                <w:lang w:val="fr-FR" w:eastAsia="de-DE"/>
              </w:rPr>
            </w:pPr>
            <w:r w:rsidRPr="00D05236">
              <w:rPr>
                <w:lang w:val="fr-FR" w:eastAsia="de-DE"/>
              </w:rPr>
              <w:t>2,5 m/s</w:t>
            </w:r>
            <w:r w:rsidRPr="00D05236">
              <w:rPr>
                <w:vertAlign w:val="superscript"/>
                <w:lang w:val="fr-FR" w:eastAsia="de-DE"/>
              </w:rPr>
              <w:t>2</w:t>
            </w:r>
          </w:p>
        </w:tc>
        <w:tc>
          <w:tcPr>
            <w:tcW w:w="1491" w:type="dxa"/>
            <w:shd w:val="clear" w:color="auto" w:fill="auto"/>
            <w:hideMark/>
          </w:tcPr>
          <w:p w:rsidR="00D05236" w:rsidRPr="00D05236" w:rsidRDefault="00D05236" w:rsidP="00AD1481">
            <w:pPr>
              <w:spacing w:before="20" w:after="80" w:line="220" w:lineRule="atLeast"/>
              <w:ind w:right="113"/>
              <w:rPr>
                <w:lang w:val="fr-FR" w:eastAsia="de-DE"/>
              </w:rPr>
            </w:pPr>
            <w:r w:rsidRPr="00D05236">
              <w:rPr>
                <w:lang w:val="fr-FR" w:eastAsia="de-DE"/>
              </w:rPr>
              <w:t>2,5 m/s</w:t>
            </w:r>
            <w:r w:rsidRPr="00D05236">
              <w:rPr>
                <w:vertAlign w:val="superscript"/>
                <w:lang w:val="fr-FR" w:eastAsia="de-DE"/>
              </w:rPr>
              <w:t>2</w:t>
            </w:r>
          </w:p>
        </w:tc>
        <w:tc>
          <w:tcPr>
            <w:tcW w:w="1492" w:type="dxa"/>
            <w:shd w:val="clear" w:color="auto" w:fill="auto"/>
            <w:hideMark/>
          </w:tcPr>
          <w:p w:rsidR="00D05236" w:rsidRPr="00D05236" w:rsidRDefault="00D05236" w:rsidP="00AD1481">
            <w:pPr>
              <w:spacing w:before="20" w:after="80" w:line="220" w:lineRule="atLeast"/>
              <w:ind w:right="113"/>
              <w:rPr>
                <w:lang w:val="fr-FR" w:eastAsia="de-DE"/>
              </w:rPr>
            </w:pPr>
            <w:r w:rsidRPr="00D05236">
              <w:rPr>
                <w:lang w:val="fr-FR" w:eastAsia="de-DE"/>
              </w:rPr>
              <w:t>2,5 m/s</w:t>
            </w:r>
            <w:r w:rsidRPr="00D05236">
              <w:rPr>
                <w:vertAlign w:val="superscript"/>
                <w:lang w:val="fr-FR" w:eastAsia="de-DE"/>
              </w:rPr>
              <w:t>2</w:t>
            </w:r>
          </w:p>
        </w:tc>
      </w:tr>
      <w:tr w:rsidR="00D05236" w:rsidRPr="00D05236" w:rsidTr="000C56F2">
        <w:tc>
          <w:tcPr>
            <w:tcW w:w="2898" w:type="dxa"/>
            <w:tcBorders>
              <w:bottom w:val="single" w:sz="12" w:space="0" w:color="auto"/>
            </w:tcBorders>
            <w:shd w:val="clear" w:color="auto" w:fill="auto"/>
            <w:noWrap/>
            <w:hideMark/>
          </w:tcPr>
          <w:p w:rsidR="00D05236" w:rsidRPr="00D05236" w:rsidRDefault="00D05236" w:rsidP="00AD1481">
            <w:pPr>
              <w:spacing w:before="20" w:after="80" w:line="220" w:lineRule="atLeast"/>
              <w:ind w:right="113"/>
              <w:rPr>
                <w:lang w:val="fr-FR" w:eastAsia="de-DE"/>
              </w:rPr>
            </w:pPr>
            <w:r w:rsidRPr="00D05236">
              <w:rPr>
                <w:lang w:val="fr-FR" w:eastAsia="de-DE"/>
              </w:rPr>
              <w:t>Valeur minimale de l’accélération latérale maximale indiquée</w:t>
            </w:r>
          </w:p>
        </w:tc>
        <w:tc>
          <w:tcPr>
            <w:tcW w:w="1491" w:type="dxa"/>
            <w:tcBorders>
              <w:bottom w:val="single" w:sz="12" w:space="0" w:color="auto"/>
            </w:tcBorders>
            <w:shd w:val="clear" w:color="auto" w:fill="auto"/>
            <w:noWrap/>
            <w:hideMark/>
          </w:tcPr>
          <w:p w:rsidR="00D05236" w:rsidRPr="00D05236" w:rsidRDefault="00D05236" w:rsidP="00AD1481">
            <w:pPr>
              <w:spacing w:before="20" w:after="80" w:line="220" w:lineRule="atLeast"/>
              <w:ind w:right="113"/>
              <w:rPr>
                <w:lang w:val="fr-FR" w:eastAsia="de-DE"/>
              </w:rPr>
            </w:pPr>
            <w:r w:rsidRPr="00D05236">
              <w:rPr>
                <w:lang w:val="fr-FR" w:eastAsia="de-DE"/>
              </w:rPr>
              <w:t>0 m/s</w:t>
            </w:r>
            <w:r w:rsidRPr="00D05236">
              <w:rPr>
                <w:vertAlign w:val="superscript"/>
                <w:lang w:val="fr-FR" w:eastAsia="de-DE"/>
              </w:rPr>
              <w:t>2</w:t>
            </w:r>
          </w:p>
        </w:tc>
        <w:tc>
          <w:tcPr>
            <w:tcW w:w="1491" w:type="dxa"/>
            <w:tcBorders>
              <w:bottom w:val="single" w:sz="12" w:space="0" w:color="auto"/>
            </w:tcBorders>
            <w:shd w:val="clear" w:color="auto" w:fill="auto"/>
            <w:hideMark/>
          </w:tcPr>
          <w:p w:rsidR="00D05236" w:rsidRPr="00D05236" w:rsidRDefault="00D05236" w:rsidP="00AD1481">
            <w:pPr>
              <w:spacing w:before="20" w:after="80" w:line="220" w:lineRule="atLeast"/>
              <w:ind w:right="113"/>
              <w:rPr>
                <w:lang w:val="fr-FR" w:eastAsia="de-DE"/>
              </w:rPr>
            </w:pPr>
            <w:r w:rsidRPr="00D05236">
              <w:rPr>
                <w:lang w:val="fr-FR" w:eastAsia="de-DE"/>
              </w:rPr>
              <w:t>0,3 m/s</w:t>
            </w:r>
            <w:r w:rsidRPr="00D05236">
              <w:rPr>
                <w:vertAlign w:val="superscript"/>
                <w:lang w:val="fr-FR" w:eastAsia="de-DE"/>
              </w:rPr>
              <w:t>2</w:t>
            </w:r>
          </w:p>
        </w:tc>
        <w:tc>
          <w:tcPr>
            <w:tcW w:w="1492" w:type="dxa"/>
            <w:tcBorders>
              <w:bottom w:val="single" w:sz="12" w:space="0" w:color="auto"/>
            </w:tcBorders>
            <w:shd w:val="clear" w:color="auto" w:fill="auto"/>
            <w:hideMark/>
          </w:tcPr>
          <w:p w:rsidR="00D05236" w:rsidRPr="00D05236" w:rsidRDefault="00D05236" w:rsidP="00AD1481">
            <w:pPr>
              <w:spacing w:before="20" w:after="80" w:line="220" w:lineRule="atLeast"/>
              <w:ind w:right="113"/>
              <w:rPr>
                <w:lang w:val="fr-FR" w:eastAsia="de-DE"/>
              </w:rPr>
            </w:pPr>
            <w:r w:rsidRPr="00D05236">
              <w:rPr>
                <w:lang w:val="fr-FR" w:eastAsia="de-DE"/>
              </w:rPr>
              <w:t>0,5 m/s</w:t>
            </w:r>
            <w:r w:rsidRPr="00D05236">
              <w:rPr>
                <w:vertAlign w:val="superscript"/>
                <w:lang w:val="fr-FR" w:eastAsia="de-DE"/>
              </w:rPr>
              <w:t>2</w:t>
            </w:r>
          </w:p>
        </w:tc>
      </w:tr>
    </w:tbl>
    <w:p w:rsidR="00C7682B" w:rsidRPr="00196B7D" w:rsidRDefault="00C7682B" w:rsidP="00AD1481">
      <w:pPr>
        <w:spacing w:before="120" w:after="100" w:line="236" w:lineRule="atLeast"/>
        <w:ind w:left="2835" w:right="1134" w:hanging="567"/>
        <w:jc w:val="both"/>
      </w:pPr>
      <w:r w:rsidRPr="00196B7D">
        <w:rPr>
          <w:lang w:val="fr-FR"/>
        </w:rPr>
        <w:t>c)</w:t>
      </w:r>
      <w:r w:rsidRPr="00196B7D">
        <w:rPr>
          <w:lang w:val="fr-FR"/>
        </w:rPr>
        <w:tab/>
        <w:t>La moyenne mobile, sur une durée d</w:t>
      </w:r>
      <w:r>
        <w:rPr>
          <w:lang w:val="fr-FR"/>
        </w:rPr>
        <w:t>’</w:t>
      </w:r>
      <w:r w:rsidRPr="00196B7D">
        <w:rPr>
          <w:lang w:val="fr-FR"/>
        </w:rPr>
        <w:t>une demi-seconde, de l</w:t>
      </w:r>
      <w:r>
        <w:rPr>
          <w:lang w:val="fr-FR"/>
        </w:rPr>
        <w:t>’</w:t>
      </w:r>
      <w:r w:rsidRPr="00196B7D">
        <w:rPr>
          <w:lang w:val="fr-FR"/>
        </w:rPr>
        <w:t>à</w:t>
      </w:r>
      <w:r w:rsidRPr="00196B7D">
        <w:rPr>
          <w:lang w:val="fr-FR"/>
        </w:rPr>
        <w:noBreakHyphen/>
        <w:t>coup latéral produit par le système ne doit pas être supérieure à 5 m/s</w:t>
      </w:r>
      <w:r w:rsidRPr="00196B7D">
        <w:rPr>
          <w:vertAlign w:val="superscript"/>
          <w:lang w:val="fr-FR"/>
        </w:rPr>
        <w:t>3</w:t>
      </w:r>
      <w:r>
        <w:rPr>
          <w:lang w:val="fr-FR"/>
        </w:rPr>
        <w:t> ;</w:t>
      </w:r>
    </w:p>
    <w:p w:rsidR="00C7682B" w:rsidRPr="00C95890" w:rsidRDefault="00C7682B" w:rsidP="00AD1481">
      <w:pPr>
        <w:pStyle w:val="SingleTxtG"/>
        <w:spacing w:before="120" w:after="100" w:line="236" w:lineRule="atLeast"/>
        <w:ind w:left="2268"/>
        <w:rPr>
          <w:b/>
          <w:bCs/>
        </w:rPr>
      </w:pPr>
      <w:r w:rsidRPr="00196B7D">
        <w:rPr>
          <w:b/>
          <w:lang w:val="fr-FR"/>
        </w:rPr>
        <w:t>d)</w:t>
      </w:r>
      <w:r w:rsidRPr="00196B7D">
        <w:rPr>
          <w:b/>
          <w:lang w:val="fr-FR"/>
        </w:rPr>
        <w:tab/>
      </w:r>
      <w:r w:rsidRPr="00196B7D">
        <w:rPr>
          <w:b/>
          <w:bCs/>
          <w:lang w:val="fr-FR"/>
        </w:rPr>
        <w:t>Disposition</w:t>
      </w:r>
      <w:r>
        <w:rPr>
          <w:b/>
          <w:bCs/>
          <w:lang w:val="fr-FR"/>
        </w:rPr>
        <w:t xml:space="preserve"> spéciale pour les véhicules de catégorie M</w:t>
      </w:r>
      <w:r>
        <w:rPr>
          <w:b/>
          <w:bCs/>
          <w:vertAlign w:val="subscript"/>
          <w:lang w:val="fr-FR"/>
        </w:rPr>
        <w:t>1</w:t>
      </w:r>
      <w:r>
        <w:rPr>
          <w:b/>
          <w:bCs/>
          <w:lang w:val="fr-FR"/>
        </w:rPr>
        <w:t>/[N</w:t>
      </w:r>
      <w:r>
        <w:rPr>
          <w:b/>
          <w:bCs/>
          <w:vertAlign w:val="subscript"/>
          <w:lang w:val="fr-FR"/>
        </w:rPr>
        <w:t>1</w:t>
      </w:r>
      <w:r>
        <w:rPr>
          <w:b/>
          <w:bCs/>
          <w:lang w:val="fr-FR"/>
        </w:rPr>
        <w:t>]</w:t>
      </w:r>
    </w:p>
    <w:p w:rsidR="00C7682B" w:rsidRPr="00C95890" w:rsidRDefault="00C7682B" w:rsidP="00AD1481">
      <w:pPr>
        <w:pStyle w:val="SingleTxtG"/>
        <w:spacing w:after="100" w:line="236" w:lineRule="atLeast"/>
        <w:ind w:left="2268"/>
        <w:rPr>
          <w:b/>
          <w:bCs/>
        </w:rPr>
      </w:pPr>
      <w:r>
        <w:rPr>
          <w:b/>
          <w:bCs/>
          <w:lang w:val="fr-FR"/>
        </w:rPr>
        <w:t xml:space="preserve">Nonobstant les valeurs maximales indiquées dans le tableau ci-dessus, le constructeur peut déclarer une valeur de l’accélération latérale maximale indiquée, </w:t>
      </w:r>
      <w:proofErr w:type="spellStart"/>
      <w:r>
        <w:rPr>
          <w:b/>
          <w:bCs/>
          <w:lang w:val="fr-FR"/>
        </w:rPr>
        <w:t>ay</w:t>
      </w:r>
      <w:r>
        <w:rPr>
          <w:b/>
          <w:bCs/>
          <w:vertAlign w:val="subscript"/>
          <w:lang w:val="fr-FR"/>
        </w:rPr>
        <w:t>smax</w:t>
      </w:r>
      <w:proofErr w:type="spellEnd"/>
      <w:r>
        <w:rPr>
          <w:b/>
          <w:bCs/>
          <w:lang w:val="fr-FR"/>
        </w:rPr>
        <w:t>, allant jusqu’à 4 m/s² lorsque les conditions suivantes sont réunies :</w:t>
      </w:r>
      <w:r>
        <w:rPr>
          <w:lang w:val="fr-FR"/>
        </w:rPr>
        <w:t xml:space="preserve"> </w:t>
      </w:r>
    </w:p>
    <w:p w:rsidR="00C7682B" w:rsidRPr="0050714C" w:rsidRDefault="00C7682B" w:rsidP="00AD1481">
      <w:pPr>
        <w:pStyle w:val="SingleTxtG"/>
        <w:spacing w:after="100" w:line="236" w:lineRule="atLeast"/>
        <w:ind w:left="3402" w:hanging="567"/>
        <w:rPr>
          <w:b/>
          <w:bCs/>
        </w:rPr>
      </w:pPr>
      <w:bookmarkStart w:id="1" w:name="_Hlk26524655"/>
      <w:r w:rsidRPr="0050714C">
        <w:rPr>
          <w:b/>
          <w:bCs/>
          <w:lang w:val="fr-FR"/>
        </w:rPr>
        <w:t>i)</w:t>
      </w:r>
      <w:r w:rsidRPr="0050714C">
        <w:rPr>
          <w:b/>
          <w:bCs/>
          <w:lang w:val="fr-FR"/>
        </w:rPr>
        <w:tab/>
        <w:t>Vitesse du véhicule inférieure à 80 km/h ;</w:t>
      </w:r>
    </w:p>
    <w:p w:rsidR="00C7682B" w:rsidRPr="0050714C" w:rsidRDefault="00C7682B" w:rsidP="00AD1481">
      <w:pPr>
        <w:pStyle w:val="SingleTxtG"/>
        <w:spacing w:after="100" w:line="236" w:lineRule="atLeast"/>
        <w:ind w:left="3402" w:hanging="567"/>
        <w:rPr>
          <w:b/>
          <w:bCs/>
        </w:rPr>
      </w:pPr>
      <w:r w:rsidRPr="0050714C">
        <w:rPr>
          <w:b/>
          <w:bCs/>
          <w:lang w:val="fr-FR"/>
        </w:rPr>
        <w:t>ii)</w:t>
      </w:r>
      <w:r w:rsidRPr="0050714C">
        <w:rPr>
          <w:b/>
          <w:bCs/>
          <w:lang w:val="fr-FR"/>
        </w:rPr>
        <w:tab/>
        <w:t xml:space="preserve">Absence de forte pluie (les essuie-glace ne sont pas utilisés en permanence) ; et </w:t>
      </w:r>
    </w:p>
    <w:p w:rsidR="00C7682B" w:rsidRPr="0050714C" w:rsidRDefault="00C7682B" w:rsidP="00AD1481">
      <w:pPr>
        <w:pStyle w:val="SingleTxtG"/>
        <w:spacing w:after="100" w:line="236" w:lineRule="atLeast"/>
        <w:ind w:left="3402" w:hanging="567"/>
        <w:rPr>
          <w:b/>
          <w:bCs/>
        </w:rPr>
      </w:pPr>
      <w:r w:rsidRPr="0050714C">
        <w:rPr>
          <w:b/>
          <w:bCs/>
          <w:lang w:val="fr-FR"/>
        </w:rPr>
        <w:t>iii)</w:t>
      </w:r>
      <w:r w:rsidRPr="0050714C">
        <w:rPr>
          <w:b/>
          <w:bCs/>
          <w:lang w:val="fr-FR"/>
        </w:rPr>
        <w:tab/>
        <w:t>Température ambiante supérieure à [4] °C.</w:t>
      </w:r>
    </w:p>
    <w:bookmarkEnd w:id="1"/>
    <w:p w:rsidR="00C7682B" w:rsidRPr="00C95890" w:rsidRDefault="00C7682B" w:rsidP="00AD1481">
      <w:pPr>
        <w:pStyle w:val="SingleTxtG"/>
        <w:spacing w:after="100" w:line="236" w:lineRule="atLeast"/>
        <w:ind w:left="2835"/>
        <w:rPr>
          <w:b/>
          <w:bCs/>
        </w:rPr>
      </w:pPr>
      <w:r w:rsidRPr="005029B1">
        <w:rPr>
          <w:b/>
          <w:bCs/>
        </w:rPr>
        <w:t>[Les valeurs indiquées dans le tableau ci-dessus s’appliquent sans exception dans toutes les autres conditions.] ».</w:t>
      </w:r>
    </w:p>
    <w:p w:rsidR="00C7682B" w:rsidRPr="00C95890" w:rsidRDefault="00C7682B" w:rsidP="005029B1">
      <w:pPr>
        <w:pStyle w:val="SingleTxtG"/>
        <w:keepNext/>
        <w:spacing w:after="100"/>
        <w:rPr>
          <w:rFonts w:asciiTheme="majorBidi" w:hAnsiTheme="majorBidi" w:cstheme="majorBidi"/>
        </w:rPr>
      </w:pPr>
      <w:r>
        <w:rPr>
          <w:i/>
          <w:iCs/>
          <w:lang w:val="fr-FR"/>
        </w:rPr>
        <w:t>Paragraphe 5.6.2.3.1.1,</w:t>
      </w:r>
      <w:r>
        <w:rPr>
          <w:lang w:val="fr-FR"/>
        </w:rPr>
        <w:t xml:space="preserve"> lire :</w:t>
      </w:r>
    </w:p>
    <w:p w:rsidR="00C7682B" w:rsidRPr="00C95890" w:rsidRDefault="00C7682B" w:rsidP="00261954">
      <w:pPr>
        <w:pStyle w:val="SingleTxtG"/>
        <w:spacing w:after="100"/>
        <w:ind w:left="2268" w:hanging="1134"/>
      </w:pPr>
      <w:r w:rsidRPr="005561B1">
        <w:rPr>
          <w:lang w:val="fr-FR"/>
        </w:rPr>
        <w:t>« 5.6.2.3.1.1</w:t>
      </w:r>
      <w:r w:rsidRPr="005561B1">
        <w:rPr>
          <w:lang w:val="fr-FR"/>
        </w:rPr>
        <w:tab/>
      </w:r>
      <w:r>
        <w:rPr>
          <w:lang w:val="fr-FR"/>
        </w:rPr>
        <w:t xml:space="preserve">Les conditions dans lesquelles le système peut être activé et les limites de fonctionnement (conditions limites). Le constructeur du véhicule doit fournir les valeurs de </w:t>
      </w:r>
      <w:proofErr w:type="spellStart"/>
      <w:r>
        <w:rPr>
          <w:lang w:val="fr-FR"/>
        </w:rPr>
        <w:t>V</w:t>
      </w:r>
      <w:r>
        <w:rPr>
          <w:vertAlign w:val="subscript"/>
          <w:lang w:val="fr-FR"/>
        </w:rPr>
        <w:t>smax</w:t>
      </w:r>
      <w:proofErr w:type="spellEnd"/>
      <w:r>
        <w:rPr>
          <w:lang w:val="fr-FR"/>
        </w:rPr>
        <w:t xml:space="preserve">, </w:t>
      </w:r>
      <w:proofErr w:type="spellStart"/>
      <w:r>
        <w:rPr>
          <w:lang w:val="fr-FR"/>
        </w:rPr>
        <w:t>V</w:t>
      </w:r>
      <w:r>
        <w:rPr>
          <w:vertAlign w:val="subscript"/>
          <w:lang w:val="fr-FR"/>
        </w:rPr>
        <w:t>smin</w:t>
      </w:r>
      <w:proofErr w:type="spellEnd"/>
      <w:r>
        <w:rPr>
          <w:lang w:val="fr-FR"/>
        </w:rPr>
        <w:t xml:space="preserve"> et </w:t>
      </w:r>
      <w:proofErr w:type="spellStart"/>
      <w:r>
        <w:rPr>
          <w:lang w:val="fr-FR"/>
        </w:rPr>
        <w:t>ay</w:t>
      </w:r>
      <w:r>
        <w:rPr>
          <w:vertAlign w:val="subscript"/>
          <w:lang w:val="fr-FR"/>
        </w:rPr>
        <w:t>smax</w:t>
      </w:r>
      <w:proofErr w:type="spellEnd"/>
      <w:r>
        <w:rPr>
          <w:lang w:val="fr-FR"/>
        </w:rPr>
        <w:t xml:space="preserve"> pour chaque plage de vitesses mentionnée dans le tableau du paragraphe 5.6.2.1.3 du présent Règlement ; </w:t>
      </w:r>
      <w:r>
        <w:rPr>
          <w:b/>
          <w:bCs/>
          <w:lang w:val="fr-FR"/>
        </w:rPr>
        <w:t>s’il déclare une valeur d’</w:t>
      </w:r>
      <w:proofErr w:type="spellStart"/>
      <w:r>
        <w:rPr>
          <w:b/>
          <w:bCs/>
          <w:lang w:val="fr-FR"/>
        </w:rPr>
        <w:t>ay</w:t>
      </w:r>
      <w:r>
        <w:rPr>
          <w:b/>
          <w:bCs/>
          <w:vertAlign w:val="subscript"/>
          <w:lang w:val="fr-FR"/>
        </w:rPr>
        <w:t>smax</w:t>
      </w:r>
      <w:proofErr w:type="spellEnd"/>
      <w:r>
        <w:rPr>
          <w:b/>
          <w:bCs/>
          <w:lang w:val="fr-FR"/>
        </w:rPr>
        <w:t xml:space="preserve"> supérieure conformément à l’alinéa d) du paragraphe 5.6.2.1.3, le constructeur du véhicule doit spécifier comment l’intensité de la pluie et la température ambiante sont détectées.</w:t>
      </w:r>
      <w:r>
        <w:rPr>
          <w:lang w:val="fr-FR"/>
        </w:rPr>
        <w:t xml:space="preserve"> ». </w:t>
      </w:r>
    </w:p>
    <w:p w:rsidR="00C7682B" w:rsidRPr="00C95890" w:rsidRDefault="00C7682B" w:rsidP="00A70C41">
      <w:pPr>
        <w:pStyle w:val="HChG"/>
      </w:pPr>
      <w:r>
        <w:rPr>
          <w:lang w:val="fr-FR"/>
        </w:rPr>
        <w:tab/>
        <w:t>II.</w:t>
      </w:r>
      <w:r>
        <w:rPr>
          <w:lang w:val="fr-FR"/>
        </w:rPr>
        <w:tab/>
        <w:t>Justification</w:t>
      </w:r>
    </w:p>
    <w:p w:rsidR="00C7682B" w:rsidRPr="00C95890" w:rsidRDefault="00A70C41" w:rsidP="00A70C41">
      <w:pPr>
        <w:pStyle w:val="H1G"/>
        <w:rPr>
          <w:rFonts w:asciiTheme="majorBidi" w:hAnsiTheme="majorBidi" w:cstheme="majorBidi"/>
        </w:rPr>
      </w:pPr>
      <w:r>
        <w:rPr>
          <w:lang w:val="fr-FR"/>
        </w:rPr>
        <w:tab/>
      </w:r>
      <w:r w:rsidR="00C7682B">
        <w:rPr>
          <w:lang w:val="fr-FR"/>
        </w:rPr>
        <w:t>A.</w:t>
      </w:r>
      <w:r w:rsidR="00C7682B">
        <w:rPr>
          <w:lang w:val="fr-FR"/>
        </w:rPr>
        <w:tab/>
        <w:t>Paragraphe 5.6.2.1.3</w:t>
      </w:r>
    </w:p>
    <w:p w:rsidR="00C7682B" w:rsidRPr="00C95890" w:rsidRDefault="00C7682B" w:rsidP="00A70C41">
      <w:pPr>
        <w:pStyle w:val="SingleTxtG"/>
        <w:spacing w:after="100" w:line="238" w:lineRule="atLeast"/>
      </w:pPr>
      <w:r>
        <w:rPr>
          <w:lang w:val="fr-FR"/>
        </w:rPr>
        <w:t>1.</w:t>
      </w:r>
      <w:r>
        <w:rPr>
          <w:lang w:val="fr-FR"/>
        </w:rPr>
        <w:tab/>
        <w:t>Il est proposé, pour les véhicules de catégorie M</w:t>
      </w:r>
      <w:r>
        <w:rPr>
          <w:vertAlign w:val="subscript"/>
          <w:lang w:val="fr-FR"/>
        </w:rPr>
        <w:t>1</w:t>
      </w:r>
      <w:r>
        <w:rPr>
          <w:lang w:val="fr-FR"/>
        </w:rPr>
        <w:t>/[N</w:t>
      </w:r>
      <w:r>
        <w:rPr>
          <w:vertAlign w:val="subscript"/>
          <w:lang w:val="fr-FR"/>
        </w:rPr>
        <w:t>1</w:t>
      </w:r>
      <w:r>
        <w:rPr>
          <w:lang w:val="fr-FR"/>
        </w:rPr>
        <w:t xml:space="preserve">], de porter la valeur limite de l’accélération latérale maximale à 4 m/s² pour les plages de vitesse allant jusqu’à 80 km/h, à condition qu’il n’y ait pas de forte pluie et que la température ambiante soit supérieure à 4 °C. Une limite de 80 km/h ne suffit toujours pas à couvrir tous les cas dans lesquels un véhicule peut présenter une valeur d’accélération latérale supérieure à 3 m/s², au vu des données recueillies en conduite manuelle. Les systèmes de maintien dans la voie de catégorie B1 peuvent être utilisés sur des infrastructures routières hors autoroutes ou reliées à des autoroutes (échangeurs, sorties, routes interurbaines, etc.). Dans de nombreux cas, ces infrastructures peuvent entraîner, à la vitesse limite autorisée, des valeurs d’accélération latérale plus élevées, même en conduite manuelle. Les virages qui se resserrent progressivement ou qui débouchent sur un deuxième virage (virages en S) constituent des situations particulièrement difficiles à gérer. À la quatrième session du GRVA, l’AVERE avait soumis une proposition visant à porter la valeur maximale d’accélération latérale à 4 m/s² pour les plages de vitesse allant jusqu’à 100 km/h. En réponse aux réactions reçues à cette session, il est maintenant proposé d’établir la valeur limite à 4 m/s² pour les plages de vitesse allant jusqu’à 80 km/h. </w:t>
      </w:r>
    </w:p>
    <w:p w:rsidR="00C7682B" w:rsidRPr="00C95890" w:rsidRDefault="00C7682B" w:rsidP="00A70C41">
      <w:pPr>
        <w:pStyle w:val="SingleTxtG"/>
        <w:spacing w:after="100" w:line="238" w:lineRule="atLeast"/>
      </w:pPr>
      <w:r>
        <w:rPr>
          <w:lang w:val="fr-FR"/>
        </w:rPr>
        <w:t>2.</w:t>
      </w:r>
      <w:r>
        <w:rPr>
          <w:lang w:val="fr-FR"/>
        </w:rPr>
        <w:tab/>
        <w:t>Une analyse des données de conduite manuelle de 16 500 véhicules en circulation dans le monde entier, évaluées sur une période de 28 jours répartis sur quatre mois, montre que les valeurs d’accélération latérale dépassent 3 m/s² dans 3,5 % des virages. Dans la grande majorité des cas, l’accélération latérale dépasse 3 m/s² à des vitesses inférieures à 100 km/h, comme le montre le graphique de distribution ci-dessous (fig</w:t>
      </w:r>
      <w:r w:rsidR="000C56F2">
        <w:rPr>
          <w:lang w:val="fr-FR"/>
        </w:rPr>
        <w:t>.</w:t>
      </w:r>
      <w:r>
        <w:rPr>
          <w:lang w:val="fr-FR"/>
        </w:rPr>
        <w:t> 1). En Europe, une analyse semblable menée sur 1 250 véhicules Model 3 montre que les valeurs d’accélération latérale sont supérieures à 3 m/s² dans 4,8 % des virages et que, là encore, la grande majorité des cas se produisent à des vitesses allant jusqu’à 100 km/h (fig</w:t>
      </w:r>
      <w:r w:rsidR="000C56F2">
        <w:rPr>
          <w:lang w:val="fr-FR"/>
        </w:rPr>
        <w:t>.</w:t>
      </w:r>
      <w:r>
        <w:rPr>
          <w:lang w:val="fr-FR"/>
        </w:rPr>
        <w:t xml:space="preserve"> 2). </w:t>
      </w:r>
    </w:p>
    <w:p w:rsidR="00C7682B" w:rsidRPr="00C95890" w:rsidRDefault="00C7682B" w:rsidP="00A70C41">
      <w:pPr>
        <w:pStyle w:val="SingleTxtG"/>
        <w:spacing w:after="100" w:line="238" w:lineRule="atLeast"/>
      </w:pPr>
      <w:r>
        <w:rPr>
          <w:lang w:val="fr-FR"/>
        </w:rPr>
        <w:t>3.</w:t>
      </w:r>
      <w:r>
        <w:rPr>
          <w:lang w:val="fr-FR"/>
        </w:rPr>
        <w:tab/>
        <w:t>Toutefois, ces faibles pourcentages sont trompeurs et peuvent induire en erreur quant à la fréquence à laquelle les clients rencontrent des virages dans lesquels l’accélération latérale dépasse la valeur limite. Si l’on évalue la fréquence à laquelle un conducteur rencontre des valeurs d’accélération latérale supérieures à 3 m/s² par trajet, une analyse portant sur un ensemble de 16 500 véhicules dans le monde entier indique que cette limite est dépassée au moins une fois dans 76,1 % des trajets effectués. On entend par trajet le déplacement effectué entre le moment où un véhicule quitte un stationnement et celui où il se gare à nouveau. Une analyse semblable portant sur 1 250 véhicules Model 3 en Europe révèle que la limite d’accélération latérale de 3 m/s² est dépassée au moins une fois dans 80,7 % des trajets (fig</w:t>
      </w:r>
      <w:r w:rsidR="00261954">
        <w:rPr>
          <w:lang w:val="fr-FR"/>
        </w:rPr>
        <w:t>.</w:t>
      </w:r>
      <w:r>
        <w:rPr>
          <w:lang w:val="fr-FR"/>
        </w:rPr>
        <w:t xml:space="preserve"> 3). On peut en déduire qu’un conducteur peut rencontrer tous les jours un virage dans lequel le comportement de la fonction d’aide au maintien dans la voie sera limité. </w:t>
      </w:r>
    </w:p>
    <w:p w:rsidR="00C7682B" w:rsidRPr="00C95890" w:rsidRDefault="00C7682B" w:rsidP="00A70C41">
      <w:pPr>
        <w:pStyle w:val="SingleTxtG"/>
        <w:spacing w:after="100" w:line="238" w:lineRule="atLeast"/>
      </w:pPr>
      <w:r>
        <w:rPr>
          <w:lang w:val="fr-FR"/>
        </w:rPr>
        <w:t>4.</w:t>
      </w:r>
      <w:r>
        <w:rPr>
          <w:lang w:val="fr-FR"/>
        </w:rPr>
        <w:tab/>
        <w:t xml:space="preserve">Il convient de souligner que la valeur limite d’accélération latérale, rehaussée à 4 m/s², est une valeur maximale admissible, et non une valeur cible. Un constructeur n’est pas censé concevoir le système de manière à atteindre systématiquement la valeur de 4 m/s², car ce ne serait pas une expérience souhaitable pour le conducteur. Le but de l’augmentation de la valeur limite est de permettre aux systèmes de catégorie B1 de faire face aux « pointes » d’accélération latérale que l’on peut rencontrer dans les situations décrites plus haut et, donc, de réussir dans ces cas à maintenir la position du véhicule, de préférence au milieu de la voie. </w:t>
      </w:r>
    </w:p>
    <w:p w:rsidR="00C7682B" w:rsidRPr="00C95890" w:rsidRDefault="00C7682B" w:rsidP="00A70C41">
      <w:pPr>
        <w:pStyle w:val="SingleTxtG"/>
        <w:spacing w:after="100" w:line="238" w:lineRule="atLeast"/>
      </w:pPr>
      <w:r>
        <w:rPr>
          <w:lang w:val="fr-FR"/>
        </w:rPr>
        <w:t>5.</w:t>
      </w:r>
      <w:r>
        <w:rPr>
          <w:lang w:val="fr-FR"/>
        </w:rPr>
        <w:tab/>
        <w:t xml:space="preserve">Il est très peu probable que, dans la conception du système, la valeur maximale de l’accélération latérale passe directement de 4 m/s² à 3 m/s² à la vitesse limite de 80 km/h, car cela entraînerait un comportement illogique du système lorsque le véhicule atteint ce seuil de vitesse. Les constructeurs prévoiront donc, afin de se conformer à la réglementation, que cette valeur diminue progressivement de 4 m/s² à 3 m/s² jusqu’à ce que la vitesse atteigne le seuil de 80 km/h. Si la vitesse maximale du véhicule est limitée à 60 km/h, le constructeur devra prévoir une diminution progressive de façon à ce que la valeur maximale de l’accélération latérale soit fixée à 3 m/s² à cette vitesse, </w:t>
      </w:r>
      <w:bookmarkStart w:id="2" w:name="_Hlk26520452"/>
      <w:r>
        <w:rPr>
          <w:lang w:val="fr-FR"/>
        </w:rPr>
        <w:t>afin que la valeur limite de fonctionnement du système ne soit pas supérieure aux prescriptions</w:t>
      </w:r>
      <w:bookmarkEnd w:id="2"/>
      <w:r>
        <w:rPr>
          <w:lang w:val="fr-FR"/>
        </w:rPr>
        <w:t>.</w:t>
      </w:r>
    </w:p>
    <w:p w:rsidR="00C7682B" w:rsidRDefault="00C7682B" w:rsidP="006115A9">
      <w:pPr>
        <w:pStyle w:val="Titre1"/>
        <w:spacing w:after="120"/>
        <w:ind w:left="0"/>
        <w:rPr>
          <w:b/>
          <w:bCs/>
          <w:lang w:val="fr-FR"/>
        </w:rPr>
      </w:pPr>
      <w:r>
        <w:rPr>
          <w:lang w:val="fr-FR"/>
        </w:rPr>
        <w:lastRenderedPageBreak/>
        <w:t>Figure 1</w:t>
      </w:r>
      <w:r>
        <w:rPr>
          <w:lang w:val="fr-FR"/>
        </w:rPr>
        <w:br/>
      </w:r>
      <w:r w:rsidRPr="00AC491E">
        <w:rPr>
          <w:b/>
          <w:bCs/>
          <w:lang w:val="fr-FR"/>
        </w:rPr>
        <w:t xml:space="preserve">Analyse de l’occurrence de l’accélération latérale maximale et de la distribution connexe de la vitesse </w:t>
      </w:r>
      <w:r w:rsidR="00A40533">
        <w:rPr>
          <w:b/>
          <w:bCs/>
          <w:lang w:val="fr-FR"/>
        </w:rPr>
        <w:br/>
      </w:r>
      <w:r w:rsidRPr="00AC491E">
        <w:rPr>
          <w:b/>
          <w:bCs/>
          <w:lang w:val="fr-FR"/>
        </w:rPr>
        <w:t>du véhicule, d’après les données de 16 500 véhicules de marque Tesla en circulation dans le monde entier</w:t>
      </w:r>
    </w:p>
    <w:p w:rsidR="00836A4D" w:rsidRDefault="00916B0C" w:rsidP="00A40533">
      <w:pPr>
        <w:pStyle w:val="SingleTxtG"/>
        <w:spacing w:after="0"/>
        <w:ind w:left="0" w:right="0"/>
        <w:rPr>
          <w:lang w:val="fr-FR"/>
        </w:rPr>
      </w:pPr>
      <w:r>
        <w:rPr>
          <w:noProof/>
        </w:rPr>
        <w:drawing>
          <wp:inline distT="0" distB="0" distL="0" distR="0" wp14:anchorId="7AD7A588" wp14:editId="7B7159E1">
            <wp:extent cx="6120000" cy="300240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000" cy="3002400"/>
                    </a:xfrm>
                    <a:prstGeom prst="rect">
                      <a:avLst/>
                    </a:prstGeom>
                  </pic:spPr>
                </pic:pic>
              </a:graphicData>
            </a:graphic>
          </wp:inline>
        </w:drawing>
      </w:r>
    </w:p>
    <w:p w:rsidR="007A189B" w:rsidRPr="006115A9" w:rsidRDefault="007A189B" w:rsidP="00456F77">
      <w:pPr>
        <w:spacing w:line="220" w:lineRule="atLeast"/>
        <w:ind w:firstLine="170"/>
        <w:rPr>
          <w:sz w:val="18"/>
          <w:szCs w:val="18"/>
        </w:rPr>
      </w:pPr>
      <w:r w:rsidRPr="006115A9">
        <w:rPr>
          <w:sz w:val="18"/>
          <w:szCs w:val="18"/>
        </w:rPr>
        <w:t>* Les données ont été recueillies sur 16 500 véhicules de la marque Tesla sur une période de 28 jours répartis entre janvier et avril</w:t>
      </w:r>
      <w:r w:rsidR="006115A9">
        <w:rPr>
          <w:sz w:val="18"/>
          <w:szCs w:val="18"/>
        </w:rPr>
        <w:t> </w:t>
      </w:r>
      <w:r w:rsidRPr="006115A9">
        <w:rPr>
          <w:sz w:val="18"/>
          <w:szCs w:val="18"/>
        </w:rPr>
        <w:t>2019.</w:t>
      </w:r>
    </w:p>
    <w:p w:rsidR="007A189B" w:rsidRPr="006115A9" w:rsidRDefault="007A189B" w:rsidP="00456F77">
      <w:pPr>
        <w:spacing w:line="220" w:lineRule="atLeast"/>
        <w:ind w:firstLine="170"/>
        <w:rPr>
          <w:sz w:val="18"/>
          <w:szCs w:val="18"/>
        </w:rPr>
      </w:pPr>
      <w:r w:rsidRPr="006115A9">
        <w:rPr>
          <w:sz w:val="18"/>
          <w:szCs w:val="18"/>
        </w:rPr>
        <w:t>Chaque «</w:t>
      </w:r>
      <w:r w:rsidR="000B09E8">
        <w:rPr>
          <w:sz w:val="18"/>
          <w:szCs w:val="18"/>
        </w:rPr>
        <w:t> </w:t>
      </w:r>
      <w:r w:rsidRPr="006115A9">
        <w:rPr>
          <w:sz w:val="18"/>
          <w:szCs w:val="18"/>
        </w:rPr>
        <w:t>virage</w:t>
      </w:r>
      <w:r w:rsidR="000B09E8">
        <w:rPr>
          <w:sz w:val="18"/>
          <w:szCs w:val="18"/>
        </w:rPr>
        <w:t> </w:t>
      </w:r>
      <w:r w:rsidRPr="006115A9">
        <w:rPr>
          <w:sz w:val="18"/>
          <w:szCs w:val="18"/>
        </w:rPr>
        <w:t>» dont il est question ci-dessus débute lorsque le couple de la barre de torsion du volant dépasse 2</w:t>
      </w:r>
      <w:r w:rsidR="000C11CA">
        <w:rPr>
          <w:sz w:val="18"/>
          <w:szCs w:val="18"/>
        </w:rPr>
        <w:t> </w:t>
      </w:r>
      <w:r w:rsidR="0043258D">
        <w:rPr>
          <w:sz w:val="18"/>
          <w:szCs w:val="18"/>
        </w:rPr>
        <w:t>N</w:t>
      </w:r>
      <w:r w:rsidRPr="006115A9">
        <w:rPr>
          <w:sz w:val="18"/>
          <w:szCs w:val="18"/>
        </w:rPr>
        <w:t xml:space="preserve">m et se termine lorsque le couple repasse en dessous de </w:t>
      </w:r>
      <w:r w:rsidR="000C11CA" w:rsidRPr="006115A9">
        <w:rPr>
          <w:sz w:val="18"/>
          <w:szCs w:val="18"/>
        </w:rPr>
        <w:t>2</w:t>
      </w:r>
      <w:r w:rsidR="000C11CA">
        <w:rPr>
          <w:sz w:val="18"/>
          <w:szCs w:val="18"/>
        </w:rPr>
        <w:t> </w:t>
      </w:r>
      <w:r w:rsidR="000C11CA" w:rsidRPr="006115A9">
        <w:rPr>
          <w:sz w:val="18"/>
          <w:szCs w:val="18"/>
        </w:rPr>
        <w:t xml:space="preserve">Nm </w:t>
      </w:r>
      <w:r w:rsidRPr="006115A9">
        <w:rPr>
          <w:sz w:val="18"/>
          <w:szCs w:val="18"/>
        </w:rPr>
        <w:t>(22 millions de virages).</w:t>
      </w:r>
    </w:p>
    <w:p w:rsidR="007A189B" w:rsidRPr="006115A9" w:rsidRDefault="007A189B" w:rsidP="00456F77">
      <w:pPr>
        <w:spacing w:after="240" w:line="220" w:lineRule="atLeast"/>
        <w:ind w:firstLine="170"/>
        <w:rPr>
          <w:sz w:val="18"/>
          <w:szCs w:val="18"/>
        </w:rPr>
      </w:pPr>
      <w:r w:rsidRPr="006115A9">
        <w:rPr>
          <w:sz w:val="18"/>
          <w:szCs w:val="18"/>
        </w:rPr>
        <w:t>Les données ont été filtrées de façon à sélectionner uniquement les zones où le pilotage automatique était disponible (pour essayer de limiter les données aux zones où les lignes de délimitation des voies étaient présentes et visibles) et les moments où la vitesse du véhicule était supérieure à 10 km/h.</w:t>
      </w:r>
    </w:p>
    <w:p w:rsidR="00C7682B" w:rsidRDefault="00C7682B" w:rsidP="009312DF">
      <w:pPr>
        <w:pStyle w:val="Titre1"/>
        <w:spacing w:after="120"/>
        <w:ind w:left="0"/>
        <w:rPr>
          <w:b/>
          <w:bCs/>
          <w:lang w:val="fr-FR"/>
        </w:rPr>
      </w:pPr>
      <w:r>
        <w:rPr>
          <w:lang w:val="fr-FR"/>
        </w:rPr>
        <w:t>Figure 2</w:t>
      </w:r>
      <w:r>
        <w:rPr>
          <w:lang w:val="fr-FR"/>
        </w:rPr>
        <w:br/>
      </w:r>
      <w:r w:rsidRPr="00020446">
        <w:rPr>
          <w:rFonts w:ascii="Times New Roman Gras" w:hAnsi="Times New Roman Gras"/>
          <w:b/>
          <w:bCs/>
          <w:spacing w:val="-2"/>
          <w:lang w:val="fr-FR"/>
        </w:rPr>
        <w:t>Analyse de l’occurrence de l’accélération latérale maximale et de la distribution connexe de la vitesse du véhicule,</w:t>
      </w:r>
      <w:r w:rsidRPr="009312DF">
        <w:rPr>
          <w:b/>
          <w:bCs/>
          <w:lang w:val="fr-FR"/>
        </w:rPr>
        <w:t xml:space="preserve"> d’après les données d’un ensemble de 1 250 véhicules Model 3 en circulation dans l’Union européenne</w:t>
      </w:r>
    </w:p>
    <w:p w:rsidR="009312DF" w:rsidRDefault="00BD7E8F" w:rsidP="009312DF">
      <w:pPr>
        <w:pStyle w:val="SingleTxtG"/>
        <w:ind w:left="0" w:right="0"/>
        <w:rPr>
          <w:lang w:val="fr-FR"/>
        </w:rPr>
      </w:pPr>
      <w:r>
        <w:rPr>
          <w:noProof/>
        </w:rPr>
        <w:drawing>
          <wp:inline distT="0" distB="0" distL="0" distR="0" wp14:anchorId="7EA3A1A7" wp14:editId="4F2A6DAB">
            <wp:extent cx="6120130" cy="29972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997200"/>
                    </a:xfrm>
                    <a:prstGeom prst="rect">
                      <a:avLst/>
                    </a:prstGeom>
                  </pic:spPr>
                </pic:pic>
              </a:graphicData>
            </a:graphic>
          </wp:inline>
        </w:drawing>
      </w:r>
    </w:p>
    <w:p w:rsidR="00BD7E8F" w:rsidRPr="00BD7E8F" w:rsidRDefault="00BD7E8F" w:rsidP="00456F77">
      <w:pPr>
        <w:pStyle w:val="SingleTxtG"/>
        <w:spacing w:after="0" w:line="220" w:lineRule="atLeast"/>
        <w:ind w:left="0" w:right="0" w:firstLine="170"/>
        <w:jc w:val="left"/>
        <w:rPr>
          <w:sz w:val="18"/>
          <w:szCs w:val="18"/>
        </w:rPr>
      </w:pPr>
      <w:r w:rsidRPr="00BD7E8F">
        <w:rPr>
          <w:sz w:val="18"/>
          <w:szCs w:val="18"/>
          <w:lang w:val="fr-FR"/>
        </w:rPr>
        <w:t>* Les données ont été recueillies sur 1 250 véhicules Model 3 de la marque Tesla sur une période de 28 jours répartis entre janvier et avril 2019.</w:t>
      </w:r>
    </w:p>
    <w:p w:rsidR="00BD7E8F" w:rsidRPr="00BD7E8F" w:rsidRDefault="00BD7E8F" w:rsidP="00456F77">
      <w:pPr>
        <w:pStyle w:val="SingleTxtG"/>
        <w:spacing w:after="0" w:line="220" w:lineRule="atLeast"/>
        <w:ind w:left="0" w:right="0" w:firstLine="170"/>
        <w:jc w:val="left"/>
        <w:rPr>
          <w:sz w:val="18"/>
          <w:szCs w:val="18"/>
        </w:rPr>
      </w:pPr>
      <w:r w:rsidRPr="00BD7E8F">
        <w:rPr>
          <w:sz w:val="18"/>
          <w:szCs w:val="18"/>
          <w:lang w:val="fr-FR"/>
        </w:rPr>
        <w:t xml:space="preserve">Chaque « virage » dont il est question ci-dessus débute lorsque le couple de la barre de torsion du volant dépasse </w:t>
      </w:r>
      <w:r w:rsidR="000C11CA" w:rsidRPr="006115A9">
        <w:rPr>
          <w:sz w:val="18"/>
          <w:szCs w:val="18"/>
        </w:rPr>
        <w:t>2</w:t>
      </w:r>
      <w:r w:rsidR="000C11CA">
        <w:rPr>
          <w:sz w:val="18"/>
          <w:szCs w:val="18"/>
        </w:rPr>
        <w:t> </w:t>
      </w:r>
      <w:r w:rsidR="000C11CA" w:rsidRPr="006115A9">
        <w:rPr>
          <w:sz w:val="18"/>
          <w:szCs w:val="18"/>
        </w:rPr>
        <w:t xml:space="preserve">Nm </w:t>
      </w:r>
      <w:r w:rsidRPr="00BD7E8F">
        <w:rPr>
          <w:sz w:val="18"/>
          <w:szCs w:val="18"/>
          <w:lang w:val="fr-FR"/>
        </w:rPr>
        <w:t xml:space="preserve">et se termine lorsque le couple repasse en dessous de </w:t>
      </w:r>
      <w:r w:rsidR="000C11CA" w:rsidRPr="006115A9">
        <w:rPr>
          <w:sz w:val="18"/>
          <w:szCs w:val="18"/>
        </w:rPr>
        <w:t>2</w:t>
      </w:r>
      <w:r w:rsidR="000C11CA">
        <w:rPr>
          <w:sz w:val="18"/>
          <w:szCs w:val="18"/>
        </w:rPr>
        <w:t> </w:t>
      </w:r>
      <w:r w:rsidR="000C11CA" w:rsidRPr="006115A9">
        <w:rPr>
          <w:sz w:val="18"/>
          <w:szCs w:val="18"/>
        </w:rPr>
        <w:t xml:space="preserve">Nm </w:t>
      </w:r>
      <w:r w:rsidRPr="00BD7E8F">
        <w:rPr>
          <w:sz w:val="18"/>
          <w:szCs w:val="18"/>
          <w:lang w:val="fr-FR"/>
        </w:rPr>
        <w:t>(1,1 million de virages).</w:t>
      </w:r>
    </w:p>
    <w:p w:rsidR="00BD7E8F" w:rsidRPr="00BD7E8F" w:rsidRDefault="00BD7E8F" w:rsidP="00456F77">
      <w:pPr>
        <w:pStyle w:val="SingleTxtG"/>
        <w:spacing w:line="220" w:lineRule="atLeast"/>
        <w:ind w:left="0" w:right="0" w:firstLine="170"/>
        <w:jc w:val="left"/>
        <w:rPr>
          <w:sz w:val="18"/>
          <w:szCs w:val="18"/>
        </w:rPr>
      </w:pPr>
      <w:r w:rsidRPr="00BD7E8F">
        <w:rPr>
          <w:sz w:val="18"/>
          <w:szCs w:val="18"/>
          <w:lang w:val="fr-FR"/>
        </w:rPr>
        <w:lastRenderedPageBreak/>
        <w:t>Les données ont été filtrées de façon à sélectionner uniquement les zones où le pilotage automatique était disponible (pour essayer de limiter les données aux zones où les lignes de délimitation des voies étaient présentes et visibles) et les moments où la vitesse du véhicule était supérieure à 10 km/h.</w:t>
      </w:r>
    </w:p>
    <w:p w:rsidR="00C7682B" w:rsidRDefault="00C7682B" w:rsidP="0057591D">
      <w:pPr>
        <w:pStyle w:val="Titre1"/>
        <w:spacing w:after="120"/>
        <w:ind w:left="0"/>
        <w:rPr>
          <w:b/>
          <w:bCs/>
          <w:lang w:val="fr-FR"/>
        </w:rPr>
      </w:pPr>
      <w:r>
        <w:rPr>
          <w:lang w:val="fr-FR"/>
        </w:rPr>
        <w:t>Figure 3</w:t>
      </w:r>
      <w:r>
        <w:rPr>
          <w:lang w:val="fr-FR"/>
        </w:rPr>
        <w:br/>
      </w:r>
      <w:r w:rsidRPr="0057591D">
        <w:rPr>
          <w:b/>
          <w:bCs/>
          <w:lang w:val="fr-FR"/>
        </w:rPr>
        <w:t xml:space="preserve">Analyse de l’accélération latérale maximale subie dans les virages par trajet, d’après les données </w:t>
      </w:r>
      <w:r w:rsidR="0039028E">
        <w:rPr>
          <w:b/>
          <w:bCs/>
          <w:lang w:val="fr-FR"/>
        </w:rPr>
        <w:br/>
      </w:r>
      <w:r w:rsidRPr="0057591D">
        <w:rPr>
          <w:b/>
          <w:bCs/>
          <w:lang w:val="fr-FR"/>
        </w:rPr>
        <w:t xml:space="preserve">de 16 500 véhicules de marque Tesla en circulation dans le monde entier (à gauche) </w:t>
      </w:r>
      <w:r w:rsidR="0039028E">
        <w:rPr>
          <w:b/>
          <w:bCs/>
          <w:lang w:val="fr-FR"/>
        </w:rPr>
        <w:br/>
      </w:r>
      <w:r w:rsidRPr="0057591D">
        <w:rPr>
          <w:b/>
          <w:bCs/>
          <w:lang w:val="fr-FR"/>
        </w:rPr>
        <w:t>et de 1 250 véhicules Model 3 en circulation dans l’Union européenne (à droite)</w:t>
      </w:r>
      <w:bookmarkStart w:id="3" w:name="_GoBack"/>
      <w:bookmarkEnd w:id="3"/>
    </w:p>
    <w:p w:rsidR="0039028E" w:rsidRDefault="0039028E" w:rsidP="0039028E">
      <w:pPr>
        <w:pStyle w:val="SingleTxtG"/>
        <w:ind w:left="0" w:right="0"/>
        <w:rPr>
          <w:lang w:val="fr-FR"/>
        </w:rPr>
      </w:pPr>
      <w:r>
        <w:rPr>
          <w:noProof/>
        </w:rPr>
        <w:drawing>
          <wp:inline distT="0" distB="0" distL="0" distR="0" wp14:anchorId="60BC19FC" wp14:editId="0488563B">
            <wp:extent cx="6120130" cy="2812415"/>
            <wp:effectExtent l="0" t="0" r="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812415"/>
                    </a:xfrm>
                    <a:prstGeom prst="rect">
                      <a:avLst/>
                    </a:prstGeom>
                  </pic:spPr>
                </pic:pic>
              </a:graphicData>
            </a:graphic>
          </wp:inline>
        </w:drawing>
      </w: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308"/>
        <w:gridCol w:w="4669"/>
      </w:tblGrid>
      <w:tr w:rsidR="00456F77" w:rsidTr="00456F77">
        <w:tc>
          <w:tcPr>
            <w:tcW w:w="4662" w:type="dxa"/>
          </w:tcPr>
          <w:p w:rsidR="00456F77" w:rsidRPr="00C21092" w:rsidRDefault="00456F77" w:rsidP="00456F77">
            <w:pPr>
              <w:pStyle w:val="SingleTxtG"/>
              <w:spacing w:after="0" w:line="220" w:lineRule="atLeast"/>
              <w:ind w:left="0" w:right="0" w:firstLine="170"/>
              <w:jc w:val="left"/>
              <w:rPr>
                <w:sz w:val="18"/>
                <w:szCs w:val="18"/>
              </w:rPr>
            </w:pPr>
            <w:r w:rsidRPr="00C21092">
              <w:rPr>
                <w:sz w:val="18"/>
                <w:szCs w:val="18"/>
                <w:lang w:val="fr-FR"/>
              </w:rPr>
              <w:t>* Les données ont été recueillies sur 16</w:t>
            </w:r>
            <w:r>
              <w:rPr>
                <w:sz w:val="18"/>
                <w:szCs w:val="18"/>
                <w:lang w:val="fr-FR"/>
              </w:rPr>
              <w:t> </w:t>
            </w:r>
            <w:r w:rsidRPr="00C21092">
              <w:rPr>
                <w:sz w:val="18"/>
                <w:szCs w:val="18"/>
                <w:lang w:val="fr-FR"/>
              </w:rPr>
              <w:t>500</w:t>
            </w:r>
            <w:r>
              <w:rPr>
                <w:sz w:val="18"/>
                <w:szCs w:val="18"/>
                <w:lang w:val="fr-FR"/>
              </w:rPr>
              <w:t> </w:t>
            </w:r>
            <w:r w:rsidRPr="00C21092">
              <w:rPr>
                <w:sz w:val="18"/>
                <w:szCs w:val="18"/>
                <w:lang w:val="fr-FR"/>
              </w:rPr>
              <w:t>véhicules de la marque Tesla sur une période de 28 jours répartis entre janvier et avril 2019.</w:t>
            </w:r>
          </w:p>
          <w:p w:rsidR="00456F77" w:rsidRPr="00C21092" w:rsidRDefault="00456F77" w:rsidP="00456F77">
            <w:pPr>
              <w:pStyle w:val="SingleTxtG"/>
              <w:spacing w:after="0" w:line="220" w:lineRule="atLeast"/>
              <w:ind w:left="0" w:right="0" w:firstLine="170"/>
              <w:jc w:val="left"/>
              <w:rPr>
                <w:sz w:val="18"/>
                <w:szCs w:val="18"/>
              </w:rPr>
            </w:pPr>
            <w:r w:rsidRPr="00C21092">
              <w:rPr>
                <w:sz w:val="18"/>
                <w:szCs w:val="18"/>
                <w:lang w:val="fr-FR"/>
              </w:rPr>
              <w:t>Chaque «</w:t>
            </w:r>
            <w:r w:rsidR="00413E10">
              <w:rPr>
                <w:sz w:val="18"/>
                <w:szCs w:val="18"/>
                <w:lang w:val="fr-FR"/>
              </w:rPr>
              <w:t> </w:t>
            </w:r>
            <w:r w:rsidRPr="00C21092">
              <w:rPr>
                <w:sz w:val="18"/>
                <w:szCs w:val="18"/>
                <w:lang w:val="fr-FR"/>
              </w:rPr>
              <w:t>trajet</w:t>
            </w:r>
            <w:r w:rsidR="00413E10">
              <w:rPr>
                <w:sz w:val="18"/>
                <w:szCs w:val="18"/>
                <w:lang w:val="fr-FR"/>
              </w:rPr>
              <w:t> </w:t>
            </w:r>
            <w:r w:rsidRPr="00C21092">
              <w:rPr>
                <w:sz w:val="18"/>
                <w:szCs w:val="18"/>
                <w:lang w:val="fr-FR"/>
              </w:rPr>
              <w:t>» dont il est question ci-dessus débute lorsque le véhicule quitte un stationnement et se termine lorsque le véhicule se gare de nouveau (1,2</w:t>
            </w:r>
            <w:r w:rsidR="00413E10">
              <w:rPr>
                <w:sz w:val="18"/>
                <w:szCs w:val="18"/>
                <w:lang w:val="fr-FR"/>
              </w:rPr>
              <w:t> </w:t>
            </w:r>
            <w:r w:rsidRPr="00C21092">
              <w:rPr>
                <w:sz w:val="18"/>
                <w:szCs w:val="18"/>
                <w:lang w:val="fr-FR"/>
              </w:rPr>
              <w:t>million de trajets).</w:t>
            </w:r>
          </w:p>
          <w:p w:rsidR="00456F77" w:rsidRPr="00456F77" w:rsidRDefault="00456F77" w:rsidP="00456F77">
            <w:pPr>
              <w:pStyle w:val="SingleTxtG"/>
              <w:spacing w:after="0" w:line="220" w:lineRule="atLeast"/>
              <w:ind w:left="0" w:right="0" w:firstLine="170"/>
              <w:jc w:val="left"/>
              <w:rPr>
                <w:sz w:val="18"/>
                <w:szCs w:val="18"/>
              </w:rPr>
            </w:pPr>
            <w:r w:rsidRPr="00C21092">
              <w:rPr>
                <w:sz w:val="18"/>
                <w:szCs w:val="18"/>
                <w:lang w:val="fr-FR"/>
              </w:rPr>
              <w:t>Les données ont été filtrées de façon à sélectionner uniquement les zones où le pilotage automatique était disponible (pour essayer de limiter les données aux zones où les lignes de délimitation des voies étaient présentes et visibles) et les moments où la vitesse du véhicule était supérieure à 10</w:t>
            </w:r>
            <w:r w:rsidR="00413E10">
              <w:rPr>
                <w:sz w:val="18"/>
                <w:szCs w:val="18"/>
                <w:lang w:val="fr-FR"/>
              </w:rPr>
              <w:t> </w:t>
            </w:r>
            <w:r w:rsidRPr="00C21092">
              <w:rPr>
                <w:sz w:val="18"/>
                <w:szCs w:val="18"/>
                <w:lang w:val="fr-FR"/>
              </w:rPr>
              <w:t>km/h.</w:t>
            </w:r>
          </w:p>
        </w:tc>
        <w:tc>
          <w:tcPr>
            <w:tcW w:w="308" w:type="dxa"/>
          </w:tcPr>
          <w:p w:rsidR="00456F77" w:rsidRDefault="00456F77" w:rsidP="00456F77">
            <w:pPr>
              <w:pStyle w:val="SingleTxtG"/>
              <w:spacing w:line="220" w:lineRule="atLeast"/>
              <w:ind w:left="0" w:right="0"/>
              <w:rPr>
                <w:lang w:val="fr-FR"/>
              </w:rPr>
            </w:pPr>
          </w:p>
        </w:tc>
        <w:tc>
          <w:tcPr>
            <w:tcW w:w="4669" w:type="dxa"/>
          </w:tcPr>
          <w:p w:rsidR="00456F77" w:rsidRPr="00456F77" w:rsidRDefault="00456F77" w:rsidP="00456F77">
            <w:pPr>
              <w:pStyle w:val="SingleTxtG"/>
              <w:spacing w:after="0" w:line="220" w:lineRule="atLeast"/>
              <w:ind w:left="0" w:right="0" w:firstLine="170"/>
              <w:jc w:val="left"/>
              <w:rPr>
                <w:sz w:val="18"/>
                <w:szCs w:val="18"/>
              </w:rPr>
            </w:pPr>
            <w:r w:rsidRPr="00456F77">
              <w:rPr>
                <w:sz w:val="18"/>
                <w:szCs w:val="18"/>
              </w:rPr>
              <w:t>* Les données ont été recueillies sur 1</w:t>
            </w:r>
            <w:r w:rsidR="00413E10">
              <w:rPr>
                <w:sz w:val="18"/>
                <w:szCs w:val="18"/>
              </w:rPr>
              <w:t> </w:t>
            </w:r>
            <w:r w:rsidRPr="00456F77">
              <w:rPr>
                <w:sz w:val="18"/>
                <w:szCs w:val="18"/>
              </w:rPr>
              <w:t>250</w:t>
            </w:r>
            <w:r w:rsidR="00413E10">
              <w:rPr>
                <w:sz w:val="18"/>
                <w:szCs w:val="18"/>
              </w:rPr>
              <w:t> </w:t>
            </w:r>
            <w:r w:rsidRPr="00456F77">
              <w:rPr>
                <w:sz w:val="18"/>
                <w:szCs w:val="18"/>
              </w:rPr>
              <w:t>véhicules Model</w:t>
            </w:r>
            <w:r w:rsidR="00413E10">
              <w:rPr>
                <w:sz w:val="18"/>
                <w:szCs w:val="18"/>
              </w:rPr>
              <w:t> </w:t>
            </w:r>
            <w:r w:rsidRPr="00456F77">
              <w:rPr>
                <w:sz w:val="18"/>
                <w:szCs w:val="18"/>
              </w:rPr>
              <w:t>3 de la marque Tesla sur une période de 28 jours répartis entre janvier et avril 2019.</w:t>
            </w:r>
          </w:p>
          <w:p w:rsidR="00456F77" w:rsidRPr="00456F77" w:rsidRDefault="00456F77" w:rsidP="00456F77">
            <w:pPr>
              <w:pStyle w:val="SingleTxtG"/>
              <w:spacing w:after="0" w:line="220" w:lineRule="atLeast"/>
              <w:ind w:left="0" w:right="0" w:firstLine="170"/>
              <w:jc w:val="left"/>
              <w:rPr>
                <w:sz w:val="18"/>
                <w:szCs w:val="18"/>
              </w:rPr>
            </w:pPr>
            <w:r w:rsidRPr="00456F77">
              <w:rPr>
                <w:sz w:val="18"/>
                <w:szCs w:val="18"/>
              </w:rPr>
              <w:t>Chaque «</w:t>
            </w:r>
            <w:r w:rsidR="00413E10">
              <w:rPr>
                <w:sz w:val="18"/>
                <w:szCs w:val="18"/>
              </w:rPr>
              <w:t> </w:t>
            </w:r>
            <w:r w:rsidRPr="00456F77">
              <w:rPr>
                <w:sz w:val="18"/>
                <w:szCs w:val="18"/>
              </w:rPr>
              <w:t>trajet</w:t>
            </w:r>
            <w:r w:rsidR="00413E10">
              <w:rPr>
                <w:sz w:val="18"/>
                <w:szCs w:val="18"/>
              </w:rPr>
              <w:t> </w:t>
            </w:r>
            <w:r w:rsidRPr="00456F77">
              <w:rPr>
                <w:sz w:val="18"/>
                <w:szCs w:val="18"/>
              </w:rPr>
              <w:t>» dont il est question ci-dessus débute lorsque le véhicule quitte un stationnement et se termine lorsque le véhicule se gare de nouveau (46</w:t>
            </w:r>
            <w:r w:rsidR="00413E10">
              <w:rPr>
                <w:sz w:val="18"/>
                <w:szCs w:val="18"/>
              </w:rPr>
              <w:t> </w:t>
            </w:r>
            <w:r w:rsidRPr="00456F77">
              <w:rPr>
                <w:sz w:val="18"/>
                <w:szCs w:val="18"/>
              </w:rPr>
              <w:t>000</w:t>
            </w:r>
            <w:r w:rsidR="00413E10">
              <w:rPr>
                <w:sz w:val="18"/>
                <w:szCs w:val="18"/>
              </w:rPr>
              <w:t> </w:t>
            </w:r>
            <w:r w:rsidRPr="00456F77">
              <w:rPr>
                <w:sz w:val="18"/>
                <w:szCs w:val="18"/>
              </w:rPr>
              <w:t>trajets).</w:t>
            </w:r>
          </w:p>
          <w:p w:rsidR="00456F77" w:rsidRPr="00456F77" w:rsidRDefault="00456F77" w:rsidP="0043258D">
            <w:pPr>
              <w:pStyle w:val="SingleTxtG"/>
              <w:spacing w:after="0" w:line="220" w:lineRule="atLeast"/>
              <w:ind w:left="0" w:right="0" w:firstLine="170"/>
              <w:jc w:val="left"/>
              <w:rPr>
                <w:sz w:val="18"/>
                <w:szCs w:val="18"/>
              </w:rPr>
            </w:pPr>
            <w:r w:rsidRPr="00456F77">
              <w:rPr>
                <w:sz w:val="18"/>
                <w:szCs w:val="18"/>
              </w:rPr>
              <w:t>Les données ont été filtrées de façon à sélectionner uniquement les zones où le pilotage automatique était disponible (pour essayer de limiter les données aux zones où les lignes de délimitation des voies étaient présentes et visibles) et les moments où la vitesse du véhicule était supérieure à 10</w:t>
            </w:r>
            <w:r w:rsidR="00413E10">
              <w:rPr>
                <w:sz w:val="18"/>
                <w:szCs w:val="18"/>
              </w:rPr>
              <w:t> </w:t>
            </w:r>
            <w:r w:rsidRPr="00456F77">
              <w:rPr>
                <w:sz w:val="18"/>
                <w:szCs w:val="18"/>
              </w:rPr>
              <w:t>km/h.</w:t>
            </w:r>
          </w:p>
        </w:tc>
      </w:tr>
    </w:tbl>
    <w:p w:rsidR="00C7682B" w:rsidRPr="00C95890" w:rsidRDefault="00FA6C64" w:rsidP="00FA6C64">
      <w:pPr>
        <w:pStyle w:val="H1G"/>
        <w:rPr>
          <w:rFonts w:asciiTheme="majorBidi" w:hAnsiTheme="majorBidi" w:cstheme="majorBidi"/>
        </w:rPr>
      </w:pPr>
      <w:r>
        <w:rPr>
          <w:lang w:val="fr-FR"/>
        </w:rPr>
        <w:tab/>
      </w:r>
      <w:r w:rsidR="00C7682B">
        <w:rPr>
          <w:lang w:val="fr-FR"/>
        </w:rPr>
        <w:t>B.</w:t>
      </w:r>
      <w:r w:rsidR="00C7682B">
        <w:rPr>
          <w:lang w:val="fr-FR"/>
        </w:rPr>
        <w:tab/>
        <w:t>Paragraphe 5.6.2.1.3</w:t>
      </w:r>
    </w:p>
    <w:p w:rsidR="00F9573C" w:rsidRDefault="00C7682B" w:rsidP="00FA6C64">
      <w:pPr>
        <w:pStyle w:val="SingleTxtG"/>
        <w:rPr>
          <w:lang w:val="fr-FR"/>
        </w:rPr>
      </w:pPr>
      <w:r>
        <w:rPr>
          <w:lang w:val="fr-FR"/>
        </w:rPr>
        <w:t>6.</w:t>
      </w:r>
      <w:r>
        <w:rPr>
          <w:lang w:val="fr-FR"/>
        </w:rPr>
        <w:tab/>
        <w:t>Les ajustements suggérés concernant ce paragraphe visent à tenir compte des modifications qu’il est proposé d’apporter aux autres dispositions énumérées dans le présent document.</w:t>
      </w:r>
    </w:p>
    <w:p w:rsidR="00C7682B" w:rsidRPr="00C7682B" w:rsidRDefault="00C7682B" w:rsidP="00C7682B">
      <w:pPr>
        <w:pStyle w:val="SingleTxtG"/>
        <w:spacing w:before="240" w:after="0"/>
        <w:jc w:val="center"/>
        <w:rPr>
          <w:u w:val="single"/>
        </w:rPr>
      </w:pPr>
      <w:r>
        <w:rPr>
          <w:u w:val="single"/>
        </w:rPr>
        <w:tab/>
      </w:r>
      <w:r>
        <w:rPr>
          <w:u w:val="single"/>
        </w:rPr>
        <w:tab/>
      </w:r>
      <w:r>
        <w:rPr>
          <w:u w:val="single"/>
        </w:rPr>
        <w:tab/>
      </w:r>
    </w:p>
    <w:sectPr w:rsidR="00C7682B" w:rsidRPr="00C7682B" w:rsidSect="0085572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F01" w:rsidRDefault="00981F01" w:rsidP="00F95C08">
      <w:pPr>
        <w:spacing w:line="240" w:lineRule="auto"/>
      </w:pPr>
    </w:p>
  </w:endnote>
  <w:endnote w:type="continuationSeparator" w:id="0">
    <w:p w:rsidR="00981F01" w:rsidRPr="00AC3823" w:rsidRDefault="00981F01" w:rsidP="00AC3823">
      <w:pPr>
        <w:pStyle w:val="Pieddepage"/>
      </w:pPr>
    </w:p>
  </w:endnote>
  <w:endnote w:type="continuationNotice" w:id="1">
    <w:p w:rsidR="00981F01" w:rsidRDefault="00981F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28" w:rsidRPr="00855728" w:rsidRDefault="00855728" w:rsidP="00855728">
    <w:pPr>
      <w:pStyle w:val="Pieddepage"/>
      <w:tabs>
        <w:tab w:val="right" w:pos="9638"/>
      </w:tabs>
    </w:pPr>
    <w:r w:rsidRPr="00855728">
      <w:rPr>
        <w:b/>
        <w:sz w:val="18"/>
      </w:rPr>
      <w:fldChar w:fldCharType="begin"/>
    </w:r>
    <w:r w:rsidRPr="00855728">
      <w:rPr>
        <w:b/>
        <w:sz w:val="18"/>
      </w:rPr>
      <w:instrText xml:space="preserve"> PAGE  \* MERGEFORMAT </w:instrText>
    </w:r>
    <w:r w:rsidRPr="00855728">
      <w:rPr>
        <w:b/>
        <w:sz w:val="18"/>
      </w:rPr>
      <w:fldChar w:fldCharType="separate"/>
    </w:r>
    <w:r w:rsidRPr="00855728">
      <w:rPr>
        <w:b/>
        <w:noProof/>
        <w:sz w:val="18"/>
      </w:rPr>
      <w:t>2</w:t>
    </w:r>
    <w:r w:rsidRPr="00855728">
      <w:rPr>
        <w:b/>
        <w:sz w:val="18"/>
      </w:rPr>
      <w:fldChar w:fldCharType="end"/>
    </w:r>
    <w:r>
      <w:rPr>
        <w:b/>
        <w:sz w:val="18"/>
      </w:rPr>
      <w:tab/>
    </w:r>
    <w:r>
      <w:t>GE.19-20570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28" w:rsidRPr="00855728" w:rsidRDefault="00855728" w:rsidP="00855728">
    <w:pPr>
      <w:pStyle w:val="Pieddepage"/>
      <w:tabs>
        <w:tab w:val="right" w:pos="9638"/>
      </w:tabs>
      <w:rPr>
        <w:b/>
        <w:sz w:val="18"/>
      </w:rPr>
    </w:pPr>
    <w:r>
      <w:t>GE.19-20570</w:t>
    </w:r>
    <w:r>
      <w:tab/>
    </w:r>
    <w:r w:rsidRPr="00855728">
      <w:rPr>
        <w:b/>
        <w:sz w:val="18"/>
      </w:rPr>
      <w:fldChar w:fldCharType="begin"/>
    </w:r>
    <w:r w:rsidRPr="00855728">
      <w:rPr>
        <w:b/>
        <w:sz w:val="18"/>
      </w:rPr>
      <w:instrText xml:space="preserve"> PAGE  \* MERGEFORMAT </w:instrText>
    </w:r>
    <w:r w:rsidRPr="00855728">
      <w:rPr>
        <w:b/>
        <w:sz w:val="18"/>
      </w:rPr>
      <w:fldChar w:fldCharType="separate"/>
    </w:r>
    <w:r w:rsidRPr="00855728">
      <w:rPr>
        <w:b/>
        <w:noProof/>
        <w:sz w:val="18"/>
      </w:rPr>
      <w:t>3</w:t>
    </w:r>
    <w:r w:rsidRPr="008557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55728" w:rsidRDefault="00855728" w:rsidP="00855728">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19-20570  (F)</w:t>
    </w:r>
    <w:r w:rsidR="003A5500">
      <w:rPr>
        <w:sz w:val="20"/>
      </w:rPr>
      <w:t xml:space="preserve">    061219    091219</w:t>
    </w:r>
    <w:r>
      <w:rPr>
        <w:sz w:val="20"/>
      </w:rPr>
      <w:br/>
    </w:r>
    <w:r w:rsidRPr="00855728">
      <w:rPr>
        <w:rFonts w:ascii="C39T30Lfz" w:hAnsi="C39T30Lfz"/>
        <w:sz w:val="56"/>
      </w:rPr>
      <w:t></w:t>
    </w:r>
    <w:r w:rsidRPr="00855728">
      <w:rPr>
        <w:rFonts w:ascii="C39T30Lfz" w:hAnsi="C39T30Lfz"/>
        <w:sz w:val="56"/>
      </w:rPr>
      <w:t></w:t>
    </w:r>
    <w:r w:rsidRPr="00855728">
      <w:rPr>
        <w:rFonts w:ascii="C39T30Lfz" w:hAnsi="C39T30Lfz"/>
        <w:sz w:val="56"/>
      </w:rPr>
      <w:t></w:t>
    </w:r>
    <w:r w:rsidRPr="00855728">
      <w:rPr>
        <w:rFonts w:ascii="C39T30Lfz" w:hAnsi="C39T30Lfz"/>
        <w:sz w:val="56"/>
      </w:rPr>
      <w:t></w:t>
    </w:r>
    <w:r w:rsidRPr="00855728">
      <w:rPr>
        <w:rFonts w:ascii="C39T30Lfz" w:hAnsi="C39T30Lfz"/>
        <w:sz w:val="56"/>
      </w:rPr>
      <w:t></w:t>
    </w:r>
    <w:r w:rsidRPr="00855728">
      <w:rPr>
        <w:rFonts w:ascii="C39T30Lfz" w:hAnsi="C39T30Lfz"/>
        <w:sz w:val="56"/>
      </w:rPr>
      <w:t></w:t>
    </w:r>
    <w:r w:rsidRPr="00855728">
      <w:rPr>
        <w:rFonts w:ascii="C39T30Lfz" w:hAnsi="C39T30Lfz"/>
        <w:sz w:val="56"/>
      </w:rPr>
      <w:t></w:t>
    </w:r>
    <w:r w:rsidRPr="00855728">
      <w:rPr>
        <w:rFonts w:ascii="C39T30Lfz" w:hAnsi="C39T30Lfz"/>
        <w:sz w:val="56"/>
      </w:rPr>
      <w:t></w:t>
    </w:r>
    <w:r w:rsidRPr="00855728">
      <w:rPr>
        <w:rFonts w:ascii="C39T30Lfz" w:hAnsi="C39T30Lfz"/>
        <w:sz w:val="56"/>
      </w:rPr>
      <w:t></w:t>
    </w:r>
    <w:r>
      <w:rPr>
        <w:noProof/>
        <w:sz w:val="20"/>
      </w:rPr>
      <w:drawing>
        <wp:anchor distT="0" distB="0" distL="114300" distR="114300" simplePos="0" relativeHeight="2516561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F01" w:rsidRPr="00AC3823" w:rsidRDefault="00981F01" w:rsidP="00AC3823">
      <w:pPr>
        <w:pStyle w:val="Pieddepage"/>
        <w:tabs>
          <w:tab w:val="right" w:pos="2155"/>
        </w:tabs>
        <w:spacing w:after="80" w:line="240" w:lineRule="atLeast"/>
        <w:ind w:left="680"/>
        <w:rPr>
          <w:u w:val="single"/>
        </w:rPr>
      </w:pPr>
      <w:r>
        <w:rPr>
          <w:u w:val="single"/>
        </w:rPr>
        <w:tab/>
      </w:r>
    </w:p>
  </w:footnote>
  <w:footnote w:type="continuationSeparator" w:id="0">
    <w:p w:rsidR="00981F01" w:rsidRPr="00AC3823" w:rsidRDefault="00981F01" w:rsidP="00AC3823">
      <w:pPr>
        <w:pStyle w:val="Pieddepage"/>
        <w:tabs>
          <w:tab w:val="right" w:pos="2155"/>
        </w:tabs>
        <w:spacing w:after="80" w:line="240" w:lineRule="atLeast"/>
        <w:ind w:left="680"/>
        <w:rPr>
          <w:u w:val="single"/>
        </w:rPr>
      </w:pPr>
      <w:r>
        <w:rPr>
          <w:u w:val="single"/>
        </w:rPr>
        <w:tab/>
      </w:r>
    </w:p>
  </w:footnote>
  <w:footnote w:type="continuationNotice" w:id="1">
    <w:p w:rsidR="00981F01" w:rsidRPr="00AC3823" w:rsidRDefault="00981F01">
      <w:pPr>
        <w:spacing w:line="240" w:lineRule="auto"/>
        <w:rPr>
          <w:sz w:val="2"/>
          <w:szCs w:val="2"/>
        </w:rPr>
      </w:pPr>
    </w:p>
  </w:footnote>
  <w:footnote w:id="2">
    <w:p w:rsidR="00C7682B" w:rsidRPr="00C95890" w:rsidRDefault="00C7682B" w:rsidP="00C7682B">
      <w:pPr>
        <w:pStyle w:val="Notedebasdepage"/>
      </w:pPr>
      <w:r>
        <w:rPr>
          <w:lang w:val="fr-FR"/>
        </w:rPr>
        <w:tab/>
      </w:r>
      <w:r w:rsidRPr="003A5500">
        <w:rPr>
          <w:sz w:val="20"/>
          <w:lang w:val="fr-FR"/>
        </w:rPr>
        <w:t>*</w:t>
      </w:r>
      <w:r>
        <w:rPr>
          <w:lang w:val="fr-FR"/>
        </w:rPr>
        <w:tab/>
        <w:t>Ancien Groupe de travail en matière de roulement et de freinage (GRRF).</w:t>
      </w:r>
    </w:p>
  </w:footnote>
  <w:footnote w:id="3">
    <w:p w:rsidR="00C7682B" w:rsidRPr="00C95890" w:rsidRDefault="00C7682B" w:rsidP="00C7682B">
      <w:pPr>
        <w:pStyle w:val="Notedebasdepage"/>
      </w:pPr>
      <w:r>
        <w:rPr>
          <w:lang w:val="fr-FR"/>
        </w:rPr>
        <w:tab/>
      </w:r>
      <w:r w:rsidRPr="003A5500">
        <w:rPr>
          <w:sz w:val="20"/>
          <w:lang w:val="fr-FR"/>
        </w:rPr>
        <w:t>**</w:t>
      </w:r>
      <w:r>
        <w:rPr>
          <w:lang w:val="fr-FR"/>
        </w:rPr>
        <w:tab/>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28" w:rsidRPr="00855728" w:rsidRDefault="00855728">
    <w:pPr>
      <w:pStyle w:val="En-tte"/>
    </w:pPr>
    <w:fldSimple w:instr=" TITLE  \* MERGEFORMAT ">
      <w:r w:rsidR="0027760E">
        <w:t>ECE/TRANS/WP.29/GRVA/2020/7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28" w:rsidRPr="00855728" w:rsidRDefault="00855728" w:rsidP="00855728">
    <w:pPr>
      <w:pStyle w:val="En-tte"/>
      <w:jc w:val="right"/>
    </w:pPr>
    <w:fldSimple w:instr=" TITLE  \* MERGEFORMAT ">
      <w:r w:rsidR="0027760E">
        <w:t>ECE/TRANS/WP.29/GRVA/2020/7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1F01"/>
    <w:rsid w:val="00017F94"/>
    <w:rsid w:val="00020446"/>
    <w:rsid w:val="00023842"/>
    <w:rsid w:val="000334F9"/>
    <w:rsid w:val="00045FEB"/>
    <w:rsid w:val="0007796D"/>
    <w:rsid w:val="000B09E8"/>
    <w:rsid w:val="000B7790"/>
    <w:rsid w:val="000C11CA"/>
    <w:rsid w:val="000C56F2"/>
    <w:rsid w:val="00111F2F"/>
    <w:rsid w:val="0014365E"/>
    <w:rsid w:val="00143C66"/>
    <w:rsid w:val="00165B29"/>
    <w:rsid w:val="00176178"/>
    <w:rsid w:val="001F525A"/>
    <w:rsid w:val="00207FB3"/>
    <w:rsid w:val="00223272"/>
    <w:rsid w:val="0024779E"/>
    <w:rsid w:val="00257168"/>
    <w:rsid w:val="00261954"/>
    <w:rsid w:val="002744B8"/>
    <w:rsid w:val="0027760E"/>
    <w:rsid w:val="002832AC"/>
    <w:rsid w:val="002D7C93"/>
    <w:rsid w:val="00305801"/>
    <w:rsid w:val="00330107"/>
    <w:rsid w:val="0039028E"/>
    <w:rsid w:val="003916DE"/>
    <w:rsid w:val="003A5500"/>
    <w:rsid w:val="003E2059"/>
    <w:rsid w:val="00413E10"/>
    <w:rsid w:val="00421996"/>
    <w:rsid w:val="0043258D"/>
    <w:rsid w:val="0043763E"/>
    <w:rsid w:val="00441C3B"/>
    <w:rsid w:val="00446FE5"/>
    <w:rsid w:val="00452396"/>
    <w:rsid w:val="00456F77"/>
    <w:rsid w:val="004837D8"/>
    <w:rsid w:val="004E2EED"/>
    <w:rsid w:val="004E468C"/>
    <w:rsid w:val="005029B1"/>
    <w:rsid w:val="0050714C"/>
    <w:rsid w:val="005505B7"/>
    <w:rsid w:val="00573BE5"/>
    <w:rsid w:val="0057591D"/>
    <w:rsid w:val="00586ED3"/>
    <w:rsid w:val="00596AA9"/>
    <w:rsid w:val="006115A9"/>
    <w:rsid w:val="0071601D"/>
    <w:rsid w:val="007A189B"/>
    <w:rsid w:val="007A62E6"/>
    <w:rsid w:val="007F20FA"/>
    <w:rsid w:val="0080684C"/>
    <w:rsid w:val="00836A4D"/>
    <w:rsid w:val="00855728"/>
    <w:rsid w:val="00871C75"/>
    <w:rsid w:val="008776DC"/>
    <w:rsid w:val="00916B0C"/>
    <w:rsid w:val="009312DF"/>
    <w:rsid w:val="009446C0"/>
    <w:rsid w:val="009705C8"/>
    <w:rsid w:val="00981F01"/>
    <w:rsid w:val="009C1CF4"/>
    <w:rsid w:val="009F6B74"/>
    <w:rsid w:val="00A055A8"/>
    <w:rsid w:val="00A2398E"/>
    <w:rsid w:val="00A3029F"/>
    <w:rsid w:val="00A30353"/>
    <w:rsid w:val="00A40533"/>
    <w:rsid w:val="00A5401E"/>
    <w:rsid w:val="00A70C41"/>
    <w:rsid w:val="00AC3823"/>
    <w:rsid w:val="00AC491E"/>
    <w:rsid w:val="00AD1481"/>
    <w:rsid w:val="00AE323C"/>
    <w:rsid w:val="00AF0CB5"/>
    <w:rsid w:val="00B00181"/>
    <w:rsid w:val="00B00B0D"/>
    <w:rsid w:val="00B45F2E"/>
    <w:rsid w:val="00B60969"/>
    <w:rsid w:val="00B765F7"/>
    <w:rsid w:val="00B8551E"/>
    <w:rsid w:val="00BA0CA9"/>
    <w:rsid w:val="00BC4F61"/>
    <w:rsid w:val="00BD7E8F"/>
    <w:rsid w:val="00C02897"/>
    <w:rsid w:val="00C21092"/>
    <w:rsid w:val="00C7682B"/>
    <w:rsid w:val="00C97039"/>
    <w:rsid w:val="00D05236"/>
    <w:rsid w:val="00D3439C"/>
    <w:rsid w:val="00D62E5E"/>
    <w:rsid w:val="00DB1831"/>
    <w:rsid w:val="00DD3BFD"/>
    <w:rsid w:val="00DF6678"/>
    <w:rsid w:val="00E0299A"/>
    <w:rsid w:val="00E85C74"/>
    <w:rsid w:val="00EA6547"/>
    <w:rsid w:val="00EF2E22"/>
    <w:rsid w:val="00F35BAF"/>
    <w:rsid w:val="00F660DF"/>
    <w:rsid w:val="00F94664"/>
    <w:rsid w:val="00F9573C"/>
    <w:rsid w:val="00F95C08"/>
    <w:rsid w:val="00FA6C6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B74B15"/>
  <w15:docId w15:val="{B5DABE8C-B0C8-4EBE-B074-A3EE30A9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C7682B"/>
    <w:rPr>
      <w:rFonts w:ascii="Times New Roman" w:eastAsiaTheme="minorHAnsi" w:hAnsi="Times New Roman" w:cs="Times New Roman"/>
      <w:sz w:val="20"/>
      <w:szCs w:val="20"/>
      <w:lang w:eastAsia="en-US"/>
    </w:rPr>
  </w:style>
  <w:style w:type="character" w:customStyle="1" w:styleId="H1GChar">
    <w:name w:val="_ H_1_G Char"/>
    <w:link w:val="H1G"/>
    <w:rsid w:val="00C7682B"/>
    <w:rPr>
      <w:rFonts w:ascii="Times New Roman" w:eastAsiaTheme="minorHAnsi" w:hAnsi="Times New Roman" w:cs="Times New Roman"/>
      <w:b/>
      <w:sz w:val="24"/>
      <w:szCs w:val="20"/>
      <w:lang w:eastAsia="en-US"/>
    </w:rPr>
  </w:style>
  <w:style w:type="character" w:customStyle="1" w:styleId="HChGChar">
    <w:name w:val="_ H _Ch_G Char"/>
    <w:link w:val="HChG"/>
    <w:rsid w:val="00C7682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377">
      <w:bodyDiv w:val="1"/>
      <w:marLeft w:val="0"/>
      <w:marRight w:val="0"/>
      <w:marTop w:val="0"/>
      <w:marBottom w:val="0"/>
      <w:divBdr>
        <w:top w:val="none" w:sz="0" w:space="0" w:color="auto"/>
        <w:left w:val="none" w:sz="0" w:space="0" w:color="auto"/>
        <w:bottom w:val="none" w:sz="0" w:space="0" w:color="auto"/>
        <w:right w:val="none" w:sz="0" w:space="0" w:color="auto"/>
      </w:divBdr>
    </w:div>
    <w:div w:id="1015768654">
      <w:bodyDiv w:val="1"/>
      <w:marLeft w:val="0"/>
      <w:marRight w:val="0"/>
      <w:marTop w:val="0"/>
      <w:marBottom w:val="0"/>
      <w:divBdr>
        <w:top w:val="none" w:sz="0" w:space="0" w:color="auto"/>
        <w:left w:val="none" w:sz="0" w:space="0" w:color="auto"/>
        <w:bottom w:val="none" w:sz="0" w:space="0" w:color="auto"/>
        <w:right w:val="none" w:sz="0" w:space="0" w:color="auto"/>
      </w:divBdr>
    </w:div>
    <w:div w:id="1913465303">
      <w:bodyDiv w:val="1"/>
      <w:marLeft w:val="0"/>
      <w:marRight w:val="0"/>
      <w:marTop w:val="0"/>
      <w:marBottom w:val="0"/>
      <w:divBdr>
        <w:top w:val="none" w:sz="0" w:space="0" w:color="auto"/>
        <w:left w:val="none" w:sz="0" w:space="0" w:color="auto"/>
        <w:bottom w:val="none" w:sz="0" w:space="0" w:color="auto"/>
        <w:right w:val="none" w:sz="0" w:space="0" w:color="auto"/>
      </w:divBdr>
    </w:div>
    <w:div w:id="20344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1474</Words>
  <Characters>10324</Characters>
  <Application>Microsoft Office Word</Application>
  <DocSecurity>0</DocSecurity>
  <Lines>860</Lines>
  <Paragraphs>471</Paragraphs>
  <ScaleCrop>false</ScaleCrop>
  <HeadingPairs>
    <vt:vector size="2" baseType="variant">
      <vt:variant>
        <vt:lpstr>Titre</vt:lpstr>
      </vt:variant>
      <vt:variant>
        <vt:i4>1</vt:i4>
      </vt:variant>
    </vt:vector>
  </HeadingPairs>
  <TitlesOfParts>
    <vt:vector size="1" baseType="lpstr">
      <vt:lpstr>ECE/TRANS/WP.29/GRVA/2020/7</vt:lpstr>
    </vt:vector>
  </TitlesOfParts>
  <Company>DCM</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ECE/TRANS/WP.29/GRVA/2020/7</dc:title>
  <dc:subject/>
  <dc:creator>Nathalie VITTOZ</dc:creator>
  <cp:keywords/>
  <cp:lastModifiedBy>Nathalie Vittoz</cp:lastModifiedBy>
  <cp:revision>2</cp:revision>
  <cp:lastPrinted>2019-12-09T11:07:00Z</cp:lastPrinted>
  <dcterms:created xsi:type="dcterms:W3CDTF">2019-12-09T11:38:00Z</dcterms:created>
  <dcterms:modified xsi:type="dcterms:W3CDTF">2019-12-09T11:38:00Z</dcterms:modified>
</cp:coreProperties>
</file>