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33F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33FD3" w:rsidP="00F33FD3">
            <w:pPr>
              <w:jc w:val="right"/>
            </w:pPr>
            <w:r w:rsidRPr="00F33FD3">
              <w:rPr>
                <w:sz w:val="40"/>
              </w:rPr>
              <w:t>ECE</w:t>
            </w:r>
            <w:r>
              <w:t>/TRANS/WP.29/GRVA/2020/6</w:t>
            </w:r>
          </w:p>
        </w:tc>
      </w:tr>
      <w:tr w:rsidR="002D5AAC" w:rsidRPr="00F33FD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33FD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33FD3" w:rsidRDefault="00F33FD3" w:rsidP="00F33F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November 2019</w:t>
            </w:r>
          </w:p>
          <w:p w:rsidR="00F33FD3" w:rsidRDefault="00F33FD3" w:rsidP="00F33F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33FD3" w:rsidRPr="008D53B6" w:rsidRDefault="00F33FD3" w:rsidP="00F33F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F33FD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33FD3" w:rsidRPr="00C51D8B" w:rsidRDefault="00F33FD3" w:rsidP="00F33FD3">
      <w:pPr>
        <w:spacing w:before="120"/>
        <w:rPr>
          <w:sz w:val="28"/>
          <w:szCs w:val="28"/>
        </w:rPr>
      </w:pPr>
      <w:r w:rsidRPr="00C51D8B">
        <w:rPr>
          <w:sz w:val="28"/>
          <w:szCs w:val="28"/>
        </w:rPr>
        <w:t>Комитет по внутреннему транспорту</w:t>
      </w:r>
    </w:p>
    <w:p w:rsidR="00F33FD3" w:rsidRPr="00C51D8B" w:rsidRDefault="00F33FD3" w:rsidP="00F33FD3">
      <w:pPr>
        <w:spacing w:before="120"/>
        <w:rPr>
          <w:b/>
          <w:sz w:val="24"/>
          <w:szCs w:val="24"/>
        </w:rPr>
      </w:pPr>
      <w:r w:rsidRPr="00C51D8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51D8B">
        <w:rPr>
          <w:b/>
          <w:bCs/>
          <w:sz w:val="24"/>
          <w:szCs w:val="24"/>
        </w:rPr>
        <w:t>в области транспортных средств</w:t>
      </w:r>
    </w:p>
    <w:p w:rsidR="00F33FD3" w:rsidRPr="00C51D8B" w:rsidRDefault="00F33FD3" w:rsidP="00F33FD3">
      <w:pPr>
        <w:spacing w:before="120"/>
        <w:rPr>
          <w:b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r w:rsidRPr="00F33FD3">
        <w:rPr>
          <w:rStyle w:val="aa"/>
          <w:sz w:val="20"/>
          <w:szCs w:val="20"/>
          <w:vertAlign w:val="baseline"/>
        </w:rPr>
        <w:footnoteReference w:customMarkFollows="1" w:id="1"/>
        <w:t>*</w:t>
      </w:r>
      <w:bookmarkEnd w:id="0"/>
    </w:p>
    <w:p w:rsidR="00F33FD3" w:rsidRPr="00C51D8B" w:rsidRDefault="00F33FD3" w:rsidP="00F33FD3">
      <w:pPr>
        <w:spacing w:before="120"/>
        <w:rPr>
          <w:b/>
        </w:rPr>
      </w:pPr>
      <w:r>
        <w:rPr>
          <w:b/>
          <w:bCs/>
        </w:rPr>
        <w:t>Пятая сессия</w:t>
      </w:r>
    </w:p>
    <w:p w:rsidR="00F33FD3" w:rsidRPr="00C51D8B" w:rsidRDefault="00F33FD3" w:rsidP="00F33FD3">
      <w:r>
        <w:t>Женева, 10–14 февраля 2020 года</w:t>
      </w:r>
    </w:p>
    <w:p w:rsidR="00F33FD3" w:rsidRPr="00C51D8B" w:rsidRDefault="00F33FD3" w:rsidP="00F33FD3">
      <w:r>
        <w:t xml:space="preserve">Пункт </w:t>
      </w:r>
      <w:proofErr w:type="gramStart"/>
      <w:r>
        <w:t>5</w:t>
      </w:r>
      <w:proofErr w:type="gramEnd"/>
      <w:r>
        <w:t xml:space="preserve"> а) предварительной повестки дня</w:t>
      </w:r>
    </w:p>
    <w:p w:rsidR="00F33FD3" w:rsidRPr="00C51D8B" w:rsidRDefault="00F33FD3" w:rsidP="00F33FD3">
      <w:pPr>
        <w:rPr>
          <w:b/>
        </w:rPr>
      </w:pPr>
      <w:r>
        <w:rPr>
          <w:b/>
          <w:bCs/>
        </w:rPr>
        <w:t>Подключенные транспортные средства:</w:t>
      </w:r>
    </w:p>
    <w:p w:rsidR="00E12C5F" w:rsidRDefault="00F33FD3" w:rsidP="00F33FD3">
      <w:proofErr w:type="spellStart"/>
      <w:r>
        <w:rPr>
          <w:b/>
          <w:bCs/>
        </w:rPr>
        <w:t>Кибербезопасность</w:t>
      </w:r>
      <w:proofErr w:type="spellEnd"/>
      <w:r>
        <w:rPr>
          <w:b/>
          <w:bCs/>
        </w:rPr>
        <w:t xml:space="preserve"> и защита данных, </w:t>
      </w:r>
      <w:r>
        <w:rPr>
          <w:b/>
          <w:bCs/>
        </w:rPr>
        <w:br/>
      </w:r>
      <w:r>
        <w:rPr>
          <w:b/>
          <w:bCs/>
        </w:rPr>
        <w:t>а также обновление программного обеспечения</w:t>
      </w:r>
    </w:p>
    <w:p w:rsidR="00F33FD3" w:rsidRPr="00C51D8B" w:rsidRDefault="00F33FD3" w:rsidP="00F33FD3">
      <w:pPr>
        <w:pStyle w:val="HChG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Доклад о работе Целевой группы по вопросам </w:t>
      </w:r>
      <w:proofErr w:type="spellStart"/>
      <w:r>
        <w:rPr>
          <w:bCs/>
        </w:rPr>
        <w:t>кибербезопасности</w:t>
      </w:r>
      <w:proofErr w:type="spellEnd"/>
      <w:r>
        <w:rPr>
          <w:bCs/>
        </w:rPr>
        <w:t xml:space="preserve"> и беспроводной связи</w:t>
      </w:r>
      <w:r w:rsidRPr="00C51D8B">
        <w:rPr>
          <w:bCs/>
        </w:rPr>
        <w:t xml:space="preserve"> </w:t>
      </w:r>
      <w:r>
        <w:rPr>
          <w:bCs/>
        </w:rPr>
        <w:t>на этапе испытания обновлений программного обеспечения</w:t>
      </w:r>
    </w:p>
    <w:p w:rsidR="00F33FD3" w:rsidRPr="00C51D8B" w:rsidRDefault="00F33FD3" w:rsidP="00F33FD3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 xml:space="preserve">Представлено Целевой группой </w:t>
      </w:r>
      <w:r w:rsidR="00B3567C">
        <w:rPr>
          <w:bCs/>
        </w:rPr>
        <w:t xml:space="preserve">по вопросам </w:t>
      </w:r>
      <w:proofErr w:type="spellStart"/>
      <w:r w:rsidR="00B3567C">
        <w:rPr>
          <w:bCs/>
        </w:rPr>
        <w:t>кибербезопасности</w:t>
      </w:r>
      <w:proofErr w:type="spellEnd"/>
      <w:r w:rsidR="00B3567C">
        <w:rPr>
          <w:bCs/>
        </w:rPr>
        <w:t xml:space="preserve"> и </w:t>
      </w:r>
      <w:r>
        <w:rPr>
          <w:bCs/>
        </w:rPr>
        <w:t>беспроводной связи</w:t>
      </w:r>
      <w:r w:rsidRPr="00F33FD3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:rsidR="00F33FD3" w:rsidRDefault="00F33FD3" w:rsidP="00F33FD3">
      <w:pPr>
        <w:pStyle w:val="SingleTxtG"/>
      </w:pPr>
      <w:r>
        <w:tab/>
      </w:r>
      <w:r>
        <w:tab/>
      </w:r>
      <w:r>
        <w:t xml:space="preserve">Настоящий доклад был подготовлен сопредседателями Целевой группы по вопросам </w:t>
      </w:r>
      <w:proofErr w:type="spellStart"/>
      <w:r>
        <w:t>кибербезопасности</w:t>
      </w:r>
      <w:proofErr w:type="spellEnd"/>
      <w:r>
        <w:t xml:space="preserve"> и беспроводной связи. В настоящем докладе содержится обзор итогов работы на этапе испытания для предлагаемых правил ООН по </w:t>
      </w:r>
      <w:proofErr w:type="spellStart"/>
      <w:r>
        <w:t>кибербезопасности</w:t>
      </w:r>
      <w:proofErr w:type="spellEnd"/>
      <w:r>
        <w:t xml:space="preserve"> и беспроводным обновлениям. В нем дается описание целей на этапе испытаний, принятого подхода и результатов, полученных на этапе испытаний.</w:t>
      </w:r>
    </w:p>
    <w:p w:rsidR="00F33FD3" w:rsidRDefault="00F33FD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F33FD3" w:rsidRPr="00C51D8B" w:rsidRDefault="00F33FD3" w:rsidP="00F33FD3">
      <w:pPr>
        <w:pStyle w:val="HChG"/>
      </w:pPr>
      <w:bookmarkStart w:id="1" w:name="_Toc498341508"/>
      <w:bookmarkStart w:id="2" w:name="_Toc507661162"/>
      <w:r>
        <w:lastRenderedPageBreak/>
        <w:tab/>
      </w:r>
      <w:r>
        <w:t>1.</w:t>
      </w:r>
      <w:r>
        <w:tab/>
        <w:t>Введение</w:t>
      </w:r>
      <w:bookmarkEnd w:id="1"/>
      <w:bookmarkEnd w:id="2"/>
    </w:p>
    <w:p w:rsidR="00F33FD3" w:rsidRPr="00C51D8B" w:rsidRDefault="00F33FD3" w:rsidP="00F33FD3">
      <w:pPr>
        <w:pStyle w:val="H1G"/>
      </w:pPr>
      <w:bookmarkStart w:id="3" w:name="_Toc498341509"/>
      <w:bookmarkStart w:id="4" w:name="_Toc507661163"/>
      <w:r>
        <w:tab/>
        <w:t>1.1</w:t>
      </w:r>
      <w:r>
        <w:tab/>
      </w:r>
      <w:r>
        <w:rPr>
          <w:bCs/>
        </w:rPr>
        <w:t>Преамбула</w:t>
      </w:r>
      <w:bookmarkEnd w:id="3"/>
      <w:bookmarkEnd w:id="4"/>
    </w:p>
    <w:p w:rsidR="00F33FD3" w:rsidRPr="00C51D8B" w:rsidRDefault="00F33FD3" w:rsidP="00F33FD3">
      <w:pPr>
        <w:pStyle w:val="SingleTxtG"/>
        <w:ind w:left="2268" w:hanging="1134"/>
      </w:pPr>
      <w:r>
        <w:t>1.1.1</w:t>
      </w:r>
      <w:r>
        <w:tab/>
        <w:t xml:space="preserve">Эта Целевая группа была создана в качестве одной из подгрупп неофициальной рабочей группы по интеллектуальным транспортным системам/автоматизированному вождению (НРГ по ИТС/АВ) WP.29 в целях решения вопросов </w:t>
      </w:r>
      <w:proofErr w:type="spellStart"/>
      <w:r>
        <w:t>кибербезопасности</w:t>
      </w:r>
      <w:proofErr w:type="spellEnd"/>
      <w:r>
        <w:t xml:space="preserve"> и б</w:t>
      </w:r>
      <w:r>
        <w:t>еспроводной связи. В </w:t>
      </w:r>
      <w:r>
        <w:t xml:space="preserve">состав Целевой группы входят представители Договаривающихся сторон (включая в качестве постоянных участников Германию, Нидерланды, </w:t>
      </w:r>
      <w:r w:rsidR="004800DC">
        <w:t>Республику Корея,</w:t>
      </w:r>
      <w:r w:rsidR="004800DC">
        <w:t xml:space="preserve"> </w:t>
      </w:r>
      <w:r>
        <w:t>Соединенное Королевство Великобритании и Северной Ирландии, Францию и Японию) и неправительственных организаций, в частности Европейской ассоциации поставщиков автомобильных деталей (КСАОД), Международного комитета по техническому осмотру автотранспортных средств (СИТА), Международной автомобильной федерации (ФИА), Международной организации предприятий автомобильной промышленности (МОПАП) и Международного союза электросвязи – сектор стандартизации электросвязи (МСЭ-Т). В настоящее время, после реформы Всемирного форума для согласования правил в области транспортных средств (WP.29), эта Целевая группа подотчетна перед Рабочей группой по автоматизированным/автономным и подключенным транспортным средствам (GRVA).</w:t>
      </w:r>
    </w:p>
    <w:p w:rsidR="00F33FD3" w:rsidRPr="00C51D8B" w:rsidRDefault="00F33FD3" w:rsidP="00F33FD3">
      <w:pPr>
        <w:pStyle w:val="SingleTxtG"/>
        <w:ind w:left="2268" w:hanging="1134"/>
      </w:pPr>
      <w:r>
        <w:t>1.1.2</w:t>
      </w:r>
      <w:r>
        <w:tab/>
        <w:t>Круг ведения Целевой группы заключается в подготовке положений в форме соответствующей рекомендации или резолюции, положений, приемлемых для Соглашения 1998 года, а также соответствующего проекта правил ООН, регламентирующ</w:t>
      </w:r>
      <w:r>
        <w:t xml:space="preserve">их вопросы </w:t>
      </w:r>
      <w:proofErr w:type="spellStart"/>
      <w:r>
        <w:t>кибербезопасности</w:t>
      </w:r>
      <w:proofErr w:type="spellEnd"/>
      <w:r>
        <w:t>, и </w:t>
      </w:r>
      <w:r>
        <w:t>правил ООН, регламентирующих вопросы беспроводной связи.</w:t>
      </w:r>
    </w:p>
    <w:p w:rsidR="00F33FD3" w:rsidRPr="00C51D8B" w:rsidRDefault="00F33FD3" w:rsidP="00F33FD3">
      <w:pPr>
        <w:pStyle w:val="SingleTxtG"/>
        <w:ind w:left="2268" w:hanging="1134"/>
      </w:pPr>
      <w:r>
        <w:t>1.1.3</w:t>
      </w:r>
      <w:r>
        <w:tab/>
        <w:t xml:space="preserve">Целевая группа приступила к работе 21 декабря 2016 года и в 2018 году подготовила проект правил, касающихся </w:t>
      </w:r>
      <w:proofErr w:type="spellStart"/>
      <w:r>
        <w:t>кибербезопасности</w:t>
      </w:r>
      <w:proofErr w:type="spellEnd"/>
      <w:r>
        <w:t xml:space="preserve"> и процессов обновления программного обеспечения, см. ECE/TRANS/WP</w:t>
      </w:r>
      <w:r w:rsidRPr="00F33FD3">
        <w:t>.</w:t>
      </w:r>
      <w:r>
        <w:t>29/</w:t>
      </w:r>
      <w:r>
        <w:rPr>
          <w:lang w:val="en-US"/>
        </w:rPr>
        <w:t xml:space="preserve"> </w:t>
      </w:r>
      <w:r>
        <w:t>GRVA/2019/3 и ECE/TRANS/WP</w:t>
      </w:r>
      <w:r w:rsidRPr="00F33FD3">
        <w:t>.</w:t>
      </w:r>
      <w:r>
        <w:t>29/GRVA/2019/2.</w:t>
      </w:r>
    </w:p>
    <w:p w:rsidR="00F33FD3" w:rsidRPr="008226E1" w:rsidRDefault="00F33FD3" w:rsidP="00F33FD3">
      <w:pPr>
        <w:pStyle w:val="SingleTxtG"/>
        <w:ind w:left="2268" w:hanging="1134"/>
      </w:pPr>
      <w:r>
        <w:t>1.1.4</w:t>
      </w:r>
      <w:r>
        <w:tab/>
        <w:t xml:space="preserve">Целевая группа рекомендовала проводить испытания в соответствии с этими правилами с целью удостовериться в том, что разработанные ею требования можно подтвердить на практике и что технические службы или органы по официальному утверждению могут их должным образом оценить. Эта рекомендация была принята. </w:t>
      </w:r>
    </w:p>
    <w:p w:rsidR="00F33FD3" w:rsidRPr="00C51D8B" w:rsidRDefault="00F33FD3" w:rsidP="00F33FD3">
      <w:pPr>
        <w:pStyle w:val="SingleTxtG"/>
        <w:ind w:left="2268" w:hanging="1134"/>
      </w:pPr>
      <w:r>
        <w:t>1.1.5</w:t>
      </w:r>
      <w:r>
        <w:tab/>
        <w:t xml:space="preserve">Для участия в работе на этапе испытаний были привлечены компетентные органы и технические службы целого ряда стран, а также изготовители транспортных средств, которые изъявили готовность принять участие в работе на этом этапе испытаний. Целевая группа не устанавливала каких-либо требований или предварительных условий в плане знаний или сертификации, однако в состав участников на этом этапе испытания входили аттестационные органы по кибернетике, национальные учреждения по </w:t>
      </w:r>
      <w:proofErr w:type="spellStart"/>
      <w:r>
        <w:t>кибербезопасности</w:t>
      </w:r>
      <w:proofErr w:type="spellEnd"/>
      <w:r>
        <w:t xml:space="preserve"> и аккредитованные технические службы ISO</w:t>
      </w:r>
      <w:r w:rsidRPr="008226E1">
        <w:t>/</w:t>
      </w:r>
      <w:r>
        <w:t>IEC 17020 и ISO</w:t>
      </w:r>
      <w:r w:rsidRPr="008226E1">
        <w:t>/</w:t>
      </w:r>
      <w:r>
        <w:t xml:space="preserve">IEC 17025, включая специалистов по официальному утверждению транспортных средств, аудиту и </w:t>
      </w:r>
      <w:proofErr w:type="spellStart"/>
      <w:r>
        <w:t>кибербезопасности</w:t>
      </w:r>
      <w:proofErr w:type="spellEnd"/>
      <w:r>
        <w:t xml:space="preserve">. </w:t>
      </w:r>
    </w:p>
    <w:p w:rsidR="00F33FD3" w:rsidRPr="00C51D8B" w:rsidRDefault="00F33FD3" w:rsidP="00F33FD3">
      <w:pPr>
        <w:pStyle w:val="SingleTxtG"/>
        <w:ind w:left="2268" w:hanging="1134"/>
      </w:pPr>
      <w:r>
        <w:t>1.1.6</w:t>
      </w:r>
      <w:r>
        <w:tab/>
      </w:r>
      <w:proofErr w:type="gramStart"/>
      <w:r>
        <w:t>В</w:t>
      </w:r>
      <w:proofErr w:type="gramEnd"/>
      <w:r>
        <w:t xml:space="preserve"> данном докладе описывается этап испытаний и соответствующие результаты и выводы. В нем также рассматриваются приоритетные направления, указанные в рамочном документе по автоматизированным/</w:t>
      </w:r>
      <w:r w:rsidRPr="00F33FD3">
        <w:t xml:space="preserve"> </w:t>
      </w:r>
      <w:r>
        <w:t>автономным транспортным средствам (ECE/TRANS/WP.29/2019/</w:t>
      </w:r>
      <w:r w:rsidRPr="00F33FD3">
        <w:t xml:space="preserve"> </w:t>
      </w:r>
      <w:r>
        <w:t xml:space="preserve">34/Rev.1), в целях подготовки для этого органа соответствующего доклада о ходе испытаний. </w:t>
      </w:r>
    </w:p>
    <w:p w:rsidR="00F33FD3" w:rsidRPr="008226E1" w:rsidRDefault="00F33FD3" w:rsidP="00F33FD3">
      <w:pPr>
        <w:pStyle w:val="HChG"/>
      </w:pPr>
      <w:r>
        <w:lastRenderedPageBreak/>
        <w:tab/>
      </w:r>
      <w:r>
        <w:t>2.</w:t>
      </w:r>
      <w:r>
        <w:tab/>
        <w:t>Этап испытаний</w:t>
      </w:r>
    </w:p>
    <w:p w:rsidR="00F33FD3" w:rsidRPr="008226E1" w:rsidRDefault="00F33FD3" w:rsidP="00F33FD3">
      <w:pPr>
        <w:pStyle w:val="H1G"/>
      </w:pPr>
      <w:r>
        <w:tab/>
      </w:r>
      <w:r>
        <w:t>2.1</w:t>
      </w:r>
      <w:r>
        <w:tab/>
        <w:t>Цели этапа испытаний</w:t>
      </w:r>
    </w:p>
    <w:p w:rsidR="00F33FD3" w:rsidRPr="00C51D8B" w:rsidRDefault="00F33FD3" w:rsidP="00F33FD3">
      <w:pPr>
        <w:pStyle w:val="SingleTxtG"/>
        <w:ind w:left="2268" w:hanging="1134"/>
      </w:pPr>
      <w:r>
        <w:t>2.1.1</w:t>
      </w:r>
      <w:r>
        <w:tab/>
        <w:t>Цели на этапе испытаний заключались в проверке эффективности/</w:t>
      </w:r>
      <w:r w:rsidRPr="00F33FD3">
        <w:t xml:space="preserve"> </w:t>
      </w:r>
      <w:r>
        <w:t>надежности обоих предлагаемых сводов правил и в выяснении способности органов по официальному утверждению/технических служб оценить полученную информацию и прийти к тем же выводам на основе такой же информации (что квалифицируется ниже как межлабораторные испытания).</w:t>
      </w:r>
    </w:p>
    <w:p w:rsidR="00F33FD3" w:rsidRPr="00C51D8B" w:rsidRDefault="00F33FD3" w:rsidP="00F33FD3">
      <w:pPr>
        <w:pStyle w:val="SingleTxtG"/>
        <w:ind w:left="2268" w:hanging="1134"/>
      </w:pPr>
      <w:r>
        <w:t>2.1.2</w:t>
      </w:r>
      <w:r>
        <w:tab/>
      </w:r>
      <w:proofErr w:type="gramStart"/>
      <w:r>
        <w:t>В</w:t>
      </w:r>
      <w:proofErr w:type="gramEnd"/>
      <w:r>
        <w:t xml:space="preserve"> целях содействия дальнейшему осуществлению правил на этапе испытаний также ставилась задача обобщить опыт его участников и дать рекомендации по поводу того, каким образом оценивать нормативные требования и необходимую документацию. Это нашло отражение в документе под названием «пояснительный документ».</w:t>
      </w:r>
    </w:p>
    <w:p w:rsidR="00F33FD3" w:rsidRPr="00C51D8B" w:rsidRDefault="00F33FD3" w:rsidP="00F33FD3">
      <w:pPr>
        <w:pStyle w:val="SingleTxtG"/>
        <w:ind w:left="2268" w:hanging="1134"/>
      </w:pPr>
      <w:r>
        <w:t>2.1.3</w:t>
      </w:r>
      <w:r>
        <w:tab/>
        <w:t xml:space="preserve">Цель этого этапа испытаний состояла отнюдь не в том, чтобы аттестовать или оценивать типы транспортных средств или системы управления на уровне изготовителей транспортных средств. </w:t>
      </w:r>
    </w:p>
    <w:p w:rsidR="00F33FD3" w:rsidRPr="00C51D8B" w:rsidRDefault="00F33FD3" w:rsidP="00F33FD3">
      <w:pPr>
        <w:pStyle w:val="H1G"/>
      </w:pPr>
      <w:r>
        <w:tab/>
      </w:r>
      <w:r>
        <w:t xml:space="preserve">2.2 </w:t>
      </w:r>
      <w:r>
        <w:tab/>
        <w:t>Обзор работы на этапе испытаний</w:t>
      </w:r>
    </w:p>
    <w:p w:rsidR="00F33FD3" w:rsidRPr="00C51D8B" w:rsidRDefault="00F33FD3" w:rsidP="00F33FD3">
      <w:pPr>
        <w:pStyle w:val="SingleTxtG"/>
        <w:ind w:left="2268" w:hanging="1134"/>
      </w:pPr>
      <w:r>
        <w:t>2.2.1</w:t>
      </w:r>
      <w:r>
        <w:tab/>
        <w:t>Этап испытаний начался в феврале 2019 г</w:t>
      </w:r>
      <w:r>
        <w:t>ода и завершился в августе 2019 </w:t>
      </w:r>
      <w:r>
        <w:t>года.</w:t>
      </w:r>
    </w:p>
    <w:p w:rsidR="00F33FD3" w:rsidRPr="00C51D8B" w:rsidRDefault="00F33FD3" w:rsidP="00F33FD3">
      <w:pPr>
        <w:pStyle w:val="SingleTxtG"/>
        <w:ind w:left="2268" w:hanging="1134"/>
      </w:pPr>
      <w:r>
        <w:t>2.2.2</w:t>
      </w:r>
      <w:r>
        <w:tab/>
        <w:t xml:space="preserve">Совещание потенциальных участников на этапе испытаний состоялось в феврале 2019 года в целях согласования порядка проведения этого этапа и способов учета требований изготовителей к вопросам конфиденциальности. Было решено, что имена участников не будут предаваться гласности и что обмен подробной информацией между изготовителями и техническими службами/органами по официальному утверждению будет носить применительно к этим сторонам конфиденциальный характер. Ответная информация будет касаться скорее правил, нежели оценки полученных данных. Более подробную информацию можно найти в предварительном круге ведения на этапе испытаний в документе под символом </w:t>
      </w:r>
      <w:r w:rsidRPr="00046160">
        <w:t>TFCS</w:t>
      </w:r>
      <w:r w:rsidRPr="009639E5">
        <w:t>-</w:t>
      </w:r>
      <w:r w:rsidRPr="00046160">
        <w:t>TPCM</w:t>
      </w:r>
      <w:r w:rsidRPr="009639E5">
        <w:t>1-02</w:t>
      </w:r>
      <w:r w:rsidRPr="00046160">
        <w:t>rev</w:t>
      </w:r>
      <w:r w:rsidRPr="009639E5">
        <w:t>1</w:t>
      </w:r>
      <w:r w:rsidRPr="001927EB">
        <w:t xml:space="preserve"> </w:t>
      </w:r>
      <w:r>
        <w:t>(</w:t>
      </w:r>
      <w:proofErr w:type="spellStart"/>
      <w:r w:rsidRPr="00046160">
        <w:t>Chair</w:t>
      </w:r>
      <w:proofErr w:type="spellEnd"/>
      <w:r w:rsidRPr="001927EB">
        <w:t>)</w:t>
      </w:r>
      <w:r>
        <w:t>.</w:t>
      </w:r>
    </w:p>
    <w:p w:rsidR="00F33FD3" w:rsidRPr="00C51D8B" w:rsidRDefault="00F33FD3" w:rsidP="00F33FD3">
      <w:pPr>
        <w:pStyle w:val="SingleTxtG"/>
        <w:ind w:left="2268" w:hanging="1134"/>
      </w:pPr>
      <w:r>
        <w:t>2.2.3</w:t>
      </w:r>
      <w:r>
        <w:tab/>
        <w:t>Этап испытаний проходил следующим образом. Принявшие участие изготовители объединились в пары с техническими службами или органами по официальному утверждению. После того как были урегулированы организационные вопросы, изготовителям было отведено время для сбора необходимой информации. Между сторонами были проведены совещания в целях согласования методов оценки правил и обеспечения более структурированно</w:t>
      </w:r>
      <w:r>
        <w:t>го процесса сбора информации. В </w:t>
      </w:r>
      <w:r>
        <w:t xml:space="preserve">заключение была проведена соответствующая оценка. После этого договаривающиеся стороны и отраслевые органы направили Целевой группе свои отзывы. </w:t>
      </w:r>
    </w:p>
    <w:p w:rsidR="00F33FD3" w:rsidRPr="00C51D8B" w:rsidRDefault="00F33FD3" w:rsidP="00F33FD3">
      <w:pPr>
        <w:pStyle w:val="SingleTxtG"/>
        <w:ind w:left="2268" w:hanging="1134"/>
      </w:pPr>
      <w:r>
        <w:t>2.2.4</w:t>
      </w:r>
      <w:r>
        <w:tab/>
        <w:t xml:space="preserve">Проверка на данном этапе получила хорошую поддержку. В этой работе приняли участие </w:t>
      </w:r>
      <w:r w:rsidR="004800DC">
        <w:t>7</w:t>
      </w:r>
      <w:r>
        <w:t xml:space="preserve"> договаривающихся сторон (Германия, Испания, Нидерланды, Республика Корея, Соединенное Королевство Великобритании и Северной Ирландии, Франция и Япония) и свыше </w:t>
      </w:r>
      <w:r w:rsidR="004800DC">
        <w:t>15 </w:t>
      </w:r>
      <w:r>
        <w:t xml:space="preserve">изготовителей (категорий M и N). Один изготовитель смог работать с двумя техническими службами, что позволило обеспечить совместную оценку одной и той же информации. </w:t>
      </w:r>
    </w:p>
    <w:p w:rsidR="00F33FD3" w:rsidRPr="00C51D8B" w:rsidRDefault="00F33FD3" w:rsidP="00F33FD3">
      <w:pPr>
        <w:pStyle w:val="SingleTxtG"/>
        <w:ind w:left="2268" w:hanging="1134"/>
      </w:pPr>
      <w:r>
        <w:t>2.2.5</w:t>
      </w:r>
      <w:r>
        <w:tab/>
        <w:t xml:space="preserve">Поддержку на этапе испытания оказали Международная организация по стандартизации (ИСО) и Международное общество автомобильных инженеров (САE), которые предоставили совместный черновой экземпляр своего стандарта ISO/SAE 21434. Данный стандарт разработан </w:t>
      </w:r>
      <w:r>
        <w:lastRenderedPageBreak/>
        <w:t xml:space="preserve">в целях подкрепления обоснованности правил в области </w:t>
      </w:r>
      <w:proofErr w:type="spellStart"/>
      <w:r>
        <w:t>кибербезопасности</w:t>
      </w:r>
      <w:proofErr w:type="spellEnd"/>
      <w:r>
        <w:t>.</w:t>
      </w:r>
    </w:p>
    <w:p w:rsidR="00F33FD3" w:rsidRPr="00C51D8B" w:rsidRDefault="00F33FD3" w:rsidP="00F33FD3">
      <w:pPr>
        <w:pStyle w:val="H1G"/>
      </w:pPr>
      <w:r>
        <w:tab/>
      </w:r>
      <w:r>
        <w:t xml:space="preserve">2.3 </w:t>
      </w:r>
      <w:r>
        <w:tab/>
        <w:t>Итоги работы на этапе испытания</w:t>
      </w:r>
    </w:p>
    <w:p w:rsidR="00F33FD3" w:rsidRPr="00C51D8B" w:rsidRDefault="00F33FD3" w:rsidP="00F33FD3">
      <w:pPr>
        <w:pStyle w:val="SingleTxtG"/>
        <w:ind w:left="2268" w:hanging="1134"/>
      </w:pPr>
      <w:r>
        <w:t>2.3.1</w:t>
      </w:r>
      <w:r>
        <w:tab/>
        <w:t xml:space="preserve">Договаривающиеся Стороны сообщили о своем опыте проведения этапа испытаний на совещании Целевой группы ЕЭК ООН в Лейдене </w:t>
      </w:r>
      <w:r>
        <w:br/>
      </w:r>
      <w:r>
        <w:t>17</w:t>
      </w:r>
      <w:r w:rsidRPr="00F33FD3">
        <w:t>–</w:t>
      </w:r>
      <w:r>
        <w:t>18 июля 2019 года, а затем подтвердили свои мнения на совещ</w:t>
      </w:r>
      <w:r>
        <w:t>ании Целевой группы в Женеве 27–</w:t>
      </w:r>
      <w:r>
        <w:t xml:space="preserve">28 августа 2019 года. </w:t>
      </w:r>
    </w:p>
    <w:p w:rsidR="00F33FD3" w:rsidRPr="00C51D8B" w:rsidRDefault="00F33FD3" w:rsidP="00F33FD3">
      <w:pPr>
        <w:pStyle w:val="SingleTxtG"/>
        <w:ind w:left="2268" w:hanging="1134"/>
      </w:pPr>
      <w:r>
        <w:t>2.3.2</w:t>
      </w:r>
      <w:r>
        <w:tab/>
        <w:t>Доклады были представлены представителями договаривающихся сторон (Германия, Испания, Нидерланды, Республика Корея, Соединенное Королевство Великобритании и Северной Ирландии, Франция и Япония) и отрасли. Эти доклады размещены на вики-странице Целевой группы. В докладах подробно описываются области, в которых нужны дальнейшие указания, которые позволили бы улучшить толкование правил и, по возможности, общее впечатление от них. Обзор первоначальных выводов, сделанных на этапе испытаний, доступен под символом TFCS-TPCM2-14 (</w:t>
      </w:r>
      <w:proofErr w:type="spellStart"/>
      <w:r>
        <w:t>Sec</w:t>
      </w:r>
      <w:proofErr w:type="spellEnd"/>
      <w:r>
        <w:t xml:space="preserve">). </w:t>
      </w:r>
    </w:p>
    <w:p w:rsidR="00F33FD3" w:rsidRPr="00C51D8B" w:rsidRDefault="00F33FD3" w:rsidP="00F33FD3">
      <w:pPr>
        <w:pStyle w:val="SingleTxtG"/>
        <w:ind w:left="2268" w:hanging="1134"/>
      </w:pPr>
      <w:r>
        <w:t>2.3.3</w:t>
      </w:r>
      <w:r>
        <w:tab/>
        <w:t>В соответствии с этими выводами:</w:t>
      </w:r>
    </w:p>
    <w:p w:rsidR="00F33FD3" w:rsidRPr="00E26740" w:rsidRDefault="00F33FD3" w:rsidP="00F33FD3">
      <w:pPr>
        <w:pStyle w:val="Bullet2G"/>
      </w:pPr>
      <w:r>
        <w:t xml:space="preserve">первоначальная оценка является позитивной, </w:t>
      </w:r>
    </w:p>
    <w:p w:rsidR="00F33FD3" w:rsidRPr="00C51D8B" w:rsidRDefault="00F33FD3" w:rsidP="00F33FD3">
      <w:pPr>
        <w:pStyle w:val="Bullet2G"/>
      </w:pPr>
      <w:r>
        <w:t>общая концепция работает так, как и предполагалось.</w:t>
      </w:r>
    </w:p>
    <w:p w:rsidR="00F33FD3" w:rsidRPr="00C51D8B" w:rsidRDefault="00F33FD3" w:rsidP="00F33FD3">
      <w:pPr>
        <w:pStyle w:val="SingleTxtG"/>
        <w:ind w:left="2268" w:hanging="1134"/>
      </w:pPr>
      <w:r>
        <w:t>2.3.4</w:t>
      </w:r>
      <w:r>
        <w:tab/>
        <w:t xml:space="preserve">Подход, принятый участниками для оценки правил, и накопленный ими опыт нашел отражение в соответствующих «пояснительных документах». В них уточняются те технические службы или органы по официальному утверждению, которые нужны для того, чтобы подтверждать факт выполнения этих требований и дальнейшего учета мнения производителей и поставщиков. </w:t>
      </w:r>
    </w:p>
    <w:p w:rsidR="00F33FD3" w:rsidRPr="00C51D8B" w:rsidRDefault="00F33FD3" w:rsidP="00F33FD3">
      <w:pPr>
        <w:pStyle w:val="SingleTxtG"/>
        <w:ind w:left="2268" w:hanging="1134"/>
      </w:pPr>
      <w:r>
        <w:t>2.3.5</w:t>
      </w:r>
      <w:r>
        <w:tab/>
      </w:r>
      <w:proofErr w:type="gramStart"/>
      <w:r>
        <w:t>В</w:t>
      </w:r>
      <w:proofErr w:type="gramEnd"/>
      <w:r>
        <w:t xml:space="preserve"> этой связи были предложены соотве</w:t>
      </w:r>
      <w:r>
        <w:t>т</w:t>
      </w:r>
      <w:r>
        <w:t xml:space="preserve">ствующие уточнения и дополнения к нормативному тексту. Они строятся на основе изучения опыта реализации этого этапа испытаний и будут дополнительно изучены Целевой группой. Было высказано мнение о том, что некоторые данные, содержащиеся в пояснительном документе, можно было бы включить в правила в порядке повышения их правовой обоснованности.  </w:t>
      </w:r>
      <w:bookmarkStart w:id="5" w:name="_Hlk24136942"/>
      <w:bookmarkEnd w:id="5"/>
    </w:p>
    <w:p w:rsidR="00F33FD3" w:rsidRPr="00046160" w:rsidRDefault="00F33FD3" w:rsidP="00F33FD3">
      <w:pPr>
        <w:pStyle w:val="SingleTxtG"/>
        <w:ind w:left="2268" w:hanging="1134"/>
      </w:pPr>
      <w:r>
        <w:t>2.3.6</w:t>
      </w:r>
      <w:r>
        <w:tab/>
        <w:t>Результаты межлабораторных испытаний были представлены одним из участников из числа изготовителей. Они пришли к выводу о том, что:</w:t>
      </w:r>
    </w:p>
    <w:p w:rsidR="00F33FD3" w:rsidRPr="00323FBD" w:rsidRDefault="00F33FD3" w:rsidP="00F33FD3">
      <w:pPr>
        <w:pStyle w:val="Bullet2G"/>
      </w:pPr>
      <w:r>
        <w:t>различные технические службы/органы по официальному утверждению продемонстрировали одинаковое понимание правил,</w:t>
      </w:r>
    </w:p>
    <w:p w:rsidR="00F33FD3" w:rsidRPr="00C51D8B" w:rsidRDefault="00F33FD3" w:rsidP="00F33FD3">
      <w:pPr>
        <w:pStyle w:val="Bullet2G"/>
      </w:pPr>
      <w:r>
        <w:t xml:space="preserve">различные технические службы/органы по официальному утверждению продемонстрировали одинаковое понимание документации, в которой они нуждаются, </w:t>
      </w:r>
    </w:p>
    <w:p w:rsidR="00F33FD3" w:rsidRPr="00C51D8B" w:rsidRDefault="00F33FD3" w:rsidP="00F33FD3">
      <w:pPr>
        <w:pStyle w:val="Bullet2G"/>
      </w:pPr>
      <w:r>
        <w:t>проект ISO/SAE 21434 представляет собой полезное подспорье в оценке и согласовании подходов.</w:t>
      </w:r>
    </w:p>
    <w:p w:rsidR="00F33FD3" w:rsidRPr="00C51D8B" w:rsidRDefault="00F33FD3" w:rsidP="00F33FD3">
      <w:pPr>
        <w:pStyle w:val="SingleTxtG"/>
        <w:ind w:left="2268" w:hanging="1134"/>
      </w:pPr>
      <w:r>
        <w:t>2.3.7</w:t>
      </w:r>
      <w:r>
        <w:tab/>
        <w:t>Межлабораторные испытания дали положительный показательный результат, подтверждающий, что аналогичный вывод можно было бы сделать и в том случае, если бы был доступен полный пакет информации.</w:t>
      </w:r>
    </w:p>
    <w:p w:rsidR="00F33FD3" w:rsidRPr="00C51D8B" w:rsidRDefault="00F33FD3" w:rsidP="00F33FD3">
      <w:pPr>
        <w:pStyle w:val="SingleTxtG"/>
        <w:ind w:left="2268" w:hanging="1134"/>
      </w:pPr>
      <w:r>
        <w:t xml:space="preserve">2.3.8 </w:t>
      </w:r>
      <w:r>
        <w:tab/>
        <w:t xml:space="preserve">Общий вывод Целевой группы заключается в том, что эти правила работают так, как и планировалось, и будут приносить пользу. </w:t>
      </w:r>
    </w:p>
    <w:p w:rsidR="00F33FD3" w:rsidRPr="00C51D8B" w:rsidRDefault="00F33FD3" w:rsidP="00F33FD3">
      <w:pPr>
        <w:pStyle w:val="SingleTxtG"/>
        <w:ind w:left="2268" w:hanging="1134"/>
      </w:pPr>
      <w:r>
        <w:t>2.3.9</w:t>
      </w:r>
      <w:r>
        <w:tab/>
        <w:t xml:space="preserve">Этот этап испытаний завершился в качестве одного из направлений деятельности Целевой группы 30 августа 2019 года. </w:t>
      </w:r>
    </w:p>
    <w:p w:rsidR="00F33FD3" w:rsidRPr="00C51D8B" w:rsidRDefault="00F33FD3" w:rsidP="00F33FD3">
      <w:pPr>
        <w:pStyle w:val="HChG"/>
      </w:pPr>
      <w:r>
        <w:lastRenderedPageBreak/>
        <w:tab/>
      </w:r>
      <w:r w:rsidRPr="008226E1">
        <w:t>3</w:t>
      </w:r>
      <w:r>
        <w:t>.</w:t>
      </w:r>
      <w:r>
        <w:tab/>
        <w:t>Последующие шаги</w:t>
      </w:r>
    </w:p>
    <w:p w:rsidR="00F33FD3" w:rsidRPr="00C51D8B" w:rsidRDefault="00F33FD3" w:rsidP="00F33FD3">
      <w:pPr>
        <w:pStyle w:val="H1G"/>
      </w:pPr>
      <w:r>
        <w:tab/>
      </w:r>
      <w:r w:rsidRPr="008226E1">
        <w:t>3</w:t>
      </w:r>
      <w:r>
        <w:t>.1</w:t>
      </w:r>
      <w:r>
        <w:tab/>
        <w:t>Способы решения поднятых вопросов</w:t>
      </w:r>
    </w:p>
    <w:p w:rsidR="00F33FD3" w:rsidRPr="00C51D8B" w:rsidRDefault="00F33FD3" w:rsidP="00F33FD3">
      <w:pPr>
        <w:pStyle w:val="SingleTxtG"/>
        <w:ind w:left="2268" w:hanging="1134"/>
      </w:pPr>
      <w:r w:rsidRPr="008226E1">
        <w:t>3</w:t>
      </w:r>
      <w:r>
        <w:t>.1.1</w:t>
      </w:r>
      <w:r>
        <w:tab/>
        <w:t xml:space="preserve">Вопросы, поднятые участниками на этапе испытания, и предложенные изменения в ходе этого этапа были сведены воедино и представлены Целевой группе. Они были сначала обсуждены на </w:t>
      </w:r>
      <w:r>
        <w:t>пятнадцатом</w:t>
      </w:r>
      <w:r>
        <w:t xml:space="preserve"> и последующих совещаниях </w:t>
      </w:r>
      <w:r w:rsidRPr="00046160">
        <w:t>TFCS</w:t>
      </w:r>
      <w:r>
        <w:t>. Будущие совещания будут проведены в Япония (</w:t>
      </w:r>
      <w:r>
        <w:t>шестнадцатое</w:t>
      </w:r>
      <w:r>
        <w:t xml:space="preserve"> совещание </w:t>
      </w:r>
      <w:r w:rsidRPr="00046160">
        <w:t>TFCS</w:t>
      </w:r>
      <w:r>
        <w:t xml:space="preserve"> в ноябре 2019 года) и в Соединенных Штатах Америки (</w:t>
      </w:r>
      <w:r>
        <w:t>семнадцатое</w:t>
      </w:r>
      <w:r>
        <w:t xml:space="preserve"> совещание </w:t>
      </w:r>
      <w:r w:rsidRPr="00046160">
        <w:t>TFCS</w:t>
      </w:r>
      <w:r>
        <w:t xml:space="preserve"> в январе 2020 </w:t>
      </w:r>
      <w:r>
        <w:t>года) и посвящены завершению обсуждений по этим вопросам.</w:t>
      </w:r>
    </w:p>
    <w:p w:rsidR="00F33FD3" w:rsidRPr="00C51D8B" w:rsidRDefault="00F33FD3" w:rsidP="00F33FD3">
      <w:pPr>
        <w:pStyle w:val="H1G"/>
      </w:pPr>
      <w:r>
        <w:tab/>
      </w:r>
      <w:r w:rsidRPr="008226E1">
        <w:t>3</w:t>
      </w:r>
      <w:r>
        <w:t>.2</w:t>
      </w:r>
      <w:r>
        <w:tab/>
        <w:t>Конкретные вопросы для рассмотрения Целевой группой</w:t>
      </w:r>
    </w:p>
    <w:p w:rsidR="00F33FD3" w:rsidRPr="00C51D8B" w:rsidRDefault="00F33FD3" w:rsidP="00F33FD3">
      <w:pPr>
        <w:pStyle w:val="SingleTxtG"/>
        <w:ind w:left="2268" w:hanging="1134"/>
      </w:pPr>
      <w:r w:rsidRPr="008226E1">
        <w:t>3</w:t>
      </w:r>
      <w:r>
        <w:t>.2.1</w:t>
      </w:r>
      <w:r>
        <w:tab/>
      </w:r>
      <w:r>
        <w:rPr>
          <w:b/>
          <w:bCs/>
        </w:rPr>
        <w:t>Внесение изменений в законодательство</w:t>
      </w:r>
      <w:r>
        <w:t xml:space="preserve"> </w:t>
      </w:r>
      <w:r w:rsidR="00D646BF">
        <w:t>–</w:t>
      </w:r>
      <w:r>
        <w:t xml:space="preserve"> по итогам этапа испытаний были предложены соответствующие поправки в действующие требования. Целевая группа завершит обзор этих, а также других замечаний, которые будут получены впоследствии, на своем следующем совещании в ноябре. Это позволит GRVA продолжить свою работу и, возможно, принять соответствующие </w:t>
      </w:r>
      <w:r w:rsidR="00D646BF">
        <w:t>нормативные акты в феврале 2020 </w:t>
      </w:r>
      <w:r>
        <w:t xml:space="preserve">года. </w:t>
      </w:r>
    </w:p>
    <w:p w:rsidR="00F33FD3" w:rsidRPr="00C51D8B" w:rsidRDefault="00F33FD3" w:rsidP="00F33FD3">
      <w:pPr>
        <w:pStyle w:val="SingleTxtG"/>
        <w:ind w:left="2268" w:hanging="1134"/>
      </w:pPr>
      <w:r w:rsidRPr="008226E1">
        <w:t>3</w:t>
      </w:r>
      <w:r>
        <w:t>.2.2</w:t>
      </w:r>
      <w:r>
        <w:tab/>
      </w:r>
      <w:r>
        <w:rPr>
          <w:b/>
          <w:bCs/>
        </w:rPr>
        <w:t>Функции технического обслуживания</w:t>
      </w:r>
      <w:r>
        <w:t xml:space="preserve"> – поскольку речь идет о новых нормативных положениях, был поднят вопрос о том, какие виды специализации потребуются компетентным органам. Хотя было отмечено, что компетенция органов по официальному утверждению и технических служб является прерогативой Договаривающихся сторон Соглашения 1958 года (в соответствии с положениями таблицы 2 Соглашения), все же участники смогли вынести некоторые рекомендации, которые будут рассмотрены впоследствии Целевой группой более детально. Опыт, накопленный на этапе испытаний, показывает, что оценку можно было бы провести с помощью соответствующего ведущего ревизора (с целью убедиться в том, что все вопросы решены) и специальных экспертов (с целью изучить конкретные вопросы). В этой связи было отмечено, что в настоящее время есть организации, такие как Европейское агентство по сетевой и информационной безопасности (ЕНИСА) в Европе, которые могли бы помочь в поиске таких экспертов. Целевая группа продолжит изучение этого вопроса до следующего совещания GRVA.</w:t>
      </w:r>
    </w:p>
    <w:p w:rsidR="00F33FD3" w:rsidRPr="00C51D8B" w:rsidRDefault="00F33FD3" w:rsidP="00F33FD3">
      <w:pPr>
        <w:pStyle w:val="SingleTxtG"/>
        <w:ind w:left="2268" w:hanging="1134"/>
      </w:pPr>
      <w:r w:rsidRPr="008226E1">
        <w:t>3</w:t>
      </w:r>
      <w:r>
        <w:t>.2.3</w:t>
      </w:r>
      <w:r>
        <w:tab/>
      </w:r>
      <w:r>
        <w:rPr>
          <w:b/>
          <w:bCs/>
        </w:rPr>
        <w:t xml:space="preserve">Обновление программного обеспечения для автомобилей, производство которых «окончательно прекращено» </w:t>
      </w:r>
      <w:r>
        <w:t xml:space="preserve">– в этой связи был поднят вопрос по поводу обновлений для тех типов транспортных средств, производство которых «окончательно прекращено», поскольку в рамках Соглашения 1958 года такой прецедент не возникал. Целевая группа предложила свои рекомендации по поводу обновления программного обеспечения на этапе после производства в порядке оказания помощи национальным/региональным органам. </w:t>
      </w:r>
    </w:p>
    <w:p w:rsidR="00F33FD3" w:rsidRPr="00C51D8B" w:rsidRDefault="00F33FD3" w:rsidP="00F33FD3">
      <w:pPr>
        <w:pStyle w:val="SingleTxtG"/>
        <w:ind w:left="2268" w:hanging="1134"/>
      </w:pPr>
      <w:r w:rsidRPr="008226E1">
        <w:t>3</w:t>
      </w:r>
      <w:r>
        <w:t xml:space="preserve">.2.4 </w:t>
      </w:r>
      <w:r>
        <w:tab/>
      </w:r>
      <w:r w:rsidR="00D646BF">
        <w:rPr>
          <w:b/>
          <w:bCs/>
        </w:rPr>
        <w:t>Критерии «</w:t>
      </w:r>
      <w:r>
        <w:rPr>
          <w:b/>
          <w:bCs/>
        </w:rPr>
        <w:t>прохождения-</w:t>
      </w:r>
      <w:proofErr w:type="spellStart"/>
      <w:r>
        <w:rPr>
          <w:b/>
          <w:bCs/>
        </w:rPr>
        <w:t>непрохождения</w:t>
      </w:r>
      <w:proofErr w:type="spellEnd"/>
      <w:r w:rsidR="00D646BF">
        <w:rPr>
          <w:b/>
          <w:bCs/>
        </w:rPr>
        <w:t>»</w:t>
      </w:r>
      <w:r>
        <w:rPr>
          <w:b/>
          <w:bCs/>
        </w:rPr>
        <w:t xml:space="preserve"> требований</w:t>
      </w:r>
      <w:r>
        <w:t xml:space="preserve"> – данные правила определяют процессы, которые должны быть введены в действие, и требуют от изготовителей доказательства того, что они у них налажены и что они их применяют к соответствующим типам транспортных средств. Это позволяет проводить оценку и ревизию на основе фактических данных с целью убедиться в том, что эти требования выполняются. В пояснительных документах содержатся указания относительно того, что необходимо сделать для подтверждения факта выполнения конкретных требований. Дополнительные требования и спецификации можно также включить в текст правил в целях </w:t>
      </w:r>
      <w:r>
        <w:lastRenderedPageBreak/>
        <w:t>подкрепления правовой обоснованности. Эта работа будет завершена на январском совещании, которое состоится до следующей сессии GRVA.</w:t>
      </w:r>
    </w:p>
    <w:p w:rsidR="00F33FD3" w:rsidRPr="00C51D8B" w:rsidRDefault="00F33FD3" w:rsidP="00F33FD3">
      <w:pPr>
        <w:pStyle w:val="SingleTxtG"/>
        <w:ind w:left="2268" w:hanging="1134"/>
      </w:pPr>
      <w:r w:rsidRPr="008226E1">
        <w:t>3</w:t>
      </w:r>
      <w:r>
        <w:t xml:space="preserve">.2.5 </w:t>
      </w:r>
      <w:r>
        <w:tab/>
      </w:r>
      <w:r>
        <w:rPr>
          <w:b/>
          <w:bCs/>
        </w:rPr>
        <w:t>Подход к управлению рисками</w:t>
      </w:r>
      <w:r>
        <w:t xml:space="preserve"> – было отмечено, что принятый подход к </w:t>
      </w:r>
      <w:proofErr w:type="spellStart"/>
      <w:r>
        <w:t>кибербезопасности</w:t>
      </w:r>
      <w:proofErr w:type="spellEnd"/>
      <w:r>
        <w:t xml:space="preserve"> заключается в управлении рисками как на уровне проектирования транспортных средств, так и на уровне соблюдения требования, в соответствии с которым изготовители обязаны иметь соответствующий план реагирования на случай необходимости дальнейших действий. Это соответствует передовой практике и может быть рекомендовано для секторальной инициативы по </w:t>
      </w:r>
      <w:proofErr w:type="spellStart"/>
      <w:r>
        <w:t>кибербезопасности</w:t>
      </w:r>
      <w:proofErr w:type="spellEnd"/>
      <w:r>
        <w:t xml:space="preserve"> Рабочей группы ЕЭК ООН по политике в области стандартизации и сотрудничества по вопросам нормативного регулирования (WP.6).</w:t>
      </w:r>
    </w:p>
    <w:p w:rsidR="00F33FD3" w:rsidRPr="00C51D8B" w:rsidRDefault="00F33FD3" w:rsidP="00F33FD3">
      <w:pPr>
        <w:pStyle w:val="SingleTxtG"/>
        <w:ind w:left="2268" w:hanging="1134"/>
      </w:pPr>
      <w:r w:rsidRPr="008226E1">
        <w:t>3</w:t>
      </w:r>
      <w:r>
        <w:t>.2.6</w:t>
      </w:r>
      <w:r>
        <w:tab/>
      </w:r>
      <w:r>
        <w:rPr>
          <w:b/>
          <w:bCs/>
        </w:rPr>
        <w:t>Методы обеспечения согласованности оценок различными техническими службами</w:t>
      </w:r>
      <w:r>
        <w:t xml:space="preserve"> – результаты межлабораторных испытаний указывают на то, что различные технические службы будут приходить к одинаковым выводам на основе одних и тех же документов. Дополнительная поддержка в целях согласования оказывается по линии разработки соответствующих пояснительных документов и стандарта ISO/SAE 21434. Работа над пояснительными документами и текстом правил будет продолжена на январском совещании.</w:t>
      </w:r>
    </w:p>
    <w:p w:rsidR="00F33FD3" w:rsidRPr="00C51D8B" w:rsidRDefault="00F33FD3" w:rsidP="00F33FD3">
      <w:pPr>
        <w:pStyle w:val="SingleTxtG"/>
        <w:ind w:left="2268" w:hanging="1134"/>
      </w:pPr>
      <w:r w:rsidRPr="008226E1">
        <w:t>3</w:t>
      </w:r>
      <w:r>
        <w:t>.2.7</w:t>
      </w:r>
      <w:r>
        <w:tab/>
      </w:r>
      <w:r>
        <w:rPr>
          <w:b/>
          <w:bCs/>
        </w:rPr>
        <w:t>Тип транспортного средства</w:t>
      </w:r>
      <w:r>
        <w:t xml:space="preserve"> – был затронут вопрос о том, на какие транспортные средства должны распространяться на первоначальном этапе данные правила. Этот вопрос был впоследствии обсужден и решен на уровне GRVA.</w:t>
      </w:r>
    </w:p>
    <w:p w:rsidR="00F33FD3" w:rsidRPr="00C51D8B" w:rsidRDefault="00F33FD3" w:rsidP="00F33FD3">
      <w:pPr>
        <w:pStyle w:val="SingleTxtG"/>
        <w:ind w:left="2268" w:hanging="1134"/>
      </w:pPr>
      <w:r w:rsidRPr="00FD6AF4">
        <w:t>3</w:t>
      </w:r>
      <w:r>
        <w:t>.2.8</w:t>
      </w:r>
      <w:r>
        <w:tab/>
      </w:r>
      <w:r>
        <w:rPr>
          <w:b/>
          <w:bCs/>
        </w:rPr>
        <w:t>Альтернативные методы идентификации программного обеспечения на транспортном средстве</w:t>
      </w:r>
      <w:r>
        <w:t xml:space="preserve"> – наряду с существующим предложением был принят альтернативный метод применения </w:t>
      </w:r>
      <w:r>
        <w:rPr>
          <w:i/>
          <w:iCs/>
        </w:rPr>
        <w:t xml:space="preserve">Идентификационного номера программного обеспечения, соответствующего Правилам ООН № Х </w:t>
      </w:r>
      <w:r>
        <w:t xml:space="preserve">(RXSWIN). Он обеспечивает </w:t>
      </w:r>
      <w:proofErr w:type="spellStart"/>
      <w:r>
        <w:t>бóльшую</w:t>
      </w:r>
      <w:proofErr w:type="spellEnd"/>
      <w:r>
        <w:t xml:space="preserve"> гибкость в случ</w:t>
      </w:r>
      <w:bookmarkStart w:id="6" w:name="_GoBack"/>
      <w:bookmarkEnd w:id="6"/>
      <w:r>
        <w:t>ае идентификации программного обеспечения на том или ином транспортном средстве, на которое распространяется действие данных правил. Целевая группа рассмотрит возможность принятия этого предложения на своем следующем совещании в ноябре.</w:t>
      </w:r>
    </w:p>
    <w:p w:rsidR="00F33FD3" w:rsidRPr="00C51D8B" w:rsidRDefault="00D646BF" w:rsidP="00D646BF">
      <w:pPr>
        <w:pStyle w:val="H1G"/>
      </w:pPr>
      <w:r>
        <w:tab/>
      </w:r>
      <w:r w:rsidR="00F33FD3" w:rsidRPr="008226E1">
        <w:t>3</w:t>
      </w:r>
      <w:r w:rsidR="00F33FD3">
        <w:t>.3</w:t>
      </w:r>
      <w:r w:rsidR="00F33FD3">
        <w:tab/>
        <w:t>Итоги работы на этапе испытания</w:t>
      </w:r>
    </w:p>
    <w:p w:rsidR="00F33FD3" w:rsidRDefault="00F33FD3" w:rsidP="00F33FD3">
      <w:pPr>
        <w:pStyle w:val="SingleTxtG"/>
        <w:ind w:left="2268" w:hanging="1134"/>
      </w:pPr>
      <w:r w:rsidRPr="008226E1">
        <w:t>3</w:t>
      </w:r>
      <w:r>
        <w:t>.3.1</w:t>
      </w:r>
      <w:r>
        <w:tab/>
        <w:t>Работа на этом этапе испытания позволила уточнить данное нормативное предложение и показать, что эта функция действует так, как и планировалось. Поправки к правилам и работа над пояснительным документом позволят устранить проблемы, поднятые во время испытательного этапа применительно к конкретным аспектам осуществления предлагаемого нормативного акта</w:t>
      </w:r>
      <w:r w:rsidRPr="00445CEB">
        <w:t>.</w:t>
      </w:r>
    </w:p>
    <w:p w:rsidR="00F33FD3" w:rsidRPr="00F33FD3" w:rsidRDefault="00F33FD3" w:rsidP="00F33FD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33FD3" w:rsidRPr="00F33FD3" w:rsidSect="00F33FD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6C" w:rsidRPr="00A312BC" w:rsidRDefault="001B146C" w:rsidP="00A312BC"/>
  </w:endnote>
  <w:endnote w:type="continuationSeparator" w:id="0">
    <w:p w:rsidR="001B146C" w:rsidRPr="00A312BC" w:rsidRDefault="001B146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D3" w:rsidRPr="00F33FD3" w:rsidRDefault="00F33FD3">
    <w:pPr>
      <w:pStyle w:val="a8"/>
    </w:pPr>
    <w:r w:rsidRPr="00F33FD3">
      <w:rPr>
        <w:b/>
        <w:sz w:val="18"/>
      </w:rPr>
      <w:fldChar w:fldCharType="begin"/>
    </w:r>
    <w:r w:rsidRPr="00F33FD3">
      <w:rPr>
        <w:b/>
        <w:sz w:val="18"/>
      </w:rPr>
      <w:instrText xml:space="preserve"> PAGE  \* MERGEFORMAT </w:instrText>
    </w:r>
    <w:r w:rsidRPr="00F33FD3">
      <w:rPr>
        <w:b/>
        <w:sz w:val="18"/>
      </w:rPr>
      <w:fldChar w:fldCharType="separate"/>
    </w:r>
    <w:r w:rsidR="004B36D6">
      <w:rPr>
        <w:b/>
        <w:noProof/>
        <w:sz w:val="18"/>
      </w:rPr>
      <w:t>6</w:t>
    </w:r>
    <w:r w:rsidRPr="00F33FD3">
      <w:rPr>
        <w:b/>
        <w:sz w:val="18"/>
      </w:rPr>
      <w:fldChar w:fldCharType="end"/>
    </w:r>
    <w:r>
      <w:rPr>
        <w:b/>
        <w:sz w:val="18"/>
      </w:rPr>
      <w:tab/>
    </w:r>
    <w:r>
      <w:t>GE.19-20569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D3" w:rsidRPr="00F33FD3" w:rsidRDefault="00F33FD3" w:rsidP="00F33FD3">
    <w:pPr>
      <w:pStyle w:val="a8"/>
      <w:tabs>
        <w:tab w:val="clear" w:pos="9639"/>
        <w:tab w:val="right" w:pos="9638"/>
      </w:tabs>
      <w:rPr>
        <w:b/>
        <w:sz w:val="18"/>
      </w:rPr>
    </w:pPr>
    <w:r>
      <w:t>GE.19-20569</w:t>
    </w:r>
    <w:r>
      <w:tab/>
    </w:r>
    <w:r w:rsidRPr="00F33FD3">
      <w:rPr>
        <w:b/>
        <w:sz w:val="18"/>
      </w:rPr>
      <w:fldChar w:fldCharType="begin"/>
    </w:r>
    <w:r w:rsidRPr="00F33FD3">
      <w:rPr>
        <w:b/>
        <w:sz w:val="18"/>
      </w:rPr>
      <w:instrText xml:space="preserve"> PAGE  \* MERGEFORMAT </w:instrText>
    </w:r>
    <w:r w:rsidRPr="00F33FD3">
      <w:rPr>
        <w:b/>
        <w:sz w:val="18"/>
      </w:rPr>
      <w:fldChar w:fldCharType="separate"/>
    </w:r>
    <w:r w:rsidR="004B36D6">
      <w:rPr>
        <w:b/>
        <w:noProof/>
        <w:sz w:val="18"/>
      </w:rPr>
      <w:t>5</w:t>
    </w:r>
    <w:r w:rsidRPr="00F33F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33FD3" w:rsidRDefault="00F33FD3" w:rsidP="00F33FD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20569  (</w:t>
    </w:r>
    <w:proofErr w:type="gramEnd"/>
    <w:r>
      <w:t>R)</w:t>
    </w:r>
    <w:r>
      <w:rPr>
        <w:lang w:val="en-US"/>
      </w:rPr>
      <w:t xml:space="preserve">  111219  121219</w:t>
    </w:r>
    <w:r>
      <w:br/>
    </w:r>
    <w:r w:rsidRPr="00F33FD3">
      <w:rPr>
        <w:rFonts w:ascii="C39T30Lfz" w:hAnsi="C39T30Lfz"/>
        <w:kern w:val="14"/>
        <w:sz w:val="56"/>
      </w:rPr>
      <w:t></w:t>
    </w:r>
    <w:r w:rsidRPr="00F33FD3">
      <w:rPr>
        <w:rFonts w:ascii="C39T30Lfz" w:hAnsi="C39T30Lfz"/>
        <w:kern w:val="14"/>
        <w:sz w:val="56"/>
      </w:rPr>
      <w:t></w:t>
    </w:r>
    <w:r w:rsidRPr="00F33FD3">
      <w:rPr>
        <w:rFonts w:ascii="C39T30Lfz" w:hAnsi="C39T30Lfz"/>
        <w:kern w:val="14"/>
        <w:sz w:val="56"/>
      </w:rPr>
      <w:t></w:t>
    </w:r>
    <w:r w:rsidRPr="00F33FD3">
      <w:rPr>
        <w:rFonts w:ascii="C39T30Lfz" w:hAnsi="C39T30Lfz"/>
        <w:kern w:val="14"/>
        <w:sz w:val="56"/>
      </w:rPr>
      <w:t></w:t>
    </w:r>
    <w:r w:rsidRPr="00F33FD3">
      <w:rPr>
        <w:rFonts w:ascii="C39T30Lfz" w:hAnsi="C39T30Lfz"/>
        <w:kern w:val="14"/>
        <w:sz w:val="56"/>
      </w:rPr>
      <w:t></w:t>
    </w:r>
    <w:r w:rsidRPr="00F33FD3">
      <w:rPr>
        <w:rFonts w:ascii="C39T30Lfz" w:hAnsi="C39T30Lfz"/>
        <w:kern w:val="14"/>
        <w:sz w:val="56"/>
      </w:rPr>
      <w:t></w:t>
    </w:r>
    <w:r w:rsidRPr="00F33FD3">
      <w:rPr>
        <w:rFonts w:ascii="C39T30Lfz" w:hAnsi="C39T30Lfz"/>
        <w:kern w:val="14"/>
        <w:sz w:val="56"/>
      </w:rPr>
      <w:t></w:t>
    </w:r>
    <w:r w:rsidRPr="00F33FD3">
      <w:rPr>
        <w:rFonts w:ascii="C39T30Lfz" w:hAnsi="C39T30Lfz"/>
        <w:kern w:val="14"/>
        <w:sz w:val="56"/>
      </w:rPr>
      <w:t></w:t>
    </w:r>
    <w:r w:rsidRPr="00F33FD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20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20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6C" w:rsidRPr="001075E9" w:rsidRDefault="001B146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B146C" w:rsidRDefault="001B146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33FD3" w:rsidRPr="00C51D8B" w:rsidRDefault="00F33FD3" w:rsidP="00F33FD3">
      <w:pPr>
        <w:pStyle w:val="ad"/>
      </w:pPr>
      <w:r>
        <w:tab/>
      </w:r>
      <w:r w:rsidRPr="00F33FD3">
        <w:rPr>
          <w:sz w:val="20"/>
        </w:rPr>
        <w:t>*</w:t>
      </w:r>
      <w:r>
        <w:tab/>
        <w:t xml:space="preserve">Прежнее название: </w:t>
      </w:r>
      <w:r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  <w:footnote w:id="2">
    <w:p w:rsidR="00F33FD3" w:rsidRPr="00EA475E" w:rsidRDefault="00F33FD3" w:rsidP="00F33FD3">
      <w:pPr>
        <w:pStyle w:val="ad"/>
      </w:pPr>
      <w:r>
        <w:tab/>
      </w:r>
      <w:r w:rsidRPr="00F33FD3">
        <w:rPr>
          <w:sz w:val="20"/>
        </w:rPr>
        <w:t>*</w:t>
      </w:r>
      <w:r w:rsidRPr="00F33FD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D3" w:rsidRPr="00F33FD3" w:rsidRDefault="00F33FD3">
    <w:pPr>
      <w:pStyle w:val="a5"/>
    </w:pPr>
    <w:fldSimple w:instr=" TITLE  \* MERGEFORMAT ">
      <w:r w:rsidR="004B36D6">
        <w:t>ECE/TRANS/WP.29/GRVA/2020/6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D3" w:rsidRPr="00F33FD3" w:rsidRDefault="00F33FD3" w:rsidP="00F33FD3">
    <w:pPr>
      <w:pStyle w:val="a5"/>
      <w:jc w:val="right"/>
    </w:pPr>
    <w:fldSimple w:instr=" TITLE  \* MERGEFORMAT ">
      <w:r w:rsidR="004B36D6">
        <w:t>ECE/TRANS/WP.29/GRVA/2020/6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3640"/>
    <w:multiLevelType w:val="hybridMultilevel"/>
    <w:tmpl w:val="A80EAF0E"/>
    <w:lvl w:ilvl="0" w:tplc="080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  <w:lvlOverride w:ilvl="0">
      <w:lvl w:ilvl="0" w:tplc="08090001">
        <w:start w:val="1"/>
        <w:numFmt w:val="bullet"/>
        <w:lvlText w:val=""/>
        <w:lvlJc w:val="left"/>
        <w:pPr>
          <w:tabs>
            <w:tab w:val="num" w:pos="2628"/>
          </w:tabs>
          <w:ind w:left="2628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6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146C"/>
    <w:rsid w:val="001B3EF6"/>
    <w:rsid w:val="001C7A89"/>
    <w:rsid w:val="002228C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00DC"/>
    <w:rsid w:val="004B36D6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6FD0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2799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567C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46BF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3FD3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B3E7A0"/>
  <w15:docId w15:val="{1260237B-BF84-4DB7-ACFB-EC26E384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Block Text"/>
    <w:basedOn w:val="a"/>
    <w:semiHidden/>
    <w:rsid w:val="00F33FD3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rsid w:val="00F33FD3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F33FD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F33FD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1922</Words>
  <Characters>13417</Characters>
  <Application>Microsoft Office Word</Application>
  <DocSecurity>0</DocSecurity>
  <Lines>276</Lines>
  <Paragraphs>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ECE/TRANS/WP.29/GRVA/2020/6</vt:lpstr>
      <vt:lpstr>A/</vt:lpstr>
      <vt:lpstr>A/</vt:lpstr>
    </vt:vector>
  </TitlesOfParts>
  <Company>DCM</Company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ECE/TRANS/WP.29/GRVA/2020/6</dc:title>
  <dc:subject/>
  <dc:creator>Marina KOROTKOVA</dc:creator>
  <cp:keywords/>
  <cp:lastModifiedBy>Marina Korotkova</cp:lastModifiedBy>
  <cp:revision>3</cp:revision>
  <cp:lastPrinted>2019-12-12T08:41:00Z</cp:lastPrinted>
  <dcterms:created xsi:type="dcterms:W3CDTF">2019-12-12T08:41:00Z</dcterms:created>
  <dcterms:modified xsi:type="dcterms:W3CDTF">2019-12-12T08:42:00Z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