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078A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FB4D80" w14:textId="77777777" w:rsidR="002D5AAC" w:rsidRDefault="002D5AAC" w:rsidP="005206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D919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A18F6A" w14:textId="77777777" w:rsidR="002D5AAC" w:rsidRDefault="005206DD" w:rsidP="005206DD">
            <w:pPr>
              <w:jc w:val="right"/>
            </w:pPr>
            <w:r w:rsidRPr="005206DD">
              <w:rPr>
                <w:sz w:val="40"/>
              </w:rPr>
              <w:t>ECE</w:t>
            </w:r>
            <w:r>
              <w:t>/TRANS/WP.29/GRSG/2020/11</w:t>
            </w:r>
          </w:p>
        </w:tc>
      </w:tr>
      <w:tr w:rsidR="002D5AAC" w14:paraId="7A7D77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5E3A6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223821" wp14:editId="6ED018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F2405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9AACFD" w14:textId="77777777" w:rsidR="002D5AAC" w:rsidRDefault="005206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EB0AB3" w14:textId="77777777" w:rsidR="005206DD" w:rsidRDefault="005206DD" w:rsidP="00520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14:paraId="7C0655FB" w14:textId="77777777" w:rsidR="005206DD" w:rsidRDefault="005206DD" w:rsidP="00520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1D8B80" w14:textId="77777777" w:rsidR="005206DD" w:rsidRPr="008D53B6" w:rsidRDefault="005206DD" w:rsidP="00520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510236" w14:textId="77777777" w:rsidR="005206D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CEB2F3" w14:textId="77777777" w:rsidR="005206DD" w:rsidRPr="00FD10B0" w:rsidRDefault="005206DD" w:rsidP="005206DD">
      <w:pPr>
        <w:spacing w:before="120"/>
        <w:rPr>
          <w:sz w:val="28"/>
          <w:szCs w:val="28"/>
        </w:rPr>
      </w:pPr>
      <w:r w:rsidRPr="00FD10B0">
        <w:rPr>
          <w:sz w:val="28"/>
          <w:szCs w:val="28"/>
        </w:rPr>
        <w:t>Комитет по внутреннему транспорту</w:t>
      </w:r>
    </w:p>
    <w:p w14:paraId="24B3EC3F" w14:textId="77777777" w:rsidR="005206DD" w:rsidRPr="00FD10B0" w:rsidRDefault="005206DD" w:rsidP="005206DD">
      <w:pPr>
        <w:spacing w:before="120"/>
        <w:rPr>
          <w:b/>
          <w:sz w:val="24"/>
          <w:szCs w:val="24"/>
        </w:rPr>
      </w:pPr>
      <w:r w:rsidRPr="00FD10B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74432">
        <w:rPr>
          <w:b/>
          <w:bCs/>
          <w:sz w:val="24"/>
          <w:szCs w:val="24"/>
        </w:rPr>
        <w:br/>
      </w:r>
      <w:r w:rsidRPr="00FD10B0">
        <w:rPr>
          <w:b/>
          <w:bCs/>
          <w:sz w:val="24"/>
          <w:szCs w:val="24"/>
        </w:rPr>
        <w:t>в области транспортных средств</w:t>
      </w:r>
    </w:p>
    <w:p w14:paraId="257AE9CE" w14:textId="77777777" w:rsidR="005206DD" w:rsidRPr="00FD10B0" w:rsidRDefault="005206DD" w:rsidP="005206DD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 w:rsidR="00374432"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77685129" w14:textId="77777777" w:rsidR="005206DD" w:rsidRPr="00FD10B0" w:rsidRDefault="005206DD" w:rsidP="005206DD">
      <w:pPr>
        <w:spacing w:before="120"/>
        <w:rPr>
          <w:b/>
        </w:rPr>
      </w:pPr>
      <w:r>
        <w:rPr>
          <w:b/>
          <w:bCs/>
        </w:rPr>
        <w:t>118-я сессия</w:t>
      </w:r>
    </w:p>
    <w:p w14:paraId="77FE7D1D" w14:textId="77777777" w:rsidR="005206DD" w:rsidRPr="00FD10B0" w:rsidRDefault="005206DD" w:rsidP="005206DD">
      <w:r>
        <w:t xml:space="preserve">Женева, 30 марта </w:t>
      </w:r>
      <w:r w:rsidR="00374432">
        <w:rPr>
          <w:lang w:val="en-US"/>
        </w:rPr>
        <w:t>–</w:t>
      </w:r>
      <w:r>
        <w:t xml:space="preserve"> 3 апреля 2020 года</w:t>
      </w:r>
    </w:p>
    <w:p w14:paraId="7912BF09" w14:textId="77777777" w:rsidR="005206DD" w:rsidRPr="00FD10B0" w:rsidRDefault="005206DD" w:rsidP="005206DD">
      <w:r>
        <w:t>Пункт 11 предварительной повестки дня</w:t>
      </w:r>
    </w:p>
    <w:p w14:paraId="5F37C610" w14:textId="77777777" w:rsidR="005206DD" w:rsidRPr="00FD10B0" w:rsidRDefault="005206DD" w:rsidP="005206DD">
      <w:r>
        <w:rPr>
          <w:b/>
          <w:bCs/>
        </w:rPr>
        <w:t>Правила № 125 ООН (поле обзора водителя спереди)</w:t>
      </w:r>
    </w:p>
    <w:p w14:paraId="79B62F26" w14:textId="77777777" w:rsidR="005206DD" w:rsidRPr="00FD10B0" w:rsidRDefault="005206DD" w:rsidP="005206DD">
      <w:pPr>
        <w:pStyle w:val="HChG"/>
        <w:ind w:hanging="283"/>
      </w:pPr>
      <w:r w:rsidRPr="00FD10B0">
        <w:rPr>
          <w:lang w:val="en-US"/>
        </w:rPr>
        <w:tab/>
      </w:r>
      <w:r>
        <w:rPr>
          <w:bCs/>
        </w:rPr>
        <w:t>Предложение по дополнению 2 к поправкам серии 01 к</w:t>
      </w:r>
      <w:r w:rsidR="00374432">
        <w:rPr>
          <w:bCs/>
          <w:lang w:val="en-US"/>
        </w:rPr>
        <w:t> </w:t>
      </w:r>
      <w:r>
        <w:rPr>
          <w:bCs/>
        </w:rPr>
        <w:t>Правилам № 125 ООН</w:t>
      </w:r>
    </w:p>
    <w:p w14:paraId="5D3BAEC0" w14:textId="60EE6F7B" w:rsidR="005206DD" w:rsidRPr="00FD10B0" w:rsidRDefault="005206DD" w:rsidP="005206DD">
      <w:pPr>
        <w:pStyle w:val="H1G"/>
      </w:pPr>
      <w:r>
        <w:tab/>
      </w:r>
      <w:r>
        <w:tab/>
      </w:r>
      <w:r>
        <w:rPr>
          <w:bCs/>
        </w:rPr>
        <w:t>Представлено экспертом от Европейской комиссии</w:t>
      </w:r>
      <w:r w:rsidR="004D310A" w:rsidRPr="004D310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5ABF5F5" w14:textId="77777777" w:rsidR="005206DD" w:rsidRPr="00FD10B0" w:rsidRDefault="005206DD" w:rsidP="005206DD">
      <w:pPr>
        <w:pStyle w:val="SingleTxtG"/>
        <w:ind w:firstLine="567"/>
        <w:rPr>
          <w:sz w:val="21"/>
          <w:szCs w:val="21"/>
        </w:rPr>
      </w:pPr>
      <w:r>
        <w:t>Воспроизведенный ниже текст был подготовлен экспертом от Европейской комиссии в целях распространения сферы применения действующих требований на поле обзора водителей транспортных средств категории N</w:t>
      </w:r>
      <w:r>
        <w:rPr>
          <w:vertAlign w:val="subscript"/>
        </w:rPr>
        <w:t>1</w:t>
      </w:r>
      <w:r>
        <w:t xml:space="preserve">. Изменения к действующему тексту данных Правил ООН выделены </w:t>
      </w:r>
      <w:r>
        <w:rPr>
          <w:b/>
          <w:bCs/>
        </w:rPr>
        <w:t xml:space="preserve">жирным </w:t>
      </w:r>
      <w:r>
        <w:t>шрифтом.</w:t>
      </w:r>
    </w:p>
    <w:p w14:paraId="41079BA9" w14:textId="77777777" w:rsidR="005206DD" w:rsidRPr="00FD10B0" w:rsidRDefault="005206DD" w:rsidP="005206DD">
      <w:pPr>
        <w:suppressAutoHyphens w:val="0"/>
        <w:spacing w:line="240" w:lineRule="auto"/>
        <w:rPr>
          <w:sz w:val="21"/>
          <w:szCs w:val="21"/>
        </w:rPr>
      </w:pPr>
      <w:r w:rsidRPr="00FD10B0">
        <w:rPr>
          <w:sz w:val="21"/>
          <w:szCs w:val="21"/>
        </w:rPr>
        <w:br w:type="page"/>
      </w:r>
    </w:p>
    <w:p w14:paraId="5BEB6C33" w14:textId="77777777" w:rsidR="005206DD" w:rsidRPr="00FD10B0" w:rsidRDefault="005206DD" w:rsidP="005206DD">
      <w:pPr>
        <w:pStyle w:val="HChG"/>
        <w:ind w:firstLine="0"/>
      </w:pPr>
      <w:r>
        <w:rPr>
          <w:bCs/>
        </w:rPr>
        <w:lastRenderedPageBreak/>
        <w:t>Предложение по дополнению 2 к поправкам серии 01 к</w:t>
      </w:r>
      <w:r w:rsidR="00374432">
        <w:rPr>
          <w:bCs/>
          <w:lang w:val="en-US"/>
        </w:rPr>
        <w:t> </w:t>
      </w:r>
      <w:r>
        <w:rPr>
          <w:bCs/>
        </w:rPr>
        <w:t>Правилам № 125 ООН</w:t>
      </w:r>
    </w:p>
    <w:p w14:paraId="71A2B724" w14:textId="77777777" w:rsidR="005206DD" w:rsidRPr="00EA229B" w:rsidRDefault="005206DD" w:rsidP="005206DD">
      <w:pPr>
        <w:pStyle w:val="HChG"/>
        <w:numPr>
          <w:ilvl w:val="0"/>
          <w:numId w:val="23"/>
        </w:numPr>
        <w:tabs>
          <w:tab w:val="clear" w:pos="851"/>
          <w:tab w:val="right" w:pos="1134"/>
        </w:tabs>
      </w:pPr>
      <w:r>
        <w:rPr>
          <w:bCs/>
        </w:rPr>
        <w:t>Предложение</w:t>
      </w:r>
    </w:p>
    <w:p w14:paraId="0A58DF63" w14:textId="77777777" w:rsidR="005206DD" w:rsidRPr="00A77E9D" w:rsidRDefault="005206DD" w:rsidP="005206DD">
      <w:pPr>
        <w:pStyle w:val="SingleTxtG"/>
        <w:rPr>
          <w:bCs/>
        </w:rPr>
      </w:pPr>
      <w:r>
        <w:tab/>
      </w:r>
      <w:r>
        <w:rPr>
          <w:i/>
          <w:iCs/>
        </w:rPr>
        <w:t>Пункт 1.1</w:t>
      </w:r>
      <w:r>
        <w:t xml:space="preserve"> изменить следующим образом:</w:t>
      </w:r>
    </w:p>
    <w:p w14:paraId="0E7E7D75" w14:textId="77777777" w:rsidR="005206DD" w:rsidRPr="00FD10B0" w:rsidRDefault="00374432" w:rsidP="005206DD">
      <w:pPr>
        <w:pStyle w:val="SingleTxtG"/>
        <w:ind w:left="2268" w:hanging="1134"/>
      </w:pPr>
      <w:r>
        <w:t>«</w:t>
      </w:r>
      <w:r w:rsidR="005206DD">
        <w:t>1.1</w:t>
      </w:r>
      <w:r w:rsidR="005206DD">
        <w:tab/>
        <w:t>Настоящие Правила применяются к полю обзора водителей транспортных средств категорий М</w:t>
      </w:r>
      <w:r w:rsidR="005206DD">
        <w:rPr>
          <w:vertAlign w:val="subscript"/>
        </w:rPr>
        <w:t xml:space="preserve">1 </w:t>
      </w:r>
      <w:r w:rsidR="005206DD">
        <w:rPr>
          <w:b/>
          <w:bCs/>
        </w:rPr>
        <w:t>и</w:t>
      </w:r>
      <w:r w:rsidR="005206DD">
        <w:t xml:space="preserve"> </w:t>
      </w:r>
      <w:r w:rsidR="005206DD">
        <w:rPr>
          <w:b/>
          <w:bCs/>
        </w:rPr>
        <w:t>N</w:t>
      </w:r>
      <w:r w:rsidR="005206DD">
        <w:rPr>
          <w:b/>
          <w:bCs/>
          <w:vertAlign w:val="subscript"/>
        </w:rPr>
        <w:t>1</w:t>
      </w:r>
      <w:r w:rsidR="005206DD">
        <w:t xml:space="preserve"> спереди на 180°</w:t>
      </w:r>
      <w:r w:rsidR="005206DD" w:rsidRPr="002702BB">
        <w:rPr>
          <w:rStyle w:val="aa"/>
        </w:rPr>
        <w:footnoteReference w:id="2"/>
      </w:r>
      <w:r>
        <w:t>».</w:t>
      </w:r>
    </w:p>
    <w:p w14:paraId="259FB697" w14:textId="77777777" w:rsidR="005206DD" w:rsidRPr="00FD10B0" w:rsidRDefault="005206DD" w:rsidP="005206DD">
      <w:pPr>
        <w:pStyle w:val="SingleTxtG"/>
        <w:rPr>
          <w:bCs/>
        </w:rPr>
      </w:pPr>
      <w:r>
        <w:tab/>
      </w:r>
      <w:r>
        <w:rPr>
          <w:i/>
          <w:iCs/>
        </w:rPr>
        <w:t>Пункт 1.3</w:t>
      </w:r>
      <w:r>
        <w:t xml:space="preserve"> изменить следующим образом:</w:t>
      </w:r>
    </w:p>
    <w:p w14:paraId="7B2C8476" w14:textId="77777777" w:rsidR="005206DD" w:rsidRPr="00FD10B0" w:rsidRDefault="00374432" w:rsidP="005206DD">
      <w:pPr>
        <w:pStyle w:val="SingleTxtG"/>
        <w:ind w:left="2268" w:hanging="1134"/>
      </w:pPr>
      <w:r>
        <w:t>«</w:t>
      </w:r>
      <w:r w:rsidR="005206DD">
        <w:t>1.3</w:t>
      </w:r>
      <w:r w:rsidR="005206DD">
        <w:tab/>
        <w:t>Требования настоящих Правил сформулированы таким образом, чтобы они применялись к транспортным средствам категорий М</w:t>
      </w:r>
      <w:r w:rsidR="005206DD">
        <w:rPr>
          <w:vertAlign w:val="subscript"/>
        </w:rPr>
        <w:t>1</w:t>
      </w:r>
      <w:r w:rsidR="005206DD">
        <w:t xml:space="preserve"> </w:t>
      </w:r>
      <w:r w:rsidR="005206DD">
        <w:rPr>
          <w:b/>
          <w:bCs/>
        </w:rPr>
        <w:t>и</w:t>
      </w:r>
      <w:r w:rsidR="005206DD">
        <w:t xml:space="preserve"> </w:t>
      </w:r>
      <w:r w:rsidR="005206DD">
        <w:rPr>
          <w:b/>
          <w:bCs/>
        </w:rPr>
        <w:t>N</w:t>
      </w:r>
      <w:r w:rsidR="005206DD">
        <w:rPr>
          <w:b/>
          <w:bCs/>
          <w:vertAlign w:val="subscript"/>
        </w:rPr>
        <w:t>1</w:t>
      </w:r>
      <w:r w:rsidR="005206DD">
        <w:t>, в которых водитель находится слева. На транспортных средствах категории М</w:t>
      </w:r>
      <w:r w:rsidR="005206DD">
        <w:rPr>
          <w:vertAlign w:val="subscript"/>
        </w:rPr>
        <w:t>1</w:t>
      </w:r>
      <w:r w:rsidR="005206DD">
        <w:t xml:space="preserve"> </w:t>
      </w:r>
      <w:r w:rsidR="005206DD">
        <w:rPr>
          <w:b/>
          <w:bCs/>
        </w:rPr>
        <w:t>и N</w:t>
      </w:r>
      <w:r w:rsidR="005206DD">
        <w:rPr>
          <w:b/>
          <w:bCs/>
          <w:vertAlign w:val="subscript"/>
        </w:rPr>
        <w:t>1</w:t>
      </w:r>
      <w:r w:rsidR="005206DD">
        <w:t>, в которых водитель находится справа, эти требования применяются таким образом, что в соответствующих случаях используются диаметрально противоположные критерии</w:t>
      </w:r>
      <w:r>
        <w:t>»</w:t>
      </w:r>
      <w:r w:rsidR="005206DD">
        <w:t>.</w:t>
      </w:r>
    </w:p>
    <w:p w14:paraId="75E29940" w14:textId="77777777" w:rsidR="005206DD" w:rsidRPr="00FD10B0" w:rsidRDefault="005206DD" w:rsidP="005206DD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111E2C28" w14:textId="77777777" w:rsidR="005206DD" w:rsidRPr="00FD10B0" w:rsidRDefault="005206DD" w:rsidP="005206DD">
      <w:pPr>
        <w:pStyle w:val="SingleTxtG"/>
      </w:pPr>
      <w:r>
        <w:t>1.</w:t>
      </w:r>
      <w:r>
        <w:tab/>
        <w:t>Это предложение даст Договаривающимся сторонам возможность применять предписания в отношении поля обзора к категории легких коммерческих транспортных средств N</w:t>
      </w:r>
      <w:r>
        <w:rPr>
          <w:vertAlign w:val="subscript"/>
        </w:rPr>
        <w:t>1</w:t>
      </w:r>
      <w:r>
        <w:t xml:space="preserve"> в дополнение к предписаниям, касающимся легковых автомоби</w:t>
      </w:r>
      <w:bookmarkStart w:id="0" w:name="_GoBack"/>
      <w:bookmarkEnd w:id="0"/>
      <w:r>
        <w:t>лей категории M</w:t>
      </w:r>
      <w:r>
        <w:rPr>
          <w:vertAlign w:val="subscript"/>
        </w:rPr>
        <w:t>1</w:t>
      </w:r>
      <w:r>
        <w:t xml:space="preserve">. </w:t>
      </w:r>
    </w:p>
    <w:p w14:paraId="4D90B067" w14:textId="77777777" w:rsidR="005206DD" w:rsidRPr="00E80591" w:rsidRDefault="005206DD" w:rsidP="005206DD">
      <w:pPr>
        <w:pStyle w:val="SingleTxtG"/>
      </w:pPr>
      <w:r w:rsidRPr="00E80591">
        <w:t>2.</w:t>
      </w:r>
      <w:r w:rsidRPr="00E80591">
        <w:tab/>
      </w:r>
      <w:r w:rsidRPr="00E80591">
        <w:rPr>
          <w:shd w:val="clear" w:color="auto" w:fill="FFFFFF"/>
        </w:rPr>
        <w:t xml:space="preserve">Это расширение области применения должно быть введено в действие в ЕС в результате пересмотра Регламента по общей безопасности (ЕС) 2019/2144, который будет распространяться </w:t>
      </w:r>
      <w:r w:rsidR="00374432" w:rsidRPr="00E80591">
        <w:rPr>
          <w:shd w:val="clear" w:color="auto" w:fill="FFFFFF"/>
        </w:rPr>
        <w:t>–</w:t>
      </w:r>
      <w:r w:rsidRPr="00E80591">
        <w:rPr>
          <w:shd w:val="clear" w:color="auto" w:fill="FFFFFF"/>
        </w:rPr>
        <w:t xml:space="preserve"> в </w:t>
      </w:r>
      <w:proofErr w:type="gramStart"/>
      <w:r w:rsidRPr="00E80591">
        <w:rPr>
          <w:shd w:val="clear" w:color="auto" w:fill="FFFFFF"/>
        </w:rPr>
        <w:t>том</w:t>
      </w:r>
      <w:proofErr w:type="gramEnd"/>
      <w:r w:rsidRPr="00E80591">
        <w:rPr>
          <w:shd w:val="clear" w:color="auto" w:fill="FFFFFF"/>
        </w:rPr>
        <w:t xml:space="preserve"> что касается поля обзора спереди – на категорию N</w:t>
      </w:r>
      <w:r w:rsidRPr="00E80591">
        <w:rPr>
          <w:vertAlign w:val="subscript"/>
        </w:rPr>
        <w:t>1</w:t>
      </w:r>
      <w:r w:rsidRPr="00E80591">
        <w:rPr>
          <w:shd w:val="clear" w:color="auto" w:fill="FFFFFF"/>
        </w:rPr>
        <w:t xml:space="preserve"> начиная с 7 июля 2024 года в случае новых типов транспортных средств и с 7 июля 2026 года в случае всех новых транспортных средств.</w:t>
      </w:r>
    </w:p>
    <w:p w14:paraId="42CC5043" w14:textId="77777777" w:rsidR="005206DD" w:rsidRPr="00FD10B0" w:rsidRDefault="005206DD" w:rsidP="005206DD">
      <w:pPr>
        <w:spacing w:before="240"/>
        <w:jc w:val="center"/>
        <w:rPr>
          <w:u w:val="single"/>
        </w:rPr>
      </w:pPr>
      <w:r w:rsidRPr="00FD10B0">
        <w:rPr>
          <w:u w:val="single"/>
        </w:rPr>
        <w:tab/>
      </w:r>
      <w:r w:rsidRPr="00FD10B0">
        <w:rPr>
          <w:u w:val="single"/>
        </w:rPr>
        <w:tab/>
      </w:r>
      <w:r w:rsidRPr="00FD10B0">
        <w:rPr>
          <w:u w:val="single"/>
        </w:rPr>
        <w:tab/>
      </w:r>
    </w:p>
    <w:p w14:paraId="332FE2F2" w14:textId="77777777" w:rsidR="00E12C5F" w:rsidRPr="008D53B6" w:rsidRDefault="00E12C5F" w:rsidP="00D9145B"/>
    <w:sectPr w:rsidR="00E12C5F" w:rsidRPr="008D53B6" w:rsidSect="005206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0457" w14:textId="77777777" w:rsidR="005273D7" w:rsidRPr="00A312BC" w:rsidRDefault="005273D7" w:rsidP="00A312BC"/>
  </w:endnote>
  <w:endnote w:type="continuationSeparator" w:id="0">
    <w:p w14:paraId="2DADF842" w14:textId="77777777" w:rsidR="005273D7" w:rsidRPr="00A312BC" w:rsidRDefault="005273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63B9" w14:textId="0FE55BC2" w:rsidR="005206DD" w:rsidRPr="005206DD" w:rsidRDefault="005206DD">
    <w:pPr>
      <w:pStyle w:val="a8"/>
    </w:pPr>
    <w:r w:rsidRPr="005206DD">
      <w:rPr>
        <w:b/>
        <w:sz w:val="18"/>
      </w:rPr>
      <w:fldChar w:fldCharType="begin"/>
    </w:r>
    <w:r w:rsidRPr="005206DD">
      <w:rPr>
        <w:b/>
        <w:sz w:val="18"/>
      </w:rPr>
      <w:instrText xml:space="preserve"> PAGE  \* MERGEFORMAT </w:instrText>
    </w:r>
    <w:r w:rsidRPr="005206DD">
      <w:rPr>
        <w:b/>
        <w:sz w:val="18"/>
      </w:rPr>
      <w:fldChar w:fldCharType="separate"/>
    </w:r>
    <w:r w:rsidR="00E80591">
      <w:rPr>
        <w:b/>
        <w:noProof/>
        <w:sz w:val="18"/>
      </w:rPr>
      <w:t>2</w:t>
    </w:r>
    <w:r w:rsidRPr="005206DD">
      <w:rPr>
        <w:b/>
        <w:sz w:val="18"/>
      </w:rPr>
      <w:fldChar w:fldCharType="end"/>
    </w:r>
    <w:r>
      <w:rPr>
        <w:b/>
        <w:sz w:val="18"/>
      </w:rPr>
      <w:tab/>
    </w:r>
    <w:r>
      <w:t>GE.20-00810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8522" w14:textId="77777777" w:rsidR="005206DD" w:rsidRPr="005206DD" w:rsidRDefault="005206DD" w:rsidP="005206DD">
    <w:pPr>
      <w:pStyle w:val="a8"/>
      <w:tabs>
        <w:tab w:val="clear" w:pos="9639"/>
        <w:tab w:val="right" w:pos="9638"/>
      </w:tabs>
      <w:rPr>
        <w:b/>
        <w:sz w:val="18"/>
      </w:rPr>
    </w:pPr>
    <w:r>
      <w:t>GE.20-00810</w:t>
    </w:r>
    <w:r>
      <w:tab/>
    </w:r>
    <w:r w:rsidRPr="005206DD">
      <w:rPr>
        <w:b/>
        <w:sz w:val="18"/>
      </w:rPr>
      <w:fldChar w:fldCharType="begin"/>
    </w:r>
    <w:r w:rsidRPr="005206DD">
      <w:rPr>
        <w:b/>
        <w:sz w:val="18"/>
      </w:rPr>
      <w:instrText xml:space="preserve"> PAGE  \* MERGEFORMAT </w:instrText>
    </w:r>
    <w:r w:rsidRPr="005206DD">
      <w:rPr>
        <w:b/>
        <w:sz w:val="18"/>
      </w:rPr>
      <w:fldChar w:fldCharType="separate"/>
    </w:r>
    <w:r w:rsidRPr="005206DD">
      <w:rPr>
        <w:b/>
        <w:noProof/>
        <w:sz w:val="18"/>
      </w:rPr>
      <w:t>3</w:t>
    </w:r>
    <w:r w:rsidRPr="005206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9430" w14:textId="77777777" w:rsidR="00042B72" w:rsidRPr="005206DD" w:rsidRDefault="005206DD" w:rsidP="005206DD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6E72E11" wp14:editId="7DDF2E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00810  (</w:t>
    </w:r>
    <w:proofErr w:type="gramEnd"/>
    <w:r>
      <w:t>R)</w:t>
    </w:r>
    <w:r w:rsidR="00374432">
      <w:rPr>
        <w:lang w:val="en-US"/>
      </w:rPr>
      <w:t xml:space="preserve">  220120  230120</w:t>
    </w:r>
    <w:r>
      <w:br/>
    </w:r>
    <w:r w:rsidRPr="005206DD">
      <w:rPr>
        <w:rFonts w:ascii="C39T30Lfz" w:hAnsi="C39T30Lfz"/>
        <w:kern w:val="14"/>
        <w:sz w:val="56"/>
      </w:rPr>
      <w:t></w:t>
    </w:r>
    <w:r w:rsidRPr="005206DD">
      <w:rPr>
        <w:rFonts w:ascii="C39T30Lfz" w:hAnsi="C39T30Lfz"/>
        <w:kern w:val="14"/>
        <w:sz w:val="56"/>
      </w:rPr>
      <w:t></w:t>
    </w:r>
    <w:r w:rsidRPr="005206DD">
      <w:rPr>
        <w:rFonts w:ascii="C39T30Lfz" w:hAnsi="C39T30Lfz"/>
        <w:kern w:val="14"/>
        <w:sz w:val="56"/>
      </w:rPr>
      <w:t></w:t>
    </w:r>
    <w:r w:rsidRPr="005206DD">
      <w:rPr>
        <w:rFonts w:ascii="C39T30Lfz" w:hAnsi="C39T30Lfz"/>
        <w:kern w:val="14"/>
        <w:sz w:val="56"/>
      </w:rPr>
      <w:t></w:t>
    </w:r>
    <w:r w:rsidRPr="005206DD">
      <w:rPr>
        <w:rFonts w:ascii="C39T30Lfz" w:hAnsi="C39T30Lfz"/>
        <w:kern w:val="14"/>
        <w:sz w:val="56"/>
      </w:rPr>
      <w:t></w:t>
    </w:r>
    <w:r w:rsidRPr="005206DD">
      <w:rPr>
        <w:rFonts w:ascii="C39T30Lfz" w:hAnsi="C39T30Lfz"/>
        <w:kern w:val="14"/>
        <w:sz w:val="56"/>
      </w:rPr>
      <w:t></w:t>
    </w:r>
    <w:r w:rsidRPr="005206DD">
      <w:rPr>
        <w:rFonts w:ascii="C39T30Lfz" w:hAnsi="C39T30Lfz"/>
        <w:kern w:val="14"/>
        <w:sz w:val="56"/>
      </w:rPr>
      <w:t></w:t>
    </w:r>
    <w:r w:rsidRPr="005206DD">
      <w:rPr>
        <w:rFonts w:ascii="C39T30Lfz" w:hAnsi="C39T30Lfz"/>
        <w:kern w:val="14"/>
        <w:sz w:val="56"/>
      </w:rPr>
      <w:t></w:t>
    </w:r>
    <w:r w:rsidRPr="005206DD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35B6C8" wp14:editId="18B1DA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D948" w14:textId="77777777" w:rsidR="005273D7" w:rsidRPr="001075E9" w:rsidRDefault="005273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2CD0F0" w14:textId="77777777" w:rsidR="005273D7" w:rsidRDefault="005273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B46426" w14:textId="2FC2D83D" w:rsidR="004D310A" w:rsidRPr="004D310A" w:rsidRDefault="004D310A">
      <w:pPr>
        <w:pStyle w:val="ad"/>
        <w:rPr>
          <w:sz w:val="20"/>
          <w:lang w:val="en-US"/>
        </w:rPr>
      </w:pPr>
      <w:r>
        <w:tab/>
      </w:r>
      <w:r w:rsidRPr="004D310A">
        <w:rPr>
          <w:rStyle w:val="aa"/>
          <w:sz w:val="20"/>
          <w:vertAlign w:val="baseline"/>
        </w:rPr>
        <w:t>*</w:t>
      </w:r>
      <w:r w:rsidRPr="004D310A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  <w:footnote w:id="2">
    <w:p w14:paraId="60E86CF7" w14:textId="7597E83A" w:rsidR="005206DD" w:rsidRPr="00FD10B0" w:rsidRDefault="005206DD" w:rsidP="005206DD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 В соответствии с определениями, содержащимися в Сводной резолюции о конструкции транспортных средств (СР.3), документ ECE/TRANS/WP.29/78/Rev.6, пункт 2 </w:t>
      </w:r>
      <w:r w:rsidR="00717F3D">
        <w:t>–</w:t>
      </w:r>
      <w:r>
        <w:t xml:space="preserve"> </w:t>
      </w:r>
      <w:hyperlink r:id="rId1" w:history="1">
        <w:r w:rsidR="00717F3D" w:rsidRPr="00717F3D">
          <w:rPr>
            <w:rStyle w:val="af1"/>
            <w:color w:val="auto"/>
          </w:rPr>
          <w:t>www.unece.org/trans/main/wp29/wp29wgs/wp29gen/wp29resolutions.html</w:t>
        </w:r>
      </w:hyperlink>
      <w:r w:rsidR="00717F3D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8FFB" w14:textId="036683DA" w:rsidR="005206DD" w:rsidRPr="005206DD" w:rsidRDefault="00037FA3">
    <w:pPr>
      <w:pStyle w:val="a5"/>
    </w:pPr>
    <w:fldSimple w:instr=" TITLE  \* MERGEFORMAT ">
      <w:r w:rsidR="00BD15E5">
        <w:t>ECE/TRANS/WP.29/GRSG/2020/11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1ED8" w14:textId="4FBDC2A7" w:rsidR="005206DD" w:rsidRPr="005206DD" w:rsidRDefault="00037FA3" w:rsidP="005206DD">
    <w:pPr>
      <w:pStyle w:val="a5"/>
      <w:jc w:val="right"/>
    </w:pPr>
    <w:fldSimple w:instr=" TITLE  \* MERGEFORMAT ">
      <w:r w:rsidR="00BD15E5">
        <w:t>ECE/TRANS/WP.29/GRSG/2020/11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  <w:lvlOverride w:ilvl="0">
      <w:lvl w:ilvl="0" w:tplc="0E6832D2">
        <w:start w:val="1"/>
        <w:numFmt w:val="upperRoman"/>
        <w:lvlText w:val="%1."/>
        <w:lvlJc w:val="left"/>
        <w:pPr>
          <w:ind w:left="1287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7"/>
    <w:rsid w:val="00033EE1"/>
    <w:rsid w:val="00037FA3"/>
    <w:rsid w:val="00042B72"/>
    <w:rsid w:val="00046B66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43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310A"/>
    <w:rsid w:val="004E05B7"/>
    <w:rsid w:val="0050108D"/>
    <w:rsid w:val="00513081"/>
    <w:rsid w:val="00517901"/>
    <w:rsid w:val="005206DD"/>
    <w:rsid w:val="00526683"/>
    <w:rsid w:val="005273D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7F3D"/>
    <w:rsid w:val="00734ACB"/>
    <w:rsid w:val="00757357"/>
    <w:rsid w:val="00792497"/>
    <w:rsid w:val="007924E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15E5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0591"/>
    <w:rsid w:val="00EA2C9F"/>
    <w:rsid w:val="00EA420E"/>
    <w:rsid w:val="00ED0BDA"/>
    <w:rsid w:val="00EE142A"/>
    <w:rsid w:val="00EF1360"/>
    <w:rsid w:val="00EF3220"/>
    <w:rsid w:val="00F2523A"/>
    <w:rsid w:val="00F43903"/>
    <w:rsid w:val="00F6644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282F6"/>
  <w15:docId w15:val="{E7BD8389-C67A-491E-BCE2-E63E2BD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206DD"/>
    <w:rPr>
      <w:lang w:val="ru-RU" w:eastAsia="en-US"/>
    </w:rPr>
  </w:style>
  <w:style w:type="character" w:customStyle="1" w:styleId="HChGChar">
    <w:name w:val="_ H _Ch_G Char"/>
    <w:link w:val="HChG"/>
    <w:rsid w:val="005206DD"/>
    <w:rPr>
      <w:b/>
      <w:sz w:val="28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1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292</Words>
  <Characters>1865</Characters>
  <Application>Microsoft Office Word</Application>
  <DocSecurity>0</DocSecurity>
  <Lines>52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ECE/TRANS/WP.29/GRSG/2020/11</vt:lpstr>
      <vt:lpstr>A/</vt:lpstr>
      <vt:lpstr>A/</vt:lpstr>
    </vt:vector>
  </TitlesOfParts>
  <Company>DCM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ECE/TRANS/WP.29/GRSG/2020/11</dc:title>
  <dc:subject/>
  <dc:creator>Assistant</dc:creator>
  <cp:keywords/>
  <cp:lastModifiedBy>Anna Petelina</cp:lastModifiedBy>
  <cp:revision>7</cp:revision>
  <cp:lastPrinted>2020-01-23T15:35:00Z</cp:lastPrinted>
  <dcterms:created xsi:type="dcterms:W3CDTF">2020-01-23T15:35:00Z</dcterms:created>
  <dcterms:modified xsi:type="dcterms:W3CDTF">2020-01-24T08:06:00Z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