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ook w:val="04A0" w:firstRow="1" w:lastRow="0" w:firstColumn="1" w:lastColumn="0" w:noHBand="0" w:noVBand="1"/>
      </w:tblPr>
      <w:tblGrid>
        <w:gridCol w:w="5830"/>
        <w:gridCol w:w="3809"/>
      </w:tblGrid>
      <w:tr w:rsidR="00E62A93" w:rsidRPr="003C2FD9" w14:paraId="3A38A286" w14:textId="77777777" w:rsidTr="00F074A4">
        <w:tc>
          <w:tcPr>
            <w:tcW w:w="5830" w:type="dxa"/>
            <w:vAlign w:val="center"/>
            <w:hideMark/>
          </w:tcPr>
          <w:p w14:paraId="51D05234" w14:textId="2CBD08DE" w:rsidR="00E62A93" w:rsidRPr="003C2FD9" w:rsidRDefault="00E62A93" w:rsidP="00F074A4">
            <w:pPr>
              <w:rPr>
                <w:lang w:val="en-US"/>
              </w:rPr>
            </w:pPr>
            <w:r w:rsidRPr="00F63B12">
              <w:rPr>
                <w:lang w:val="en-US"/>
              </w:rPr>
              <w:t xml:space="preserve">Submitted by the experts </w:t>
            </w:r>
            <w:r>
              <w:rPr>
                <w:lang w:val="en-US"/>
              </w:rPr>
              <w:t xml:space="preserve">from the European </w:t>
            </w:r>
            <w:proofErr w:type="spellStart"/>
            <w:r>
              <w:rPr>
                <w:lang w:val="en-US"/>
              </w:rPr>
              <w:t>Tyre</w:t>
            </w:r>
            <w:proofErr w:type="spellEnd"/>
            <w:r>
              <w:rPr>
                <w:lang w:val="en-US"/>
              </w:rPr>
              <w:t xml:space="preserve"> and Rim Technical </w:t>
            </w:r>
            <w:proofErr w:type="spellStart"/>
            <w:r>
              <w:rPr>
                <w:lang w:val="en-US"/>
              </w:rPr>
              <w:t>Organisation</w:t>
            </w:r>
            <w:proofErr w:type="spellEnd"/>
            <w:r>
              <w:rPr>
                <w:lang w:val="en-US"/>
              </w:rPr>
              <w:t xml:space="preserve"> (ETRTO)</w:t>
            </w:r>
          </w:p>
        </w:tc>
        <w:tc>
          <w:tcPr>
            <w:tcW w:w="3809" w:type="dxa"/>
            <w:hideMark/>
          </w:tcPr>
          <w:p w14:paraId="3FEE70AE" w14:textId="2F76352A" w:rsidR="00E62A93" w:rsidRPr="00DD3348" w:rsidRDefault="00E62A93" w:rsidP="00F074A4">
            <w:pPr>
              <w:rPr>
                <w:lang w:val="en-US"/>
              </w:rPr>
            </w:pPr>
            <w:r w:rsidRPr="00DD3348">
              <w:rPr>
                <w:u w:val="single"/>
                <w:lang w:val="en-US"/>
              </w:rPr>
              <w:t>Informal document</w:t>
            </w:r>
            <w:r w:rsidRPr="00DD3348">
              <w:rPr>
                <w:lang w:val="en-US"/>
              </w:rPr>
              <w:t xml:space="preserve"> </w:t>
            </w:r>
            <w:r w:rsidRPr="00DD3348">
              <w:rPr>
                <w:b/>
                <w:lang w:val="en-US"/>
              </w:rPr>
              <w:t>GRBP-7</w:t>
            </w:r>
            <w:r>
              <w:rPr>
                <w:b/>
                <w:lang w:val="en-US"/>
              </w:rPr>
              <w:t>1</w:t>
            </w:r>
            <w:r w:rsidRPr="00DD3348">
              <w:rPr>
                <w:rFonts w:hint="eastAsia"/>
                <w:b/>
                <w:lang w:val="en-US"/>
              </w:rPr>
              <w:t>-</w:t>
            </w:r>
            <w:r w:rsidR="00E86CE1">
              <w:rPr>
                <w:b/>
                <w:lang w:val="en-US"/>
              </w:rPr>
              <w:t>29</w:t>
            </w:r>
          </w:p>
          <w:p w14:paraId="39658A3E" w14:textId="6B09EFDB" w:rsidR="00E62A93" w:rsidRPr="003C2FD9" w:rsidRDefault="00E62A93" w:rsidP="00F074A4">
            <w:pPr>
              <w:rPr>
                <w:lang w:val="en-US"/>
              </w:rPr>
            </w:pPr>
            <w:r w:rsidRPr="003C2FD9">
              <w:rPr>
                <w:lang w:val="en-US"/>
              </w:rPr>
              <w:t>(</w:t>
            </w:r>
            <w:r>
              <w:rPr>
                <w:lang w:val="en-US"/>
              </w:rPr>
              <w:t>71</w:t>
            </w:r>
            <w:r w:rsidRPr="00E62A93">
              <w:rPr>
                <w:vertAlign w:val="superscript"/>
                <w:lang w:val="en-US"/>
              </w:rPr>
              <w:t>st</w:t>
            </w:r>
            <w:r>
              <w:rPr>
                <w:lang w:val="en-US"/>
              </w:rPr>
              <w:t xml:space="preserve"> </w:t>
            </w:r>
            <w:r w:rsidRPr="003C2FD9">
              <w:rPr>
                <w:lang w:val="en-US"/>
              </w:rPr>
              <w:t>GRB</w:t>
            </w:r>
            <w:r>
              <w:rPr>
                <w:lang w:val="en-US"/>
              </w:rPr>
              <w:t>P</w:t>
            </w:r>
            <w:r w:rsidRPr="003C2FD9">
              <w:rPr>
                <w:lang w:val="en-US"/>
              </w:rPr>
              <w:t xml:space="preserve">, </w:t>
            </w:r>
            <w:r>
              <w:rPr>
                <w:lang w:val="en-US"/>
              </w:rPr>
              <w:t>28</w:t>
            </w:r>
            <w:r w:rsidRPr="0032147A">
              <w:rPr>
                <w:lang w:val="en-US"/>
              </w:rPr>
              <w:t>-</w:t>
            </w:r>
            <w:r>
              <w:rPr>
                <w:lang w:val="en-US"/>
              </w:rPr>
              <w:t>31</w:t>
            </w:r>
            <w:r w:rsidRPr="0032147A">
              <w:rPr>
                <w:lang w:val="en-US"/>
              </w:rPr>
              <w:t xml:space="preserve"> </w:t>
            </w:r>
            <w:r>
              <w:rPr>
                <w:lang w:val="en-US"/>
              </w:rPr>
              <w:t xml:space="preserve">January </w:t>
            </w:r>
            <w:r w:rsidRPr="003C2FD9">
              <w:rPr>
                <w:lang w:val="en-US"/>
              </w:rPr>
              <w:t>20</w:t>
            </w:r>
            <w:r>
              <w:rPr>
                <w:lang w:val="en-US"/>
              </w:rPr>
              <w:t>20</w:t>
            </w:r>
            <w:r w:rsidRPr="003C2FD9">
              <w:rPr>
                <w:lang w:val="en-US"/>
              </w:rPr>
              <w:t>,</w:t>
            </w:r>
          </w:p>
          <w:p w14:paraId="07754DDC" w14:textId="3059FEB6" w:rsidR="00E62A93" w:rsidRPr="003C2FD9" w:rsidRDefault="00E62A93" w:rsidP="00F074A4">
            <w:pPr>
              <w:rPr>
                <w:lang w:val="en-US"/>
              </w:rPr>
            </w:pPr>
            <w:r w:rsidRPr="003C2FD9">
              <w:rPr>
                <w:lang w:val="en-US"/>
              </w:rPr>
              <w:t xml:space="preserve">agenda item </w:t>
            </w:r>
            <w:r>
              <w:rPr>
                <w:lang w:val="en-US"/>
              </w:rPr>
              <w:t>5 (d</w:t>
            </w:r>
            <w:r w:rsidRPr="003C2FD9">
              <w:rPr>
                <w:lang w:val="en-US"/>
              </w:rPr>
              <w:t>)</w:t>
            </w:r>
            <w:r>
              <w:rPr>
                <w:lang w:val="en-US"/>
              </w:rPr>
              <w:t>)</w:t>
            </w:r>
          </w:p>
        </w:tc>
      </w:tr>
    </w:tbl>
    <w:p w14:paraId="29BFD1F6" w14:textId="77777777" w:rsidR="00E62A93" w:rsidRDefault="00E62A93" w:rsidP="00E62A93">
      <w:pPr>
        <w:tabs>
          <w:tab w:val="left" w:pos="851"/>
        </w:tabs>
        <w:rPr>
          <w:b/>
          <w:sz w:val="22"/>
          <w:szCs w:val="22"/>
          <w:lang w:val="en-US"/>
        </w:rPr>
      </w:pPr>
    </w:p>
    <w:p w14:paraId="3EE697B2" w14:textId="77777777" w:rsidR="00E62A93" w:rsidRDefault="00E62A93" w:rsidP="00E62A93">
      <w:pPr>
        <w:pStyle w:val="Default"/>
      </w:pPr>
    </w:p>
    <w:p w14:paraId="2F564C86" w14:textId="77777777" w:rsidR="00E62A93" w:rsidRDefault="00E62A93" w:rsidP="00E62A93">
      <w:pPr>
        <w:pStyle w:val="Default"/>
        <w:jc w:val="center"/>
        <w:rPr>
          <w:b/>
          <w:bCs/>
          <w:sz w:val="28"/>
          <w:szCs w:val="28"/>
          <w:lang w:val="en-GB"/>
        </w:rPr>
      </w:pPr>
    </w:p>
    <w:p w14:paraId="463CF52D" w14:textId="77777777" w:rsidR="00E62A93" w:rsidRDefault="00E62A93" w:rsidP="00AC73F9">
      <w:pPr>
        <w:pStyle w:val="HChG"/>
        <w:tabs>
          <w:tab w:val="clear" w:pos="851"/>
        </w:tabs>
        <w:spacing w:line="240" w:lineRule="auto"/>
        <w:ind w:hanging="567"/>
      </w:pPr>
      <w:bookmarkStart w:id="0" w:name="_GoBack"/>
      <w:bookmarkEnd w:id="0"/>
    </w:p>
    <w:p w14:paraId="4DAE4CDF" w14:textId="1EE88374" w:rsidR="00E62A93" w:rsidRPr="003C2FD9" w:rsidRDefault="00E62A93" w:rsidP="00E62A93">
      <w:pPr>
        <w:pStyle w:val="Default"/>
        <w:jc w:val="center"/>
        <w:rPr>
          <w:rFonts w:eastAsia="Calibri"/>
          <w:b/>
          <w:bCs/>
          <w:sz w:val="28"/>
          <w:szCs w:val="28"/>
          <w:lang w:eastAsia="en-US"/>
        </w:rPr>
      </w:pPr>
      <w:r w:rsidRPr="00941A95">
        <w:rPr>
          <w:b/>
          <w:bCs/>
          <w:sz w:val="28"/>
          <w:szCs w:val="28"/>
          <w:lang w:val="en-GB"/>
        </w:rPr>
        <w:t xml:space="preserve">Proposal for </w:t>
      </w:r>
      <w:r w:rsidRPr="00542CC2">
        <w:rPr>
          <w:b/>
          <w:bCs/>
          <w:sz w:val="28"/>
          <w:szCs w:val="28"/>
        </w:rPr>
        <w:t>amendments</w:t>
      </w:r>
      <w:r>
        <w:rPr>
          <w:b/>
          <w:bCs/>
          <w:sz w:val="28"/>
          <w:szCs w:val="28"/>
        </w:rPr>
        <w:t xml:space="preserve"> </w:t>
      </w:r>
      <w:r w:rsidRPr="00542CC2">
        <w:rPr>
          <w:b/>
          <w:bCs/>
          <w:sz w:val="28"/>
          <w:szCs w:val="28"/>
        </w:rPr>
        <w:t>to</w:t>
      </w:r>
      <w:r>
        <w:rPr>
          <w:b/>
          <w:bCs/>
          <w:sz w:val="28"/>
          <w:szCs w:val="28"/>
        </w:rPr>
        <w:t xml:space="preserve"> </w:t>
      </w:r>
      <w:r w:rsidRPr="00DE1722">
        <w:rPr>
          <w:b/>
          <w:bCs/>
          <w:sz w:val="28"/>
          <w:szCs w:val="28"/>
        </w:rPr>
        <w:t>ECE/TRANS/WP.29/GRBP/20</w:t>
      </w:r>
      <w:r>
        <w:rPr>
          <w:b/>
          <w:bCs/>
          <w:sz w:val="28"/>
          <w:szCs w:val="28"/>
        </w:rPr>
        <w:t>20</w:t>
      </w:r>
      <w:r w:rsidRPr="00DE1722">
        <w:rPr>
          <w:b/>
          <w:bCs/>
          <w:sz w:val="28"/>
          <w:szCs w:val="28"/>
        </w:rPr>
        <w:t>/</w:t>
      </w:r>
      <w:r>
        <w:rPr>
          <w:b/>
          <w:bCs/>
          <w:sz w:val="28"/>
          <w:szCs w:val="28"/>
        </w:rPr>
        <w:t>6</w:t>
      </w:r>
    </w:p>
    <w:p w14:paraId="32C7F71B" w14:textId="77777777" w:rsidR="00E62A93" w:rsidRPr="003C2FD9" w:rsidRDefault="00E62A93" w:rsidP="00E62A93">
      <w:pPr>
        <w:ind w:right="283"/>
        <w:rPr>
          <w:lang w:val="en-US"/>
        </w:rPr>
      </w:pPr>
    </w:p>
    <w:p w14:paraId="4B5D19A9" w14:textId="0D5DD1E8" w:rsidR="00E62A93" w:rsidRPr="00E62A93" w:rsidRDefault="00E56E9F" w:rsidP="00E56E9F">
      <w:pPr>
        <w:pStyle w:val="SingleTxtG"/>
        <w:rPr>
          <w:lang w:val="en-US"/>
        </w:rPr>
      </w:pPr>
      <w:r>
        <w:rPr>
          <w:lang w:val="en-US"/>
        </w:rPr>
        <w:t>The changes compared to document ECE/TRANS/WP.29/GRBP/2020/6 are marked in red.</w:t>
      </w:r>
    </w:p>
    <w:p w14:paraId="1FF2B5D7" w14:textId="3B584900" w:rsidR="00AB1C8B" w:rsidRDefault="00AC73F9" w:rsidP="00AC73F9">
      <w:pPr>
        <w:pStyle w:val="HChG"/>
        <w:tabs>
          <w:tab w:val="clear" w:pos="851"/>
        </w:tabs>
        <w:spacing w:line="240" w:lineRule="auto"/>
        <w:ind w:hanging="567"/>
      </w:pPr>
      <w:r>
        <w:t>I.</w:t>
      </w:r>
      <w:r w:rsidR="0011434E">
        <w:tab/>
      </w:r>
      <w:r w:rsidR="00AB1C8B" w:rsidRPr="00CF20B1">
        <w:t>Proposal</w:t>
      </w:r>
    </w:p>
    <w:p w14:paraId="3D36B8DF" w14:textId="402FB538" w:rsidR="008A462F" w:rsidRDefault="008A462F" w:rsidP="008A462F">
      <w:pPr>
        <w:spacing w:after="120" w:line="240" w:lineRule="auto"/>
        <w:ind w:left="1134"/>
        <w:rPr>
          <w:i/>
          <w:iCs/>
        </w:rPr>
      </w:pPr>
      <w:r>
        <w:rPr>
          <w:i/>
          <w:iCs/>
        </w:rPr>
        <w:t xml:space="preserve">Annex </w:t>
      </w:r>
      <w:r w:rsidR="00534145">
        <w:rPr>
          <w:rFonts w:hint="eastAsia"/>
          <w:i/>
          <w:iCs/>
          <w:lang w:eastAsia="ja-JP"/>
        </w:rPr>
        <w:t>3</w:t>
      </w:r>
      <w:r>
        <w:rPr>
          <w:i/>
          <w:iCs/>
        </w:rPr>
        <w:t xml:space="preserve">, </w:t>
      </w:r>
      <w:r w:rsidR="00CF4254">
        <w:rPr>
          <w:i/>
          <w:iCs/>
        </w:rPr>
        <w:t>p</w:t>
      </w:r>
      <w:r>
        <w:rPr>
          <w:i/>
          <w:iCs/>
        </w:rPr>
        <w:t xml:space="preserve">aragraph </w:t>
      </w:r>
      <w:r w:rsidR="00534145">
        <w:rPr>
          <w:i/>
          <w:iCs/>
        </w:rPr>
        <w:t>2.5.1</w:t>
      </w:r>
      <w:r>
        <w:rPr>
          <w:i/>
          <w:iCs/>
        </w:rPr>
        <w:t>.</w:t>
      </w:r>
      <w:r w:rsidR="00CF4254">
        <w:rPr>
          <w:i/>
          <w:iCs/>
        </w:rPr>
        <w:t>,</w:t>
      </w:r>
      <w:r>
        <w:rPr>
          <w:i/>
          <w:iCs/>
        </w:rPr>
        <w:t xml:space="preserve"> </w:t>
      </w:r>
      <w:r w:rsidRPr="00CF4254">
        <w:t>amend to read:</w:t>
      </w:r>
    </w:p>
    <w:p w14:paraId="775F0C97" w14:textId="77777777" w:rsidR="00534145" w:rsidRDefault="008A462F" w:rsidP="008A462F">
      <w:pPr>
        <w:spacing w:after="120"/>
        <w:ind w:left="2268" w:right="1134" w:hanging="1134"/>
        <w:jc w:val="both"/>
      </w:pPr>
      <w:r>
        <w:t xml:space="preserve"> “</w:t>
      </w:r>
      <w:r w:rsidRPr="00DD2A0F">
        <w:t>2.</w:t>
      </w:r>
      <w:r w:rsidR="00534145">
        <w:t>5.1</w:t>
      </w:r>
      <w:r w:rsidRPr="00DD2A0F">
        <w:t>.</w:t>
      </w:r>
      <w:r w:rsidRPr="00DD2A0F">
        <w:tab/>
      </w:r>
      <w:r w:rsidR="00534145">
        <w:t xml:space="preserve">General </w:t>
      </w:r>
    </w:p>
    <w:p w14:paraId="1472E4EF" w14:textId="1966902C" w:rsidR="004124D9" w:rsidRDefault="00534145" w:rsidP="00534145">
      <w:pPr>
        <w:spacing w:after="120"/>
        <w:ind w:left="2268" w:right="1134"/>
        <w:jc w:val="both"/>
      </w:pPr>
      <w:r>
        <w:t>Four identical tyres shall be fitted on the test vehicle. In the case of</w:t>
      </w:r>
      <w:r w:rsidR="00C97246">
        <w:t xml:space="preserve"> </w:t>
      </w:r>
      <w:r w:rsidR="00C97246" w:rsidRPr="00C97246">
        <w:rPr>
          <w:b/>
          <w:color w:val="FF0000"/>
        </w:rPr>
        <w:t>C3</w:t>
      </w:r>
      <w:r w:rsidRPr="00C97246">
        <w:rPr>
          <w:b/>
          <w:color w:val="FF0000"/>
        </w:rPr>
        <w:t xml:space="preserve"> </w:t>
      </w:r>
      <w:r>
        <w:t xml:space="preserve">tyres </w:t>
      </w:r>
      <w:r w:rsidRPr="0096285A">
        <w:t>with a load capacity index</w:t>
      </w:r>
      <w:r w:rsidR="0096285A" w:rsidRPr="0096285A">
        <w:rPr>
          <w:b/>
          <w:lang w:val="en-US"/>
        </w:rPr>
        <w:t xml:space="preserve"> </w:t>
      </w:r>
      <w:r w:rsidRPr="0096285A">
        <w:t xml:space="preserve">in excess of 121 and </w:t>
      </w:r>
      <w:r>
        <w:t>without any dual fitting indication, two of these tyres of the same type and range shall be fitted to the rear axle of the test vehicle; the front axle shall be fitted with tyres of size suitable for the axle load</w:t>
      </w:r>
      <w:r>
        <w:rPr>
          <w:rFonts w:hint="eastAsia"/>
          <w:lang w:eastAsia="ja-JP"/>
        </w:rPr>
        <w:t xml:space="preserve"> </w:t>
      </w:r>
      <w:r>
        <w:t xml:space="preserve">and planed down to the minimum depth in order to minimize the influence of tyre/road contact noise while maintaining a sufficient level of safety. </w:t>
      </w:r>
    </w:p>
    <w:p w14:paraId="16C563D7" w14:textId="05FCF4B0" w:rsidR="004124D9" w:rsidRPr="004124D9" w:rsidRDefault="004124D9" w:rsidP="004124D9">
      <w:pPr>
        <w:spacing w:after="120"/>
        <w:ind w:left="2268" w:right="1134"/>
        <w:jc w:val="both"/>
        <w:rPr>
          <w:b/>
          <w:lang w:val="en-US"/>
        </w:rPr>
      </w:pPr>
      <w:r w:rsidRPr="004124D9">
        <w:rPr>
          <w:rFonts w:hint="eastAsia"/>
          <w:b/>
          <w:lang w:val="en-US"/>
        </w:rPr>
        <w:t xml:space="preserve">In the case of </w:t>
      </w:r>
      <w:r w:rsidR="00C97246" w:rsidRPr="00C97246">
        <w:rPr>
          <w:b/>
          <w:color w:val="FF0000"/>
          <w:lang w:val="en-US"/>
        </w:rPr>
        <w:t xml:space="preserve">C2 </w:t>
      </w:r>
      <w:proofErr w:type="spellStart"/>
      <w:r w:rsidRPr="004124D9">
        <w:rPr>
          <w:rFonts w:hint="eastAsia"/>
          <w:b/>
          <w:lang w:val="en-US"/>
        </w:rPr>
        <w:t>tyres</w:t>
      </w:r>
      <w:proofErr w:type="spellEnd"/>
      <w:r w:rsidR="0096285A" w:rsidRPr="0096285A">
        <w:rPr>
          <w:b/>
          <w:lang w:val="en-US"/>
        </w:rPr>
        <w:t xml:space="preserve"> with a load capacity index lower or equal to 121</w:t>
      </w:r>
      <w:r w:rsidR="0096285A">
        <w:rPr>
          <w:b/>
          <w:lang w:val="en-US"/>
        </w:rPr>
        <w:t xml:space="preserve">, </w:t>
      </w:r>
      <w:r w:rsidRPr="004124D9">
        <w:rPr>
          <w:rFonts w:hint="eastAsia"/>
          <w:b/>
          <w:lang w:val="en-US"/>
        </w:rPr>
        <w:t xml:space="preserve">with section width is wider than 200mm, aspect ratio is lower than 55, rim diameter code is lower than 15 and without any dual fitting indication, two of these </w:t>
      </w:r>
      <w:proofErr w:type="spellStart"/>
      <w:r w:rsidRPr="004124D9">
        <w:rPr>
          <w:rFonts w:hint="eastAsia"/>
          <w:b/>
          <w:lang w:val="en-US"/>
        </w:rPr>
        <w:t>tyres</w:t>
      </w:r>
      <w:proofErr w:type="spellEnd"/>
      <w:r w:rsidRPr="004124D9">
        <w:rPr>
          <w:rFonts w:hint="eastAsia"/>
          <w:b/>
          <w:lang w:val="en-US"/>
        </w:rPr>
        <w:t xml:space="preserve"> of the same type and range shall be fitted to the rear axle of the test vehicle; the front axle shall be fitted with </w:t>
      </w:r>
      <w:proofErr w:type="spellStart"/>
      <w:r w:rsidRPr="004124D9">
        <w:rPr>
          <w:rFonts w:hint="eastAsia"/>
          <w:b/>
          <w:lang w:val="en-US"/>
        </w:rPr>
        <w:t>tyres</w:t>
      </w:r>
      <w:proofErr w:type="spellEnd"/>
      <w:r w:rsidRPr="004124D9">
        <w:rPr>
          <w:rFonts w:hint="eastAsia"/>
          <w:b/>
          <w:lang w:val="en-US"/>
        </w:rPr>
        <w:t xml:space="preserve"> of size suitable for the axle load</w:t>
      </w:r>
      <w:r w:rsidRPr="004124D9">
        <w:rPr>
          <w:b/>
          <w:lang w:val="en-US"/>
        </w:rPr>
        <w:t xml:space="preserve"> </w:t>
      </w:r>
      <w:r w:rsidRPr="004124D9">
        <w:rPr>
          <w:rFonts w:hint="eastAsia"/>
          <w:b/>
          <w:lang w:val="en-US"/>
        </w:rPr>
        <w:t>and planed down to the minimum depth in order to minimize the influence of</w:t>
      </w:r>
      <w:r w:rsidRPr="004124D9">
        <w:rPr>
          <w:b/>
          <w:lang w:val="en-US"/>
        </w:rPr>
        <w:t xml:space="preserve"> </w:t>
      </w:r>
      <w:proofErr w:type="spellStart"/>
      <w:r w:rsidRPr="004124D9">
        <w:rPr>
          <w:rFonts w:hint="eastAsia"/>
          <w:b/>
          <w:lang w:val="en-US"/>
        </w:rPr>
        <w:t>tyre</w:t>
      </w:r>
      <w:proofErr w:type="spellEnd"/>
      <w:r w:rsidRPr="004124D9">
        <w:rPr>
          <w:rFonts w:hint="eastAsia"/>
          <w:b/>
          <w:lang w:val="en-US"/>
        </w:rPr>
        <w:t xml:space="preserve">/road contact noise while maintaining a sufficient level of safety. </w:t>
      </w:r>
    </w:p>
    <w:p w14:paraId="2D93FFBB" w14:textId="77777777" w:rsidR="00534145" w:rsidRDefault="00534145" w:rsidP="004124D9">
      <w:pPr>
        <w:spacing w:after="120"/>
        <w:ind w:left="2268" w:right="1134"/>
        <w:jc w:val="both"/>
      </w:pPr>
      <w:r w:rsidRPr="00C97246">
        <w:rPr>
          <w:strike/>
          <w:color w:val="FF0000"/>
        </w:rPr>
        <w:t>Winter tyres that in certain Contracting Parties may be equipped with studs intended to enhance friction shall be tested without this equipment.</w:t>
      </w:r>
      <w:r w:rsidRPr="00C97246">
        <w:rPr>
          <w:color w:val="FF0000"/>
        </w:rPr>
        <w:t xml:space="preserve"> </w:t>
      </w:r>
      <w:r>
        <w:t>Tyres with special fitting requirements shall be tested in accordance with these requirements (e.g. rotation direction). The tyres shall have full tread depth before being run-in.</w:t>
      </w:r>
    </w:p>
    <w:p w14:paraId="54635C54" w14:textId="598BC255" w:rsidR="00A27263" w:rsidRDefault="00534145" w:rsidP="00CF4254">
      <w:pPr>
        <w:spacing w:after="120"/>
        <w:ind w:left="2268" w:right="1134"/>
        <w:jc w:val="both"/>
        <w:rPr>
          <w:i/>
          <w:iCs/>
        </w:rPr>
      </w:pPr>
      <w:r>
        <w:t>Tyres are to be tested on rims permitted by the tyre manufacturer.</w:t>
      </w:r>
      <w:r w:rsidR="008A462F">
        <w:t>”</w:t>
      </w:r>
    </w:p>
    <w:p w14:paraId="02D9EF64" w14:textId="77777777" w:rsidR="00ED0ADE" w:rsidRDefault="00ED0ADE" w:rsidP="00ED0ADE">
      <w:pPr>
        <w:pStyle w:val="HChG"/>
        <w:tabs>
          <w:tab w:val="clear" w:pos="851"/>
        </w:tabs>
        <w:spacing w:line="240" w:lineRule="auto"/>
        <w:ind w:hanging="567"/>
        <w:rPr>
          <w:b w:val="0"/>
        </w:rPr>
      </w:pPr>
      <w:r>
        <w:t>II.</w:t>
      </w:r>
      <w:r>
        <w:tab/>
        <w:t>Justification</w:t>
      </w:r>
    </w:p>
    <w:p w14:paraId="414E4BE2" w14:textId="3D5C83F9" w:rsidR="00ED0ADE" w:rsidRDefault="00315234" w:rsidP="00315234">
      <w:pPr>
        <w:spacing w:after="120"/>
        <w:ind w:left="1134" w:right="1134"/>
        <w:jc w:val="both"/>
      </w:pPr>
      <w:r>
        <w:t>1.</w:t>
      </w:r>
      <w:r>
        <w:tab/>
      </w:r>
      <w:r w:rsidR="004124D9">
        <w:t>In Japan, there are a few unique light truck vehicles which</w:t>
      </w:r>
      <w:r w:rsidR="00CF4254">
        <w:t xml:space="preserve"> are </w:t>
      </w:r>
      <w:r w:rsidR="004124D9">
        <w:t>equip</w:t>
      </w:r>
      <w:r w:rsidR="00CF4254">
        <w:t xml:space="preserve">ped with a </w:t>
      </w:r>
      <w:r w:rsidR="004124D9">
        <w:t>unique size</w:t>
      </w:r>
      <w:r w:rsidR="00356BB2">
        <w:t xml:space="preserve"> of C2 tyre</w:t>
      </w:r>
      <w:r w:rsidR="004124D9">
        <w:t xml:space="preserve"> for </w:t>
      </w:r>
      <w:r w:rsidR="00CF4254">
        <w:t xml:space="preserve">the </w:t>
      </w:r>
      <w:r w:rsidR="004124D9">
        <w:t xml:space="preserve">rear axle </w:t>
      </w:r>
      <w:r w:rsidR="00356BB2">
        <w:t xml:space="preserve">in order to reduce the </w:t>
      </w:r>
      <w:r w:rsidR="003152B0">
        <w:t>height of rear deck</w:t>
      </w:r>
      <w:r w:rsidR="004124D9">
        <w:t>.</w:t>
      </w:r>
      <w:r w:rsidR="003152B0">
        <w:t xml:space="preserve"> </w:t>
      </w:r>
      <w:r w:rsidR="004124D9">
        <w:t>The size designation of those rear tyre</w:t>
      </w:r>
      <w:r w:rsidR="00CF4254">
        <w:t>s</w:t>
      </w:r>
      <w:r w:rsidR="004124D9">
        <w:t xml:space="preserve"> is w</w:t>
      </w:r>
      <w:r w:rsidR="004124D9" w:rsidRPr="004124D9">
        <w:t xml:space="preserve">ith </w:t>
      </w:r>
      <w:r w:rsidR="00CF4254">
        <w:t xml:space="preserve">the </w:t>
      </w:r>
      <w:r w:rsidR="004124D9" w:rsidRPr="004124D9">
        <w:t>section width wider than 200</w:t>
      </w:r>
      <w:r w:rsidR="00CF4254">
        <w:t xml:space="preserve"> </w:t>
      </w:r>
      <w:r w:rsidR="004124D9" w:rsidRPr="004124D9">
        <w:t xml:space="preserve">mm, </w:t>
      </w:r>
      <w:r w:rsidR="00CF4254">
        <w:t xml:space="preserve">the </w:t>
      </w:r>
      <w:r w:rsidR="004124D9" w:rsidRPr="004124D9">
        <w:t xml:space="preserve">aspect ratio lower than 55, </w:t>
      </w:r>
      <w:r w:rsidR="00CF4254">
        <w:t xml:space="preserve">the </w:t>
      </w:r>
      <w:r w:rsidR="004124D9" w:rsidRPr="004124D9">
        <w:t>rim diameter code lower than 15 and without any dual fitting indication</w:t>
      </w:r>
      <w:r w:rsidR="00CF4254">
        <w:t xml:space="preserve">, </w:t>
      </w:r>
      <w:r w:rsidR="003152B0">
        <w:t xml:space="preserve">i.e. </w:t>
      </w:r>
      <w:r w:rsidR="00CF4254">
        <w:t>the f</w:t>
      </w:r>
      <w:r w:rsidR="003152B0">
        <w:t>ront size 175/75R15</w:t>
      </w:r>
      <w:r w:rsidR="003339F0">
        <w:t xml:space="preserve"> LT</w:t>
      </w:r>
      <w:r w:rsidR="003152B0">
        <w:t xml:space="preserve"> and </w:t>
      </w:r>
      <w:r w:rsidR="00CF4254">
        <w:t>the r</w:t>
      </w:r>
      <w:r w:rsidR="003152B0">
        <w:t xml:space="preserve">ear size </w:t>
      </w:r>
      <w:r w:rsidR="003152B0" w:rsidRPr="00315234">
        <w:rPr>
          <w:u w:val="single"/>
        </w:rPr>
        <w:t>235/50R14</w:t>
      </w:r>
      <w:r w:rsidR="003152B0">
        <w:t xml:space="preserve"> </w:t>
      </w:r>
      <w:r w:rsidR="003339F0">
        <w:t xml:space="preserve">LT </w:t>
      </w:r>
      <w:r w:rsidR="003152B0">
        <w:t>or</w:t>
      </w:r>
      <w:r w:rsidR="00CF4254">
        <w:t xml:space="preserve"> the</w:t>
      </w:r>
      <w:r w:rsidR="003152B0">
        <w:t xml:space="preserve"> </w:t>
      </w:r>
      <w:r w:rsidR="00CF4254">
        <w:t>f</w:t>
      </w:r>
      <w:r w:rsidR="003152B0">
        <w:t xml:space="preserve">ront size 175/75R15 </w:t>
      </w:r>
      <w:r w:rsidR="003339F0">
        <w:t xml:space="preserve">LT </w:t>
      </w:r>
      <w:r w:rsidR="003152B0">
        <w:t xml:space="preserve">and </w:t>
      </w:r>
      <w:r w:rsidR="00CF4254">
        <w:t>the r</w:t>
      </w:r>
      <w:r w:rsidR="003152B0">
        <w:t xml:space="preserve">ear size </w:t>
      </w:r>
      <w:r w:rsidR="003152B0" w:rsidRPr="00315234">
        <w:rPr>
          <w:u w:val="single"/>
        </w:rPr>
        <w:t>265/50R14</w:t>
      </w:r>
      <w:r w:rsidR="00CF4254" w:rsidRPr="00CF4254">
        <w:t xml:space="preserve"> </w:t>
      </w:r>
      <w:r w:rsidR="003339F0">
        <w:t>LT</w:t>
      </w:r>
      <w:r w:rsidR="00CF4254">
        <w:t xml:space="preserve">. </w:t>
      </w:r>
      <w:r w:rsidR="003339F0">
        <w:t xml:space="preserve"> </w:t>
      </w:r>
    </w:p>
    <w:p w14:paraId="07F74187" w14:textId="33998A9F" w:rsidR="00CF4254" w:rsidRDefault="00CF4254" w:rsidP="00CF4254">
      <w:pPr>
        <w:pStyle w:val="ListParagraph"/>
        <w:tabs>
          <w:tab w:val="left" w:pos="2835"/>
        </w:tabs>
        <w:spacing w:after="120"/>
        <w:ind w:left="1134" w:right="1134"/>
        <w:jc w:val="both"/>
      </w:pPr>
    </w:p>
    <w:p w14:paraId="73C1FA03" w14:textId="5EE15A60" w:rsidR="004124D9" w:rsidRDefault="00CF4254" w:rsidP="00CF4254">
      <w:pPr>
        <w:pStyle w:val="ListParagraph"/>
        <w:spacing w:after="120"/>
        <w:ind w:left="1134" w:right="1134"/>
        <w:jc w:val="both"/>
      </w:pPr>
      <w:r>
        <w:t>2.</w:t>
      </w:r>
      <w:r>
        <w:tab/>
      </w:r>
      <w:r w:rsidR="004124D9">
        <w:t xml:space="preserve">Due to this unique size designation, </w:t>
      </w:r>
      <w:r w:rsidR="003152B0">
        <w:t>there is no test vehicle which can fit such</w:t>
      </w:r>
      <w:r>
        <w:t xml:space="preserve"> a</w:t>
      </w:r>
      <w:r w:rsidR="003152B0">
        <w:t xml:space="preserve"> unique size on all position</w:t>
      </w:r>
      <w:r>
        <w:t>s</w:t>
      </w:r>
      <w:r w:rsidR="003152B0">
        <w:t xml:space="preserve"> in order</w:t>
      </w:r>
      <w:r w:rsidR="004124D9">
        <w:t xml:space="preserve"> to carry out the tyre rolling sound measurement specified in Annex 3.</w:t>
      </w:r>
    </w:p>
    <w:p w14:paraId="025A8F3E" w14:textId="6735F57E" w:rsidR="00CF4254" w:rsidRDefault="00CF4254" w:rsidP="00CF4254">
      <w:pPr>
        <w:pStyle w:val="ListParagraph"/>
        <w:spacing w:after="120"/>
        <w:ind w:left="1134" w:right="1134"/>
        <w:jc w:val="both"/>
      </w:pPr>
    </w:p>
    <w:p w14:paraId="73A13EEC" w14:textId="7D18EFC8" w:rsidR="004124D9" w:rsidRDefault="00CF4254" w:rsidP="00CF4254">
      <w:pPr>
        <w:pStyle w:val="ListParagraph"/>
        <w:spacing w:after="120"/>
        <w:ind w:left="1134" w:right="1134"/>
        <w:jc w:val="both"/>
      </w:pPr>
      <w:r>
        <w:t>3.</w:t>
      </w:r>
      <w:r>
        <w:tab/>
      </w:r>
      <w:r w:rsidR="004124D9">
        <w:t>The amendment to Annex 3</w:t>
      </w:r>
      <w:r w:rsidR="00356BB2">
        <w:t>,</w:t>
      </w:r>
      <w:r w:rsidR="004124D9">
        <w:t xml:space="preserve"> paragraph 2.5.1. is proposed to make feasible </w:t>
      </w:r>
      <w:r w:rsidR="003152B0">
        <w:t>carry</w:t>
      </w:r>
      <w:r>
        <w:t>ing</w:t>
      </w:r>
      <w:r w:rsidR="003152B0">
        <w:t xml:space="preserve"> out the </w:t>
      </w:r>
      <w:r w:rsidR="004124D9">
        <w:t xml:space="preserve">rolling sound measurement </w:t>
      </w:r>
      <w:r w:rsidR="00356BB2">
        <w:t xml:space="preserve">for </w:t>
      </w:r>
      <w:r>
        <w:t xml:space="preserve">this </w:t>
      </w:r>
      <w:r w:rsidR="004124D9">
        <w:t>unique rear size</w:t>
      </w:r>
      <w:r w:rsidR="007A3393">
        <w:t xml:space="preserve">, similar to </w:t>
      </w:r>
      <w:r w:rsidR="00725034">
        <w:t xml:space="preserve">the provision </w:t>
      </w:r>
      <w:r w:rsidR="007A3393">
        <w:t xml:space="preserve">already allowed for </w:t>
      </w:r>
      <w:r w:rsidR="00EF22EB">
        <w:t>tyres with</w:t>
      </w:r>
      <w:r w:rsidR="00725034">
        <w:t xml:space="preserve"> the</w:t>
      </w:r>
      <w:r w:rsidR="00EF22EB">
        <w:t xml:space="preserve"> load index in excess of 121 and </w:t>
      </w:r>
      <w:r w:rsidR="007A3393">
        <w:t>without any dual fitting indication</w:t>
      </w:r>
      <w:r w:rsidR="00725034">
        <w:t xml:space="preserve"> </w:t>
      </w:r>
      <w:r w:rsidR="007A3393">
        <w:t xml:space="preserve">(e.g. </w:t>
      </w:r>
      <w:r w:rsidR="00EF22EB">
        <w:t xml:space="preserve">C3 </w:t>
      </w:r>
      <w:r w:rsidR="00C57D37">
        <w:t>wide base single tyre which replace</w:t>
      </w:r>
      <w:r w:rsidR="00725034">
        <w:t>s</w:t>
      </w:r>
      <w:r w:rsidR="00C57D37">
        <w:t xml:space="preserve"> dual</w:t>
      </w:r>
      <w:r w:rsidR="00C57D37">
        <w:rPr>
          <w:lang w:eastAsia="ja-JP"/>
        </w:rPr>
        <w:t>s</w:t>
      </w:r>
      <w:r w:rsidR="007A3393">
        <w:t>)</w:t>
      </w:r>
      <w:r w:rsidR="00356BB2">
        <w:t>.</w:t>
      </w:r>
    </w:p>
    <w:p w14:paraId="40B3C677" w14:textId="4BD191FB" w:rsidR="00171DD0" w:rsidRDefault="00171DD0" w:rsidP="00CF4254">
      <w:pPr>
        <w:pStyle w:val="ListParagraph"/>
        <w:spacing w:after="120"/>
        <w:ind w:left="1134" w:right="1134"/>
        <w:jc w:val="both"/>
      </w:pPr>
    </w:p>
    <w:p w14:paraId="41DA205A" w14:textId="1B601DAE" w:rsidR="00171DD0" w:rsidRDefault="00171DD0" w:rsidP="00CF4254">
      <w:pPr>
        <w:pStyle w:val="ListParagraph"/>
        <w:spacing w:after="120"/>
        <w:ind w:left="1134" w:right="1134"/>
        <w:jc w:val="both"/>
        <w:rPr>
          <w:color w:val="FF0000"/>
        </w:rPr>
      </w:pPr>
      <w:r w:rsidRPr="00171DD0">
        <w:rPr>
          <w:color w:val="FF0000"/>
        </w:rPr>
        <w:t>4.</w:t>
      </w:r>
      <w:r w:rsidRPr="00171DD0">
        <w:rPr>
          <w:color w:val="FF0000"/>
        </w:rPr>
        <w:tab/>
      </w:r>
      <w:r>
        <w:rPr>
          <w:color w:val="FF0000"/>
        </w:rPr>
        <w:t xml:space="preserve">There is a C1 tyre size (315/70 R 17 125) with a load index higher than 121. This tyre should be tested as any other C1 tyre and NOT following the procedure described in the paragraph. Furthermore, there are several C1 tyre sizes that fulfil the requirements outlined in the second paragraph. </w:t>
      </w:r>
      <w:r w:rsidR="00534591">
        <w:rPr>
          <w:color w:val="FF0000"/>
        </w:rPr>
        <w:t>These sizes</w:t>
      </w:r>
      <w:r>
        <w:rPr>
          <w:color w:val="FF0000"/>
        </w:rPr>
        <w:t xml:space="preserve"> should also be excluded from the specific test procedure. </w:t>
      </w:r>
    </w:p>
    <w:p w14:paraId="7ABDF917" w14:textId="6509E755" w:rsidR="00171DD0" w:rsidRDefault="00171DD0" w:rsidP="00CF4254">
      <w:pPr>
        <w:pStyle w:val="ListParagraph"/>
        <w:spacing w:after="120"/>
        <w:ind w:left="1134" w:right="1134"/>
        <w:jc w:val="both"/>
        <w:rPr>
          <w:color w:val="FF0000"/>
        </w:rPr>
      </w:pPr>
    </w:p>
    <w:p w14:paraId="5D465BF7" w14:textId="0F2533E8" w:rsidR="00171DD0" w:rsidRDefault="00171DD0" w:rsidP="00CF4254">
      <w:pPr>
        <w:pStyle w:val="ListParagraph"/>
        <w:spacing w:after="120"/>
        <w:ind w:left="1134" w:right="1134"/>
        <w:jc w:val="both"/>
        <w:rPr>
          <w:color w:val="FF0000"/>
        </w:rPr>
      </w:pPr>
      <w:r>
        <w:rPr>
          <w:color w:val="FF0000"/>
        </w:rPr>
        <w:t>5.</w:t>
      </w:r>
      <w:r>
        <w:rPr>
          <w:color w:val="FF0000"/>
        </w:rPr>
        <w:tab/>
        <w:t>Although</w:t>
      </w:r>
      <w:r w:rsidRPr="00171DD0">
        <w:rPr>
          <w:color w:val="FF0000"/>
        </w:rPr>
        <w:t xml:space="preserve"> the </w:t>
      </w:r>
      <w:r>
        <w:rPr>
          <w:color w:val="FF0000"/>
        </w:rPr>
        <w:t xml:space="preserve">first </w:t>
      </w:r>
      <w:r w:rsidRPr="00171DD0">
        <w:rPr>
          <w:color w:val="FF0000"/>
        </w:rPr>
        <w:t>sentence</w:t>
      </w:r>
      <w:r>
        <w:rPr>
          <w:color w:val="FF0000"/>
        </w:rPr>
        <w:t xml:space="preserve"> of the third paragraph</w:t>
      </w:r>
      <w:r w:rsidRPr="00171DD0">
        <w:rPr>
          <w:color w:val="FF0000"/>
        </w:rPr>
        <w:t xml:space="preserve"> is not wrong</w:t>
      </w:r>
      <w:r>
        <w:rPr>
          <w:color w:val="FF0000"/>
        </w:rPr>
        <w:t>, it is</w:t>
      </w:r>
      <w:r w:rsidRPr="00171DD0">
        <w:rPr>
          <w:color w:val="FF0000"/>
        </w:rPr>
        <w:t xml:space="preserve"> confusing.</w:t>
      </w:r>
      <w:r>
        <w:rPr>
          <w:color w:val="FF0000"/>
        </w:rPr>
        <w:t xml:space="preserve"> </w:t>
      </w:r>
      <w:r w:rsidR="00534591" w:rsidRPr="00171DD0">
        <w:rPr>
          <w:color w:val="FF0000"/>
        </w:rPr>
        <w:t xml:space="preserve">None of the other test methods contains this or a similar provision. </w:t>
      </w:r>
      <w:r w:rsidRPr="00171DD0">
        <w:rPr>
          <w:color w:val="FF0000"/>
        </w:rPr>
        <w:t>As tyres with studs are out of scope</w:t>
      </w:r>
      <w:r>
        <w:rPr>
          <w:color w:val="FF0000"/>
        </w:rPr>
        <w:t xml:space="preserve"> of regulation 117</w:t>
      </w:r>
      <w:r w:rsidRPr="00171DD0">
        <w:rPr>
          <w:color w:val="FF0000"/>
        </w:rPr>
        <w:t>,</w:t>
      </w:r>
      <w:r w:rsidR="00534591">
        <w:rPr>
          <w:color w:val="FF0000"/>
        </w:rPr>
        <w:t xml:space="preserve"> there is no</w:t>
      </w:r>
      <w:r w:rsidRPr="00171DD0">
        <w:rPr>
          <w:color w:val="FF0000"/>
        </w:rPr>
        <w:t xml:space="preserve"> reason to provide that tyres</w:t>
      </w:r>
      <w:r w:rsidR="002D2B9E">
        <w:rPr>
          <w:color w:val="FF0000"/>
        </w:rPr>
        <w:t xml:space="preserve"> which</w:t>
      </w:r>
      <w:r w:rsidRPr="00171DD0">
        <w:rPr>
          <w:color w:val="FF0000"/>
        </w:rPr>
        <w:t xml:space="preserve"> </w:t>
      </w:r>
      <w:r w:rsidR="002D2B9E" w:rsidRPr="002D2B9E">
        <w:rPr>
          <w:color w:val="FF0000"/>
        </w:rPr>
        <w:t xml:space="preserve">may be equipped with studs </w:t>
      </w:r>
      <w:r w:rsidR="002D2B9E">
        <w:rPr>
          <w:color w:val="FF0000"/>
        </w:rPr>
        <w:t>when they are put into service in certain Contracting Parties shall</w:t>
      </w:r>
      <w:r w:rsidR="002D2B9E" w:rsidRPr="00171DD0">
        <w:rPr>
          <w:color w:val="FF0000"/>
        </w:rPr>
        <w:t xml:space="preserve"> </w:t>
      </w:r>
      <w:r w:rsidRPr="00171DD0">
        <w:rPr>
          <w:color w:val="FF0000"/>
        </w:rPr>
        <w:t>not be tested with studs.</w:t>
      </w:r>
    </w:p>
    <w:p w14:paraId="53C82ACE" w14:textId="498978E7" w:rsidR="00725034" w:rsidRPr="00B756BE" w:rsidRDefault="00B756BE" w:rsidP="00B756BE">
      <w:pPr>
        <w:spacing w:before="240"/>
        <w:jc w:val="center"/>
        <w:rPr>
          <w:u w:val="single"/>
        </w:rPr>
      </w:pPr>
      <w:r>
        <w:rPr>
          <w:u w:val="single"/>
        </w:rPr>
        <w:tab/>
      </w:r>
      <w:r>
        <w:rPr>
          <w:u w:val="single"/>
        </w:rPr>
        <w:tab/>
      </w:r>
      <w:r>
        <w:rPr>
          <w:u w:val="single"/>
        </w:rPr>
        <w:tab/>
      </w:r>
    </w:p>
    <w:sectPr w:rsidR="00725034" w:rsidRPr="00B756BE" w:rsidSect="00E56E9F">
      <w:headerReference w:type="even" r:id="rId11"/>
      <w:headerReference w:type="default" r:id="rId12"/>
      <w:footerReference w:type="even" r:id="rId13"/>
      <w:footerReference w:type="default" r:id="rId14"/>
      <w:endnotePr>
        <w:numFmt w:val="decimal"/>
      </w:endnotePr>
      <w:pgSz w:w="11907" w:h="16840" w:code="9"/>
      <w:pgMar w:top="1701" w:right="1134" w:bottom="1134" w:left="1134" w:header="1134" w:footer="78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01494" w14:textId="77777777" w:rsidR="00D93D58" w:rsidRDefault="00D93D58"/>
  </w:endnote>
  <w:endnote w:type="continuationSeparator" w:id="0">
    <w:p w14:paraId="483E418E" w14:textId="77777777" w:rsidR="00D93D58" w:rsidRDefault="00D93D58"/>
  </w:endnote>
  <w:endnote w:type="continuationNotice" w:id="1">
    <w:p w14:paraId="371E9810" w14:textId="77777777" w:rsidR="00D93D58" w:rsidRDefault="00D93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4216" w14:textId="62026274" w:rsidR="00AC73F9" w:rsidRPr="00923752" w:rsidRDefault="00EC4734" w:rsidP="00923752">
    <w:pPr>
      <w:pStyle w:val="Footer"/>
      <w:tabs>
        <w:tab w:val="right" w:pos="9638"/>
      </w:tabs>
      <w:rPr>
        <w:sz w:val="18"/>
      </w:rPr>
    </w:pPr>
    <w:r w:rsidRPr="00923752">
      <w:rPr>
        <w:b/>
        <w:sz w:val="18"/>
      </w:rPr>
      <w:fldChar w:fldCharType="begin"/>
    </w:r>
    <w:r w:rsidR="00AC73F9" w:rsidRPr="00923752">
      <w:rPr>
        <w:b/>
        <w:sz w:val="18"/>
      </w:rPr>
      <w:instrText xml:space="preserve"> PAGE  \* MERGEFORMAT </w:instrText>
    </w:r>
    <w:r w:rsidRPr="00923752">
      <w:rPr>
        <w:b/>
        <w:sz w:val="18"/>
      </w:rPr>
      <w:fldChar w:fldCharType="separate"/>
    </w:r>
    <w:r w:rsidR="002D2B9E">
      <w:rPr>
        <w:b/>
        <w:noProof/>
        <w:sz w:val="18"/>
      </w:rPr>
      <w:t>2</w:t>
    </w:r>
    <w:r w:rsidRPr="00923752">
      <w:rPr>
        <w:b/>
        <w:sz w:val="18"/>
      </w:rPr>
      <w:fldChar w:fldCharType="end"/>
    </w:r>
    <w:r w:rsidR="00AC73F9">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9236" w14:textId="32AC2E1C" w:rsidR="00AC73F9" w:rsidRPr="00923752" w:rsidRDefault="00AC73F9" w:rsidP="00923752">
    <w:pPr>
      <w:pStyle w:val="Footer"/>
      <w:tabs>
        <w:tab w:val="right" w:pos="9638"/>
      </w:tabs>
      <w:rPr>
        <w:b/>
        <w:sz w:val="18"/>
      </w:rPr>
    </w:pPr>
    <w:r>
      <w:tab/>
    </w:r>
    <w:r w:rsidR="00EC4734" w:rsidRPr="00923752">
      <w:rPr>
        <w:b/>
        <w:sz w:val="18"/>
      </w:rPr>
      <w:fldChar w:fldCharType="begin"/>
    </w:r>
    <w:r w:rsidRPr="00923752">
      <w:rPr>
        <w:b/>
        <w:sz w:val="18"/>
      </w:rPr>
      <w:instrText xml:space="preserve"> PAGE  \* MERGEFORMAT </w:instrText>
    </w:r>
    <w:r w:rsidR="00EC4734" w:rsidRPr="00923752">
      <w:rPr>
        <w:b/>
        <w:sz w:val="18"/>
      </w:rPr>
      <w:fldChar w:fldCharType="separate"/>
    </w:r>
    <w:r w:rsidR="002D2B9E">
      <w:rPr>
        <w:b/>
        <w:noProof/>
        <w:sz w:val="18"/>
      </w:rPr>
      <w:t>3</w:t>
    </w:r>
    <w:r w:rsidR="00EC4734" w:rsidRPr="0092375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30436" w14:textId="77777777" w:rsidR="00D93D58" w:rsidRPr="000B175B" w:rsidRDefault="00D93D58" w:rsidP="000B175B">
      <w:pPr>
        <w:tabs>
          <w:tab w:val="right" w:pos="2155"/>
        </w:tabs>
        <w:spacing w:after="80"/>
        <w:ind w:left="680"/>
        <w:rPr>
          <w:u w:val="single"/>
        </w:rPr>
      </w:pPr>
      <w:r>
        <w:rPr>
          <w:u w:val="single"/>
        </w:rPr>
        <w:tab/>
      </w:r>
    </w:p>
  </w:footnote>
  <w:footnote w:type="continuationSeparator" w:id="0">
    <w:p w14:paraId="2AA0ED10" w14:textId="77777777" w:rsidR="00D93D58" w:rsidRPr="00FC68B7" w:rsidRDefault="00D93D58" w:rsidP="00FC68B7">
      <w:pPr>
        <w:tabs>
          <w:tab w:val="left" w:pos="2155"/>
        </w:tabs>
        <w:spacing w:after="80"/>
        <w:ind w:left="680"/>
        <w:rPr>
          <w:u w:val="single"/>
        </w:rPr>
      </w:pPr>
      <w:r>
        <w:rPr>
          <w:u w:val="single"/>
        </w:rPr>
        <w:tab/>
      </w:r>
    </w:p>
  </w:footnote>
  <w:footnote w:type="continuationNotice" w:id="1">
    <w:p w14:paraId="486089C3" w14:textId="77777777" w:rsidR="00D93D58" w:rsidRDefault="00D93D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DC51" w14:textId="4A8EC328" w:rsidR="00AC73F9" w:rsidRPr="00923752" w:rsidRDefault="00AC73F9">
    <w:pPr>
      <w:pStyle w:val="Header"/>
    </w:pPr>
    <w:r>
      <w:t>ECE/TRANS/WP.29/GR</w:t>
    </w:r>
    <w:r w:rsidR="00842473">
      <w:t>BP</w:t>
    </w:r>
    <w:r>
      <w:t>/20</w:t>
    </w:r>
    <w:r w:rsidR="00842473">
      <w:t>20</w:t>
    </w:r>
    <w:r>
      <w:t>/</w:t>
    </w:r>
    <w:r w:rsidR="00CF4254">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3588" w14:textId="034357A4" w:rsidR="00AC73F9" w:rsidRPr="00923752" w:rsidRDefault="00AC73F9" w:rsidP="00923752">
    <w:pPr>
      <w:pStyle w:val="Header"/>
      <w:jc w:val="right"/>
    </w:pPr>
    <w:r>
      <w:t>ECE/TRANS/WP.29/GR</w:t>
    </w:r>
    <w:r w:rsidR="00725034">
      <w:t>BP</w:t>
    </w:r>
    <w:r>
      <w:t>/20</w:t>
    </w:r>
    <w:r w:rsidR="00725034">
      <w:t>20</w:t>
    </w:r>
    <w:r>
      <w:t>/</w:t>
    </w:r>
    <w:r w:rsidR="00725034">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6C4BDA"/>
    <w:multiLevelType w:val="hybridMultilevel"/>
    <w:tmpl w:val="1AD271F4"/>
    <w:lvl w:ilvl="0" w:tplc="46CA14F4">
      <w:start w:val="1"/>
      <w:numFmt w:val="decimal"/>
      <w:lvlText w:val="%1."/>
      <w:lvlJc w:val="left"/>
      <w:pPr>
        <w:ind w:left="1491" w:hanging="360"/>
      </w:pPr>
      <w:rPr>
        <w:rFonts w:hint="default"/>
      </w:rPr>
    </w:lvl>
    <w:lvl w:ilvl="1" w:tplc="080C0019" w:tentative="1">
      <w:start w:val="1"/>
      <w:numFmt w:val="lowerLetter"/>
      <w:lvlText w:val="%2."/>
      <w:lvlJc w:val="left"/>
      <w:pPr>
        <w:ind w:left="2211" w:hanging="360"/>
      </w:pPr>
    </w:lvl>
    <w:lvl w:ilvl="2" w:tplc="080C001B" w:tentative="1">
      <w:start w:val="1"/>
      <w:numFmt w:val="lowerRoman"/>
      <w:lvlText w:val="%3."/>
      <w:lvlJc w:val="right"/>
      <w:pPr>
        <w:ind w:left="2931" w:hanging="180"/>
      </w:pPr>
    </w:lvl>
    <w:lvl w:ilvl="3" w:tplc="080C000F" w:tentative="1">
      <w:start w:val="1"/>
      <w:numFmt w:val="decimal"/>
      <w:lvlText w:val="%4."/>
      <w:lvlJc w:val="left"/>
      <w:pPr>
        <w:ind w:left="3651" w:hanging="360"/>
      </w:pPr>
    </w:lvl>
    <w:lvl w:ilvl="4" w:tplc="080C0019" w:tentative="1">
      <w:start w:val="1"/>
      <w:numFmt w:val="lowerLetter"/>
      <w:lvlText w:val="%5."/>
      <w:lvlJc w:val="left"/>
      <w:pPr>
        <w:ind w:left="4371" w:hanging="360"/>
      </w:pPr>
    </w:lvl>
    <w:lvl w:ilvl="5" w:tplc="080C001B" w:tentative="1">
      <w:start w:val="1"/>
      <w:numFmt w:val="lowerRoman"/>
      <w:lvlText w:val="%6."/>
      <w:lvlJc w:val="right"/>
      <w:pPr>
        <w:ind w:left="5091" w:hanging="180"/>
      </w:pPr>
    </w:lvl>
    <w:lvl w:ilvl="6" w:tplc="080C000F" w:tentative="1">
      <w:start w:val="1"/>
      <w:numFmt w:val="decimal"/>
      <w:lvlText w:val="%7."/>
      <w:lvlJc w:val="left"/>
      <w:pPr>
        <w:ind w:left="5811" w:hanging="360"/>
      </w:pPr>
    </w:lvl>
    <w:lvl w:ilvl="7" w:tplc="080C0019" w:tentative="1">
      <w:start w:val="1"/>
      <w:numFmt w:val="lowerLetter"/>
      <w:lvlText w:val="%8."/>
      <w:lvlJc w:val="left"/>
      <w:pPr>
        <w:ind w:left="6531" w:hanging="360"/>
      </w:pPr>
    </w:lvl>
    <w:lvl w:ilvl="8" w:tplc="080C001B" w:tentative="1">
      <w:start w:val="1"/>
      <w:numFmt w:val="lowerRoman"/>
      <w:lvlText w:val="%9."/>
      <w:lvlJc w:val="right"/>
      <w:pPr>
        <w:ind w:left="7251" w:hanging="180"/>
      </w:pPr>
    </w:lvl>
  </w:abstractNum>
  <w:abstractNum w:abstractNumId="14"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5"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18"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9"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0"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1"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5"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2"/>
  </w:num>
  <w:num w:numId="13">
    <w:abstractNumId w:val="11"/>
  </w:num>
  <w:num w:numId="14">
    <w:abstractNumId w:val="23"/>
  </w:num>
  <w:num w:numId="15">
    <w:abstractNumId w:val="26"/>
  </w:num>
  <w:num w:numId="16">
    <w:abstractNumId w:val="10"/>
  </w:num>
  <w:num w:numId="17">
    <w:abstractNumId w:val="16"/>
  </w:num>
  <w:num w:numId="18">
    <w:abstractNumId w:val="21"/>
  </w:num>
  <w:num w:numId="19">
    <w:abstractNumId w:val="25"/>
  </w:num>
  <w:num w:numId="20">
    <w:abstractNumId w:val="17"/>
  </w:num>
  <w:num w:numId="21">
    <w:abstractNumId w:val="14"/>
  </w:num>
  <w:num w:numId="22">
    <w:abstractNumId w:val="19"/>
  </w:num>
  <w:num w:numId="23">
    <w:abstractNumId w:val="20"/>
  </w:num>
  <w:num w:numId="24">
    <w:abstractNumId w:val="24"/>
  </w:num>
  <w:num w:numId="25">
    <w:abstractNumId w:val="18"/>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52"/>
    <w:rsid w:val="00003819"/>
    <w:rsid w:val="00010F8B"/>
    <w:rsid w:val="00046B1F"/>
    <w:rsid w:val="00050493"/>
    <w:rsid w:val="00050F6B"/>
    <w:rsid w:val="00052635"/>
    <w:rsid w:val="00057E97"/>
    <w:rsid w:val="000646F4"/>
    <w:rsid w:val="00072C8C"/>
    <w:rsid w:val="000733B5"/>
    <w:rsid w:val="00081815"/>
    <w:rsid w:val="000931C0"/>
    <w:rsid w:val="000A30C4"/>
    <w:rsid w:val="000A39E9"/>
    <w:rsid w:val="000B0595"/>
    <w:rsid w:val="000B09FB"/>
    <w:rsid w:val="000B175B"/>
    <w:rsid w:val="000B2F02"/>
    <w:rsid w:val="000B3A0F"/>
    <w:rsid w:val="000B4EF7"/>
    <w:rsid w:val="000B676B"/>
    <w:rsid w:val="000C2C03"/>
    <w:rsid w:val="000C2D2E"/>
    <w:rsid w:val="000C4C94"/>
    <w:rsid w:val="000E0415"/>
    <w:rsid w:val="000F6BE3"/>
    <w:rsid w:val="000F7775"/>
    <w:rsid w:val="00103A07"/>
    <w:rsid w:val="001103AA"/>
    <w:rsid w:val="0011434E"/>
    <w:rsid w:val="0011666B"/>
    <w:rsid w:val="00124A3B"/>
    <w:rsid w:val="00133987"/>
    <w:rsid w:val="00165F3A"/>
    <w:rsid w:val="00171DD0"/>
    <w:rsid w:val="00182290"/>
    <w:rsid w:val="00182CA2"/>
    <w:rsid w:val="001832FB"/>
    <w:rsid w:val="001A3955"/>
    <w:rsid w:val="001B4B04"/>
    <w:rsid w:val="001C6663"/>
    <w:rsid w:val="001C7895"/>
    <w:rsid w:val="001C78A8"/>
    <w:rsid w:val="001D0C8C"/>
    <w:rsid w:val="001D1419"/>
    <w:rsid w:val="001D26DF"/>
    <w:rsid w:val="001D3A03"/>
    <w:rsid w:val="001D4EDD"/>
    <w:rsid w:val="001E7B67"/>
    <w:rsid w:val="001F4084"/>
    <w:rsid w:val="001F4C8C"/>
    <w:rsid w:val="00202DA8"/>
    <w:rsid w:val="00205E55"/>
    <w:rsid w:val="00210D51"/>
    <w:rsid w:val="00211E0B"/>
    <w:rsid w:val="00216D25"/>
    <w:rsid w:val="0023211D"/>
    <w:rsid w:val="0023295E"/>
    <w:rsid w:val="002410A1"/>
    <w:rsid w:val="0024772E"/>
    <w:rsid w:val="00267F5F"/>
    <w:rsid w:val="00286B4D"/>
    <w:rsid w:val="00294E2C"/>
    <w:rsid w:val="002B2CEE"/>
    <w:rsid w:val="002D102B"/>
    <w:rsid w:val="002D2B9E"/>
    <w:rsid w:val="002D4643"/>
    <w:rsid w:val="002F175C"/>
    <w:rsid w:val="002F2821"/>
    <w:rsid w:val="002F7DE0"/>
    <w:rsid w:val="00302E18"/>
    <w:rsid w:val="00315234"/>
    <w:rsid w:val="003152B0"/>
    <w:rsid w:val="003229D8"/>
    <w:rsid w:val="00330315"/>
    <w:rsid w:val="00332BBA"/>
    <w:rsid w:val="003335AD"/>
    <w:rsid w:val="003339F0"/>
    <w:rsid w:val="00334D86"/>
    <w:rsid w:val="00337273"/>
    <w:rsid w:val="00337CD8"/>
    <w:rsid w:val="0034671F"/>
    <w:rsid w:val="00352709"/>
    <w:rsid w:val="00356BB2"/>
    <w:rsid w:val="003619B5"/>
    <w:rsid w:val="00361AC3"/>
    <w:rsid w:val="00365763"/>
    <w:rsid w:val="003659D8"/>
    <w:rsid w:val="00371178"/>
    <w:rsid w:val="003721E2"/>
    <w:rsid w:val="00385977"/>
    <w:rsid w:val="00390A3C"/>
    <w:rsid w:val="00392E47"/>
    <w:rsid w:val="003A6321"/>
    <w:rsid w:val="003A6810"/>
    <w:rsid w:val="003C0787"/>
    <w:rsid w:val="003C2CC4"/>
    <w:rsid w:val="003C534D"/>
    <w:rsid w:val="003D4B23"/>
    <w:rsid w:val="003D6EB6"/>
    <w:rsid w:val="003E130E"/>
    <w:rsid w:val="003F5CFD"/>
    <w:rsid w:val="00410C89"/>
    <w:rsid w:val="004124D9"/>
    <w:rsid w:val="00413EE4"/>
    <w:rsid w:val="00416580"/>
    <w:rsid w:val="00422E03"/>
    <w:rsid w:val="00426B9B"/>
    <w:rsid w:val="00431C30"/>
    <w:rsid w:val="004325CB"/>
    <w:rsid w:val="00432F0D"/>
    <w:rsid w:val="00434D7E"/>
    <w:rsid w:val="0044130A"/>
    <w:rsid w:val="00442A83"/>
    <w:rsid w:val="0045495B"/>
    <w:rsid w:val="004561E5"/>
    <w:rsid w:val="0048397A"/>
    <w:rsid w:val="00485CBB"/>
    <w:rsid w:val="004866B7"/>
    <w:rsid w:val="004A5854"/>
    <w:rsid w:val="004C0977"/>
    <w:rsid w:val="004C2461"/>
    <w:rsid w:val="004C3897"/>
    <w:rsid w:val="004C7462"/>
    <w:rsid w:val="004E4782"/>
    <w:rsid w:val="004E6A8B"/>
    <w:rsid w:val="004E77B2"/>
    <w:rsid w:val="00504B2D"/>
    <w:rsid w:val="00515214"/>
    <w:rsid w:val="00515314"/>
    <w:rsid w:val="0052136D"/>
    <w:rsid w:val="0052775E"/>
    <w:rsid w:val="00534145"/>
    <w:rsid w:val="00534591"/>
    <w:rsid w:val="005420F2"/>
    <w:rsid w:val="0056209A"/>
    <w:rsid w:val="005628B6"/>
    <w:rsid w:val="0058660B"/>
    <w:rsid w:val="005941EC"/>
    <w:rsid w:val="0059724D"/>
    <w:rsid w:val="005A7E6C"/>
    <w:rsid w:val="005B320C"/>
    <w:rsid w:val="005B3DB3"/>
    <w:rsid w:val="005B44FE"/>
    <w:rsid w:val="005B4E13"/>
    <w:rsid w:val="005C342F"/>
    <w:rsid w:val="005C7D1E"/>
    <w:rsid w:val="005F4882"/>
    <w:rsid w:val="005F7B75"/>
    <w:rsid w:val="006001EE"/>
    <w:rsid w:val="00605042"/>
    <w:rsid w:val="00611FC4"/>
    <w:rsid w:val="006176FB"/>
    <w:rsid w:val="00620F30"/>
    <w:rsid w:val="00640B26"/>
    <w:rsid w:val="00641EB1"/>
    <w:rsid w:val="006438A8"/>
    <w:rsid w:val="00652D0A"/>
    <w:rsid w:val="00662BB6"/>
    <w:rsid w:val="006652DB"/>
    <w:rsid w:val="00671B51"/>
    <w:rsid w:val="0067362F"/>
    <w:rsid w:val="00676606"/>
    <w:rsid w:val="00684C21"/>
    <w:rsid w:val="006A2530"/>
    <w:rsid w:val="006A47A2"/>
    <w:rsid w:val="006A5585"/>
    <w:rsid w:val="006B664D"/>
    <w:rsid w:val="006C3589"/>
    <w:rsid w:val="006D010D"/>
    <w:rsid w:val="006D37AF"/>
    <w:rsid w:val="006D51D0"/>
    <w:rsid w:val="006D5C2B"/>
    <w:rsid w:val="006D5FB9"/>
    <w:rsid w:val="006D658E"/>
    <w:rsid w:val="006D73FD"/>
    <w:rsid w:val="006E564B"/>
    <w:rsid w:val="006E7191"/>
    <w:rsid w:val="006F22FE"/>
    <w:rsid w:val="00703577"/>
    <w:rsid w:val="00705894"/>
    <w:rsid w:val="00725034"/>
    <w:rsid w:val="0072632A"/>
    <w:rsid w:val="007324C9"/>
    <w:rsid w:val="007327D5"/>
    <w:rsid w:val="007363F0"/>
    <w:rsid w:val="00750230"/>
    <w:rsid w:val="007629C8"/>
    <w:rsid w:val="0077047D"/>
    <w:rsid w:val="00774D1C"/>
    <w:rsid w:val="007A3393"/>
    <w:rsid w:val="007A4ECC"/>
    <w:rsid w:val="007B67CF"/>
    <w:rsid w:val="007B6BA5"/>
    <w:rsid w:val="007C3390"/>
    <w:rsid w:val="007C4F4B"/>
    <w:rsid w:val="007E01E9"/>
    <w:rsid w:val="007E049A"/>
    <w:rsid w:val="007E63F3"/>
    <w:rsid w:val="007F3B0C"/>
    <w:rsid w:val="007F6611"/>
    <w:rsid w:val="00811920"/>
    <w:rsid w:val="00815AD0"/>
    <w:rsid w:val="00815EDB"/>
    <w:rsid w:val="008242D7"/>
    <w:rsid w:val="008257B1"/>
    <w:rsid w:val="00832334"/>
    <w:rsid w:val="00842473"/>
    <w:rsid w:val="00843191"/>
    <w:rsid w:val="00843767"/>
    <w:rsid w:val="008679D9"/>
    <w:rsid w:val="0088637B"/>
    <w:rsid w:val="008878DE"/>
    <w:rsid w:val="008979B1"/>
    <w:rsid w:val="008A1ED5"/>
    <w:rsid w:val="008A462F"/>
    <w:rsid w:val="008A6B25"/>
    <w:rsid w:val="008A6C4F"/>
    <w:rsid w:val="008B04F4"/>
    <w:rsid w:val="008B09A4"/>
    <w:rsid w:val="008B2335"/>
    <w:rsid w:val="008B2E36"/>
    <w:rsid w:val="008B7E66"/>
    <w:rsid w:val="008D0B2B"/>
    <w:rsid w:val="008E0678"/>
    <w:rsid w:val="008E136C"/>
    <w:rsid w:val="008F31D2"/>
    <w:rsid w:val="00913D62"/>
    <w:rsid w:val="00915EF6"/>
    <w:rsid w:val="009223CA"/>
    <w:rsid w:val="00923752"/>
    <w:rsid w:val="00927489"/>
    <w:rsid w:val="00932C6B"/>
    <w:rsid w:val="00940F93"/>
    <w:rsid w:val="009448C3"/>
    <w:rsid w:val="00960B13"/>
    <w:rsid w:val="0096285A"/>
    <w:rsid w:val="009760F3"/>
    <w:rsid w:val="00976CFB"/>
    <w:rsid w:val="00984186"/>
    <w:rsid w:val="009856EA"/>
    <w:rsid w:val="0099366F"/>
    <w:rsid w:val="0099591C"/>
    <w:rsid w:val="009967CD"/>
    <w:rsid w:val="009A0830"/>
    <w:rsid w:val="009A0E8D"/>
    <w:rsid w:val="009B26E7"/>
    <w:rsid w:val="009B5A30"/>
    <w:rsid w:val="009B64BB"/>
    <w:rsid w:val="009E5E02"/>
    <w:rsid w:val="009E6F05"/>
    <w:rsid w:val="00A00697"/>
    <w:rsid w:val="00A00A3F"/>
    <w:rsid w:val="00A01489"/>
    <w:rsid w:val="00A1143E"/>
    <w:rsid w:val="00A27263"/>
    <w:rsid w:val="00A3026E"/>
    <w:rsid w:val="00A338F1"/>
    <w:rsid w:val="00A35BE0"/>
    <w:rsid w:val="00A53E90"/>
    <w:rsid w:val="00A541F4"/>
    <w:rsid w:val="00A6129C"/>
    <w:rsid w:val="00A66A2B"/>
    <w:rsid w:val="00A72F22"/>
    <w:rsid w:val="00A7360F"/>
    <w:rsid w:val="00A748A6"/>
    <w:rsid w:val="00A769F4"/>
    <w:rsid w:val="00A776B4"/>
    <w:rsid w:val="00A810BD"/>
    <w:rsid w:val="00A85E21"/>
    <w:rsid w:val="00A94361"/>
    <w:rsid w:val="00A94E80"/>
    <w:rsid w:val="00AA293C"/>
    <w:rsid w:val="00AB1C8B"/>
    <w:rsid w:val="00AB25DF"/>
    <w:rsid w:val="00AC2BF5"/>
    <w:rsid w:val="00AC73F9"/>
    <w:rsid w:val="00AD0F83"/>
    <w:rsid w:val="00AD5904"/>
    <w:rsid w:val="00AD5AC7"/>
    <w:rsid w:val="00AE2A97"/>
    <w:rsid w:val="00AE6DE2"/>
    <w:rsid w:val="00B03569"/>
    <w:rsid w:val="00B30179"/>
    <w:rsid w:val="00B421C1"/>
    <w:rsid w:val="00B44226"/>
    <w:rsid w:val="00B53C21"/>
    <w:rsid w:val="00B55C71"/>
    <w:rsid w:val="00B56E4A"/>
    <w:rsid w:val="00B56E9C"/>
    <w:rsid w:val="00B60F79"/>
    <w:rsid w:val="00B62D5C"/>
    <w:rsid w:val="00B64B1F"/>
    <w:rsid w:val="00B65299"/>
    <w:rsid w:val="00B6553F"/>
    <w:rsid w:val="00B71619"/>
    <w:rsid w:val="00B75481"/>
    <w:rsid w:val="00B756BE"/>
    <w:rsid w:val="00B77D05"/>
    <w:rsid w:val="00B81206"/>
    <w:rsid w:val="00B813DD"/>
    <w:rsid w:val="00B81E12"/>
    <w:rsid w:val="00BB43E2"/>
    <w:rsid w:val="00BC1EC0"/>
    <w:rsid w:val="00BC3FA0"/>
    <w:rsid w:val="00BC74E9"/>
    <w:rsid w:val="00BD3B3B"/>
    <w:rsid w:val="00BD79DD"/>
    <w:rsid w:val="00BD7F4D"/>
    <w:rsid w:val="00BF30B3"/>
    <w:rsid w:val="00BF5B34"/>
    <w:rsid w:val="00BF68A8"/>
    <w:rsid w:val="00C11A03"/>
    <w:rsid w:val="00C22C0C"/>
    <w:rsid w:val="00C26D52"/>
    <w:rsid w:val="00C4035C"/>
    <w:rsid w:val="00C4527F"/>
    <w:rsid w:val="00C45283"/>
    <w:rsid w:val="00C45C52"/>
    <w:rsid w:val="00C4617E"/>
    <w:rsid w:val="00C463DD"/>
    <w:rsid w:val="00C4724C"/>
    <w:rsid w:val="00C54AC7"/>
    <w:rsid w:val="00C57D37"/>
    <w:rsid w:val="00C629A0"/>
    <w:rsid w:val="00C62A56"/>
    <w:rsid w:val="00C64629"/>
    <w:rsid w:val="00C70888"/>
    <w:rsid w:val="00C745C3"/>
    <w:rsid w:val="00C847D9"/>
    <w:rsid w:val="00C86644"/>
    <w:rsid w:val="00C96DF2"/>
    <w:rsid w:val="00C97246"/>
    <w:rsid w:val="00CB3E03"/>
    <w:rsid w:val="00CB5FFB"/>
    <w:rsid w:val="00CD22A1"/>
    <w:rsid w:val="00CD4AA6"/>
    <w:rsid w:val="00CE4A8F"/>
    <w:rsid w:val="00CF20B1"/>
    <w:rsid w:val="00CF4254"/>
    <w:rsid w:val="00D10E2D"/>
    <w:rsid w:val="00D2031B"/>
    <w:rsid w:val="00D248B6"/>
    <w:rsid w:val="00D25C23"/>
    <w:rsid w:val="00D25FE2"/>
    <w:rsid w:val="00D26E07"/>
    <w:rsid w:val="00D43252"/>
    <w:rsid w:val="00D47EEA"/>
    <w:rsid w:val="00D70325"/>
    <w:rsid w:val="00D70B69"/>
    <w:rsid w:val="00D73933"/>
    <w:rsid w:val="00D773DF"/>
    <w:rsid w:val="00D91CE7"/>
    <w:rsid w:val="00D93D58"/>
    <w:rsid w:val="00D95303"/>
    <w:rsid w:val="00D978C6"/>
    <w:rsid w:val="00DA3C1C"/>
    <w:rsid w:val="00DA768F"/>
    <w:rsid w:val="00DA7B18"/>
    <w:rsid w:val="00DB5483"/>
    <w:rsid w:val="00DC6D39"/>
    <w:rsid w:val="00DF6D92"/>
    <w:rsid w:val="00E046DF"/>
    <w:rsid w:val="00E12477"/>
    <w:rsid w:val="00E22B0C"/>
    <w:rsid w:val="00E27346"/>
    <w:rsid w:val="00E40A45"/>
    <w:rsid w:val="00E560CA"/>
    <w:rsid w:val="00E56E9F"/>
    <w:rsid w:val="00E62A93"/>
    <w:rsid w:val="00E64500"/>
    <w:rsid w:val="00E71BC8"/>
    <w:rsid w:val="00E7260F"/>
    <w:rsid w:val="00E73F5D"/>
    <w:rsid w:val="00E756D5"/>
    <w:rsid w:val="00E75E2D"/>
    <w:rsid w:val="00E77E4E"/>
    <w:rsid w:val="00E800F4"/>
    <w:rsid w:val="00E8589C"/>
    <w:rsid w:val="00E86CE1"/>
    <w:rsid w:val="00E96630"/>
    <w:rsid w:val="00EA2A77"/>
    <w:rsid w:val="00EB7920"/>
    <w:rsid w:val="00EC0A5B"/>
    <w:rsid w:val="00EC0C03"/>
    <w:rsid w:val="00EC410F"/>
    <w:rsid w:val="00EC4734"/>
    <w:rsid w:val="00ED0ADE"/>
    <w:rsid w:val="00ED228F"/>
    <w:rsid w:val="00ED4DF6"/>
    <w:rsid w:val="00ED7A2A"/>
    <w:rsid w:val="00EF1D7F"/>
    <w:rsid w:val="00EF22EB"/>
    <w:rsid w:val="00F00A16"/>
    <w:rsid w:val="00F11DF4"/>
    <w:rsid w:val="00F124AF"/>
    <w:rsid w:val="00F243E1"/>
    <w:rsid w:val="00F31E5F"/>
    <w:rsid w:val="00F37A4C"/>
    <w:rsid w:val="00F518BA"/>
    <w:rsid w:val="00F6100A"/>
    <w:rsid w:val="00F634BE"/>
    <w:rsid w:val="00F817A1"/>
    <w:rsid w:val="00F93781"/>
    <w:rsid w:val="00FA2414"/>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E0ABCE"/>
  <w15:docId w15:val="{227B63A9-5093-4E4E-B680-CCF81499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EC4734"/>
    <w:rPr>
      <w:rFonts w:cs="Courier New"/>
    </w:rPr>
  </w:style>
  <w:style w:type="paragraph" w:styleId="BodyText">
    <w:name w:val="Body Text"/>
    <w:basedOn w:val="Normal"/>
    <w:next w:val="Normal"/>
    <w:semiHidden/>
    <w:rsid w:val="00EC4734"/>
  </w:style>
  <w:style w:type="paragraph" w:styleId="BodyTextIndent">
    <w:name w:val="Body Text Indent"/>
    <w:basedOn w:val="Normal"/>
    <w:semiHidden/>
    <w:rsid w:val="00EC4734"/>
    <w:pPr>
      <w:spacing w:after="120"/>
      <w:ind w:left="283"/>
    </w:pPr>
  </w:style>
  <w:style w:type="paragraph" w:styleId="BlockText">
    <w:name w:val="Block Text"/>
    <w:basedOn w:val="Normal"/>
    <w:semiHidden/>
    <w:rsid w:val="00EC473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EC4734"/>
    <w:rPr>
      <w:sz w:val="6"/>
    </w:rPr>
  </w:style>
  <w:style w:type="paragraph" w:styleId="CommentText">
    <w:name w:val="annotation text"/>
    <w:basedOn w:val="Normal"/>
    <w:semiHidden/>
    <w:rsid w:val="00EC4734"/>
  </w:style>
  <w:style w:type="character" w:styleId="LineNumber">
    <w:name w:val="line number"/>
    <w:semiHidden/>
    <w:rsid w:val="00EC473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Heading1Char">
    <w:name w:val="Heading 1 Char"/>
    <w:aliases w:val="Table_G Char,h1 Char"/>
    <w:link w:val="Heading1"/>
    <w:rsid w:val="00C26D52"/>
    <w:rPr>
      <w:lang w:val="en-GB" w:eastAsia="en-US"/>
    </w:rPr>
  </w:style>
  <w:style w:type="paragraph" w:styleId="ListParagraph">
    <w:name w:val="List Paragraph"/>
    <w:basedOn w:val="Normal"/>
    <w:uiPriority w:val="34"/>
    <w:qFormat/>
    <w:rsid w:val="00ED0ADE"/>
    <w:pPr>
      <w:ind w:left="720"/>
      <w:contextualSpacing/>
    </w:pPr>
  </w:style>
  <w:style w:type="paragraph" w:customStyle="1" w:styleId="Default">
    <w:name w:val="Default"/>
    <w:rsid w:val="00E12477"/>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57472">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405DC9C6676A46936F506762BC3532" ma:contentTypeVersion="12" ma:contentTypeDescription="Create a new document." ma:contentTypeScope="" ma:versionID="e0c65325571ed8ff60520f6e24446f42">
  <xsd:schema xmlns:xsd="http://www.w3.org/2001/XMLSchema" xmlns:xs="http://www.w3.org/2001/XMLSchema" xmlns:p="http://schemas.microsoft.com/office/2006/metadata/properties" xmlns:ns2="0f2a9da8-456f-4f30-baea-924e51a33007" xmlns:ns3="aef952be-564e-4b0d-ace7-0fb13ffbbb58" targetNamespace="http://schemas.microsoft.com/office/2006/metadata/properties" ma:root="true" ma:fieldsID="43b2a093388630c55c74b691231212d6" ns2:_="" ns3:_="">
    <xsd:import namespace="0f2a9da8-456f-4f30-baea-924e51a33007"/>
    <xsd:import namespace="aef952be-564e-4b0d-ace7-0fb13ffbb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a9da8-456f-4f30-baea-924e51a33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952be-564e-4b0d-ace7-0fb13ffbbb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0825E-21FC-4BDF-8D17-CC3C8413AD9D}">
  <ds:schemaRefs>
    <ds:schemaRef ds:uri="http://purl.org/dc/elements/1.1/"/>
    <ds:schemaRef ds:uri="http://schemas.microsoft.com/office/2006/metadata/properties"/>
    <ds:schemaRef ds:uri="aef952be-564e-4b0d-ace7-0fb13ffbbb58"/>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0f2a9da8-456f-4f30-baea-924e51a33007"/>
    <ds:schemaRef ds:uri="http://www.w3.org/XML/1998/namespace"/>
    <ds:schemaRef ds:uri="http://purl.org/dc/dcmitype/"/>
  </ds:schemaRefs>
</ds:datastoreItem>
</file>

<file path=customXml/itemProps2.xml><?xml version="1.0" encoding="utf-8"?>
<ds:datastoreItem xmlns:ds="http://schemas.openxmlformats.org/officeDocument/2006/customXml" ds:itemID="{2C89FEE2-8B5D-46BC-9A1C-DDDEF5EBB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a9da8-456f-4f30-baea-924e51a33007"/>
    <ds:schemaRef ds:uri="aef952be-564e-4b0d-ace7-0fb13ffbb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6FE63-8CCB-42F7-91E1-C1D49B6C366A}">
  <ds:schemaRefs>
    <ds:schemaRef ds:uri="http://schemas.microsoft.com/sharepoint/v3/contenttype/forms"/>
  </ds:schemaRefs>
</ds:datastoreItem>
</file>

<file path=customXml/itemProps4.xml><?xml version="1.0" encoding="utf-8"?>
<ds:datastoreItem xmlns:ds="http://schemas.openxmlformats.org/officeDocument/2006/customXml" ds:itemID="{62E0E732-088F-4377-82A4-667EFC66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594</Words>
  <Characters>3001</Characters>
  <Application>Microsoft Office Word</Application>
  <DocSecurity>4</DocSecurity>
  <Lines>68</Lines>
  <Paragraphs>36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ECE/TRANS/WP.29/GRBP/2020/6</vt:lpstr>
      <vt:lpstr>United Nations</vt:lpstr>
      <vt:lpstr>United Nations</vt:lpstr>
    </vt:vector>
  </TitlesOfParts>
  <Company>CSD</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ECE/TRANS/WP.29/GRBP/2020/6</dc:title>
  <dc:subject>1919441</dc:subject>
  <dc:creator>Generic Pdf eng</dc:creator>
  <cp:keywords/>
  <dc:description/>
  <cp:lastModifiedBy>Konstantin Glukhenkiy</cp:lastModifiedBy>
  <cp:revision>2</cp:revision>
  <cp:lastPrinted>2013-07-04T11:56:00Z</cp:lastPrinted>
  <dcterms:created xsi:type="dcterms:W3CDTF">2020-01-30T07:50:00Z</dcterms:created>
  <dcterms:modified xsi:type="dcterms:W3CDTF">2020-01-30T07:50:00Z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0x01010069405DC9C6676A46936F506762BC3532</vt:lpwstr>
  </property>
</Properties>
</file>