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E981367" w14:textId="77777777" w:rsidTr="00C97039">
        <w:trPr>
          <w:trHeight w:hRule="exact" w:val="851"/>
        </w:trPr>
        <w:tc>
          <w:tcPr>
            <w:tcW w:w="1276" w:type="dxa"/>
            <w:tcBorders>
              <w:bottom w:val="single" w:sz="4" w:space="0" w:color="auto"/>
            </w:tcBorders>
          </w:tcPr>
          <w:p w14:paraId="6497718B" w14:textId="77777777" w:rsidR="00F35BAF" w:rsidRPr="00DB58B5" w:rsidRDefault="00F35BAF" w:rsidP="001E6D3C">
            <w:bookmarkStart w:id="0" w:name="_GoBack"/>
            <w:bookmarkEnd w:id="0"/>
          </w:p>
        </w:tc>
        <w:tc>
          <w:tcPr>
            <w:tcW w:w="2268" w:type="dxa"/>
            <w:tcBorders>
              <w:bottom w:val="single" w:sz="4" w:space="0" w:color="auto"/>
            </w:tcBorders>
            <w:vAlign w:val="bottom"/>
          </w:tcPr>
          <w:p w14:paraId="20EBC4E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FEE935D" w14:textId="77777777" w:rsidR="00F35BAF" w:rsidRPr="00DB58B5" w:rsidRDefault="001E6D3C" w:rsidP="001E6D3C">
            <w:pPr>
              <w:jc w:val="right"/>
            </w:pPr>
            <w:r w:rsidRPr="001E6D3C">
              <w:rPr>
                <w:sz w:val="40"/>
              </w:rPr>
              <w:t>ECE</w:t>
            </w:r>
            <w:r>
              <w:t>/TRANS/2020/19</w:t>
            </w:r>
          </w:p>
        </w:tc>
      </w:tr>
      <w:tr w:rsidR="00F35BAF" w:rsidRPr="00DB58B5" w14:paraId="598C1A85" w14:textId="77777777" w:rsidTr="00C97039">
        <w:trPr>
          <w:trHeight w:hRule="exact" w:val="2835"/>
        </w:trPr>
        <w:tc>
          <w:tcPr>
            <w:tcW w:w="1276" w:type="dxa"/>
            <w:tcBorders>
              <w:top w:val="single" w:sz="4" w:space="0" w:color="auto"/>
              <w:bottom w:val="single" w:sz="12" w:space="0" w:color="auto"/>
            </w:tcBorders>
          </w:tcPr>
          <w:p w14:paraId="3B2D2E3C" w14:textId="77777777" w:rsidR="00F35BAF" w:rsidRPr="00DB58B5" w:rsidRDefault="00F35BAF" w:rsidP="00C97039">
            <w:pPr>
              <w:spacing w:before="120"/>
              <w:jc w:val="center"/>
            </w:pPr>
            <w:r>
              <w:rPr>
                <w:noProof/>
                <w:lang w:eastAsia="fr-CH"/>
              </w:rPr>
              <w:drawing>
                <wp:inline distT="0" distB="0" distL="0" distR="0" wp14:anchorId="58920CD8" wp14:editId="760393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53892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2C0FFA5" w14:textId="77777777" w:rsidR="00F35BAF" w:rsidRDefault="001E6D3C" w:rsidP="00C97039">
            <w:pPr>
              <w:spacing w:before="240"/>
            </w:pPr>
            <w:r>
              <w:t>Distr. générale</w:t>
            </w:r>
          </w:p>
          <w:p w14:paraId="511C476A" w14:textId="77777777" w:rsidR="001E6D3C" w:rsidRDefault="001E6D3C" w:rsidP="001E6D3C">
            <w:pPr>
              <w:spacing w:line="240" w:lineRule="exact"/>
            </w:pPr>
            <w:r>
              <w:t xml:space="preserve">14 janvier </w:t>
            </w:r>
            <w:r w:rsidR="00464C81">
              <w:t>2020</w:t>
            </w:r>
          </w:p>
          <w:p w14:paraId="44EC8B9E" w14:textId="77777777" w:rsidR="001E6D3C" w:rsidRDefault="001E6D3C" w:rsidP="001E6D3C">
            <w:pPr>
              <w:spacing w:line="240" w:lineRule="exact"/>
            </w:pPr>
            <w:r>
              <w:t>Français</w:t>
            </w:r>
          </w:p>
          <w:p w14:paraId="41B50BA2" w14:textId="77777777" w:rsidR="001E6D3C" w:rsidRPr="00DB58B5" w:rsidRDefault="001E6D3C" w:rsidP="001E6D3C">
            <w:pPr>
              <w:spacing w:line="240" w:lineRule="exact"/>
            </w:pPr>
            <w:r>
              <w:t>Original : anglais</w:t>
            </w:r>
          </w:p>
        </w:tc>
      </w:tr>
    </w:tbl>
    <w:p w14:paraId="6EE243E5" w14:textId="77777777" w:rsidR="007F20FA" w:rsidRPr="000312C0" w:rsidRDefault="007F20FA" w:rsidP="007F20FA">
      <w:pPr>
        <w:spacing w:before="120"/>
        <w:rPr>
          <w:b/>
          <w:sz w:val="28"/>
          <w:szCs w:val="28"/>
        </w:rPr>
      </w:pPr>
      <w:r w:rsidRPr="000312C0">
        <w:rPr>
          <w:b/>
          <w:sz w:val="28"/>
          <w:szCs w:val="28"/>
        </w:rPr>
        <w:t>Commission économique pour l</w:t>
      </w:r>
      <w:r w:rsidR="00616FE4">
        <w:rPr>
          <w:b/>
          <w:sz w:val="28"/>
          <w:szCs w:val="28"/>
        </w:rPr>
        <w:t>’</w:t>
      </w:r>
      <w:r w:rsidRPr="000312C0">
        <w:rPr>
          <w:b/>
          <w:sz w:val="28"/>
          <w:szCs w:val="28"/>
        </w:rPr>
        <w:t>Europe</w:t>
      </w:r>
    </w:p>
    <w:p w14:paraId="79539163" w14:textId="77777777" w:rsidR="007F20FA" w:rsidRDefault="007F20FA" w:rsidP="007F20FA">
      <w:pPr>
        <w:spacing w:before="120"/>
        <w:rPr>
          <w:sz w:val="28"/>
          <w:szCs w:val="28"/>
        </w:rPr>
      </w:pPr>
      <w:r w:rsidRPr="00685843">
        <w:rPr>
          <w:sz w:val="28"/>
          <w:szCs w:val="28"/>
        </w:rPr>
        <w:t>Comité des transports intérieurs</w:t>
      </w:r>
    </w:p>
    <w:p w14:paraId="15FD8412" w14:textId="77777777" w:rsidR="001E6D3C" w:rsidRPr="007B0A8E" w:rsidRDefault="001E6D3C" w:rsidP="001E6D3C">
      <w:pPr>
        <w:spacing w:before="120"/>
        <w:rPr>
          <w:b/>
          <w:bCs/>
        </w:rPr>
      </w:pPr>
      <w:r w:rsidRPr="007B0A8E">
        <w:rPr>
          <w:b/>
          <w:bCs/>
        </w:rPr>
        <w:t>Quatre-vingt-</w:t>
      </w:r>
      <w:r>
        <w:rPr>
          <w:b/>
          <w:bCs/>
        </w:rPr>
        <w:t>deuxi</w:t>
      </w:r>
      <w:r w:rsidRPr="007B0A8E">
        <w:rPr>
          <w:b/>
          <w:bCs/>
        </w:rPr>
        <w:t>ème session</w:t>
      </w:r>
    </w:p>
    <w:p w14:paraId="39C058D1" w14:textId="77777777" w:rsidR="001E6D3C" w:rsidRPr="007B0A8E" w:rsidRDefault="001E6D3C" w:rsidP="001E6D3C">
      <w:r w:rsidRPr="007B0A8E">
        <w:t xml:space="preserve">Genève, </w:t>
      </w:r>
      <w:r>
        <w:t>25</w:t>
      </w:r>
      <w:r w:rsidRPr="007B0A8E">
        <w:t>-2</w:t>
      </w:r>
      <w:r>
        <w:t>8</w:t>
      </w:r>
      <w:r w:rsidRPr="007B0A8E">
        <w:t xml:space="preserve"> février 20</w:t>
      </w:r>
      <w:r>
        <w:t>20</w:t>
      </w:r>
    </w:p>
    <w:p w14:paraId="231C1F32" w14:textId="77777777" w:rsidR="001E6D3C" w:rsidRDefault="001E6D3C" w:rsidP="001E6D3C">
      <w:r>
        <w:t>Point 5 d)</w:t>
      </w:r>
      <w:r w:rsidRPr="007B0A8E">
        <w:t xml:space="preserve"> de l</w:t>
      </w:r>
      <w:r w:rsidR="00616FE4">
        <w:t>’</w:t>
      </w:r>
      <w:r w:rsidRPr="007B0A8E">
        <w:t xml:space="preserve">ordre du jour provisoire </w:t>
      </w:r>
    </w:p>
    <w:p w14:paraId="08E58FC4" w14:textId="77777777" w:rsidR="001E6D3C" w:rsidRPr="007B0A8E" w:rsidRDefault="001E6D3C" w:rsidP="001E6D3C">
      <w:pPr>
        <w:rPr>
          <w:b/>
          <w:bCs/>
        </w:rPr>
      </w:pPr>
      <w:r w:rsidRPr="007B0A8E">
        <w:rPr>
          <w:b/>
          <w:bCs/>
        </w:rPr>
        <w:t>Questions stratégiques relatives aux partenariats et à l</w:t>
      </w:r>
      <w:r w:rsidR="00616FE4">
        <w:rPr>
          <w:b/>
          <w:bCs/>
        </w:rPr>
        <w:t>’</w:t>
      </w:r>
      <w:r w:rsidRPr="007B0A8E">
        <w:rPr>
          <w:b/>
          <w:bCs/>
        </w:rPr>
        <w:t>assistance technique</w:t>
      </w:r>
      <w:r>
        <w:rPr>
          <w:b/>
          <w:bCs/>
        </w:rPr>
        <w:t> :</w:t>
      </w:r>
    </w:p>
    <w:p w14:paraId="69C91A6F" w14:textId="77777777" w:rsidR="001E6D3C" w:rsidRPr="007B0A8E" w:rsidRDefault="001E6D3C" w:rsidP="001E6D3C">
      <w:pPr>
        <w:rPr>
          <w:b/>
          <w:bCs/>
        </w:rPr>
      </w:pPr>
      <w:r w:rsidRPr="007B0A8E">
        <w:rPr>
          <w:b/>
          <w:bCs/>
        </w:rPr>
        <w:t xml:space="preserve">Projet de rapport annuel sur les activités menées </w:t>
      </w:r>
      <w:r w:rsidRPr="007B0A8E">
        <w:rPr>
          <w:b/>
          <w:bCs/>
        </w:rPr>
        <w:br/>
        <w:t>par les organes subsidiaires du Comité en 201</w:t>
      </w:r>
      <w:r>
        <w:rPr>
          <w:b/>
          <w:bCs/>
        </w:rPr>
        <w:t>9</w:t>
      </w:r>
    </w:p>
    <w:p w14:paraId="6307F20F" w14:textId="77777777" w:rsidR="001E6D3C" w:rsidRPr="007B0A8E" w:rsidRDefault="001E6D3C" w:rsidP="004151A4">
      <w:pPr>
        <w:pStyle w:val="HChG"/>
      </w:pPr>
      <w:r w:rsidRPr="007B0A8E">
        <w:tab/>
      </w:r>
      <w:r w:rsidRPr="007B0A8E">
        <w:tab/>
      </w:r>
      <w:r w:rsidRPr="007B0A8E">
        <w:rPr>
          <w:spacing w:val="2"/>
        </w:rPr>
        <w:t xml:space="preserve">Projet de rapport annuel </w:t>
      </w:r>
      <w:r>
        <w:rPr>
          <w:spacing w:val="2"/>
        </w:rPr>
        <w:t xml:space="preserve">2019 </w:t>
      </w:r>
      <w:r w:rsidRPr="007B0A8E">
        <w:rPr>
          <w:spacing w:val="2"/>
        </w:rPr>
        <w:t>de la Division des transports</w:t>
      </w:r>
      <w:r w:rsidRPr="007B0A8E">
        <w:t xml:space="preserve"> durables de la Commission éc</w:t>
      </w:r>
      <w:r>
        <w:t xml:space="preserve">onomique des Nations Unies </w:t>
      </w:r>
      <w:r w:rsidRPr="00526B95">
        <w:t>pour</w:t>
      </w:r>
      <w:r>
        <w:t xml:space="preserve"> l</w:t>
      </w:r>
      <w:r w:rsidR="00616FE4">
        <w:t>’</w:t>
      </w:r>
      <w:r>
        <w:t>Europe</w:t>
      </w:r>
    </w:p>
    <w:p w14:paraId="42DE0C34" w14:textId="77777777" w:rsidR="001E6D3C" w:rsidRPr="00DB4C7B" w:rsidRDefault="001E6D3C" w:rsidP="00D65B93">
      <w:pPr>
        <w:pStyle w:val="H1G"/>
        <w:rPr>
          <w:rFonts w:eastAsia="Times New Roman"/>
          <w:lang w:eastAsia="fr-FR"/>
        </w:rPr>
      </w:pPr>
      <w:r w:rsidRPr="007B0A8E">
        <w:tab/>
      </w:r>
      <w:r w:rsidRPr="007B0A8E">
        <w:tab/>
        <w:t>Note du secrétariat</w:t>
      </w:r>
      <w:r w:rsidRPr="00D65B93">
        <w:rPr>
          <w:rFonts w:eastAsia="Times New Roman"/>
          <w:b w:val="0"/>
          <w:bCs/>
          <w:lang w:eastAsia="fr-FR"/>
        </w:rPr>
        <w:footnoteReference w:customMarkFollows="1" w:id="2"/>
        <w:t>*</w:t>
      </w:r>
    </w:p>
    <w:p w14:paraId="5B87102A" w14:textId="77777777" w:rsidR="001E6D3C" w:rsidRPr="00DB4C7B" w:rsidRDefault="001E6D3C" w:rsidP="00D65B93">
      <w:pPr>
        <w:pStyle w:val="HChG"/>
        <w:rPr>
          <w:lang w:eastAsia="en-GB"/>
        </w:rPr>
      </w:pPr>
      <w:r w:rsidRPr="00DB4C7B">
        <w:rPr>
          <w:lang w:eastAsia="fr-FR"/>
        </w:rPr>
        <w:tab/>
        <w:t>I.</w:t>
      </w:r>
      <w:r w:rsidRPr="00DB4C7B">
        <w:rPr>
          <w:lang w:eastAsia="fr-FR"/>
        </w:rPr>
        <w:tab/>
        <w:t xml:space="preserve">Adoption </w:t>
      </w:r>
      <w:r w:rsidRPr="00CD26F2">
        <w:rPr>
          <w:lang w:val="fr-FR" w:eastAsia="fr-FR"/>
        </w:rPr>
        <w:t>de la stratégie du C</w:t>
      </w:r>
      <w:r>
        <w:rPr>
          <w:lang w:val="fr-FR" w:eastAsia="fr-FR"/>
        </w:rPr>
        <w:t>TI à l</w:t>
      </w:r>
      <w:r w:rsidR="00616FE4">
        <w:rPr>
          <w:lang w:val="fr-FR" w:eastAsia="fr-FR"/>
        </w:rPr>
        <w:t>’</w:t>
      </w:r>
      <w:r>
        <w:rPr>
          <w:lang w:val="fr-FR" w:eastAsia="fr-FR"/>
        </w:rPr>
        <w:t>horizon 2030</w:t>
      </w:r>
      <w:r w:rsidR="00D65B93">
        <w:rPr>
          <w:lang w:val="fr-FR" w:eastAsia="fr-FR"/>
        </w:rPr>
        <w:t> </w:t>
      </w:r>
      <w:r w:rsidRPr="00DB4C7B">
        <w:rPr>
          <w:lang w:eastAsia="fr-FR"/>
        </w:rPr>
        <w:t xml:space="preserve">: </w:t>
      </w:r>
      <w:r w:rsidR="00D65B93">
        <w:rPr>
          <w:lang w:eastAsia="fr-FR"/>
        </w:rPr>
        <w:br/>
      </w:r>
      <w:r w:rsidRPr="00FD322C">
        <w:rPr>
          <w:lang w:eastAsia="fr-FR"/>
        </w:rPr>
        <w:t xml:space="preserve">un tournant </w:t>
      </w:r>
      <w:r>
        <w:rPr>
          <w:lang w:eastAsia="fr-FR"/>
        </w:rPr>
        <w:t xml:space="preserve">pour </w:t>
      </w:r>
      <w:r w:rsidRPr="00FD322C">
        <w:rPr>
          <w:lang w:eastAsia="fr-FR"/>
        </w:rPr>
        <w:t>les transports intérieurs</w:t>
      </w:r>
      <w:bookmarkStart w:id="1" w:name="_Hlk29203161"/>
    </w:p>
    <w:bookmarkEnd w:id="1"/>
    <w:p w14:paraId="6783FCF6" w14:textId="77777777" w:rsidR="001E6D3C" w:rsidRPr="00DB4C7B" w:rsidRDefault="001E6D3C" w:rsidP="00CA3891">
      <w:pPr>
        <w:pStyle w:val="SingleTxtG"/>
        <w:rPr>
          <w:lang w:eastAsia="fr-FR"/>
        </w:rPr>
      </w:pPr>
      <w:r w:rsidRPr="00DB4C7B">
        <w:rPr>
          <w:lang w:eastAsia="fr-FR"/>
        </w:rPr>
        <w:t>1.</w:t>
      </w:r>
      <w:r w:rsidRPr="00DB4C7B">
        <w:rPr>
          <w:lang w:eastAsia="fr-FR"/>
        </w:rPr>
        <w:tab/>
      </w:r>
      <w:r w:rsidRPr="00FD322C">
        <w:rPr>
          <w:lang w:eastAsia="fr-FR"/>
        </w:rPr>
        <w:t>L</w:t>
      </w:r>
      <w:r w:rsidR="00616FE4">
        <w:rPr>
          <w:lang w:eastAsia="fr-FR"/>
        </w:rPr>
        <w:t>’</w:t>
      </w:r>
      <w:r w:rsidRPr="00FD322C">
        <w:rPr>
          <w:lang w:eastAsia="fr-FR"/>
        </w:rPr>
        <w:t xml:space="preserve">année </w:t>
      </w:r>
      <w:r w:rsidRPr="00FD322C">
        <w:t xml:space="preserve">2019 </w:t>
      </w:r>
      <w:r w:rsidRPr="00FD322C">
        <w:rPr>
          <w:lang w:eastAsia="fr-FR"/>
        </w:rPr>
        <w:t>a marqué une étape importante pour les transports intérieurs quand le Comité des transports intérieurs (CTI)</w:t>
      </w:r>
      <w:r>
        <w:rPr>
          <w:lang w:eastAsia="fr-FR"/>
        </w:rPr>
        <w:t xml:space="preserve"> </w:t>
      </w:r>
      <w:r w:rsidRPr="00FD322C">
        <w:rPr>
          <w:lang w:eastAsia="fr-FR"/>
        </w:rPr>
        <w:t>de la Commission économique pour l</w:t>
      </w:r>
      <w:r w:rsidR="00616FE4">
        <w:rPr>
          <w:lang w:eastAsia="fr-FR"/>
        </w:rPr>
        <w:t>’</w:t>
      </w:r>
      <w:r w:rsidRPr="00FD322C">
        <w:rPr>
          <w:lang w:eastAsia="fr-FR"/>
        </w:rPr>
        <w:t>Europe</w:t>
      </w:r>
      <w:r>
        <w:rPr>
          <w:lang w:eastAsia="fr-FR"/>
        </w:rPr>
        <w:t xml:space="preserve"> (CEE), avec la participation des gouvernements, des </w:t>
      </w:r>
      <w:r w:rsidR="00D65B93">
        <w:rPr>
          <w:lang w:eastAsia="fr-FR"/>
        </w:rPr>
        <w:t>P</w:t>
      </w:r>
      <w:r>
        <w:rPr>
          <w:lang w:eastAsia="fr-FR"/>
        </w:rPr>
        <w:t>résident</w:t>
      </w:r>
      <w:r w:rsidR="00D65B93">
        <w:rPr>
          <w:lang w:eastAsia="fr-FR"/>
        </w:rPr>
        <w:t>s</w:t>
      </w:r>
      <w:r>
        <w:rPr>
          <w:lang w:eastAsia="fr-FR"/>
        </w:rPr>
        <w:t xml:space="preserve"> et </w:t>
      </w:r>
      <w:r w:rsidR="00D65B93">
        <w:rPr>
          <w:lang w:eastAsia="fr-FR"/>
        </w:rPr>
        <w:t>V</w:t>
      </w:r>
      <w:r>
        <w:rPr>
          <w:lang w:eastAsia="fr-FR"/>
        </w:rPr>
        <w:t>ice-</w:t>
      </w:r>
      <w:r w:rsidR="00D65B93">
        <w:rPr>
          <w:lang w:eastAsia="fr-FR"/>
        </w:rPr>
        <w:t>P</w:t>
      </w:r>
      <w:r>
        <w:rPr>
          <w:lang w:eastAsia="fr-FR"/>
        </w:rPr>
        <w:t xml:space="preserve">résidents des </w:t>
      </w:r>
      <w:r w:rsidR="00D65B93">
        <w:rPr>
          <w:lang w:eastAsia="fr-FR"/>
        </w:rPr>
        <w:t>C</w:t>
      </w:r>
      <w:r w:rsidRPr="00FD322C">
        <w:rPr>
          <w:lang w:eastAsia="fr-FR"/>
        </w:rPr>
        <w:t>omité</w:t>
      </w:r>
      <w:r w:rsidR="00D65B93">
        <w:rPr>
          <w:lang w:eastAsia="fr-FR"/>
        </w:rPr>
        <w:t>s</w:t>
      </w:r>
      <w:r w:rsidRPr="00FD322C">
        <w:rPr>
          <w:lang w:eastAsia="fr-FR"/>
        </w:rPr>
        <w:t xml:space="preserve"> d</w:t>
      </w:r>
      <w:r w:rsidR="00616FE4">
        <w:rPr>
          <w:lang w:eastAsia="fr-FR"/>
        </w:rPr>
        <w:t>’</w:t>
      </w:r>
      <w:r w:rsidRPr="00FD322C">
        <w:rPr>
          <w:lang w:eastAsia="fr-FR"/>
        </w:rPr>
        <w:t>administration</w:t>
      </w:r>
      <w:r>
        <w:rPr>
          <w:lang w:eastAsia="fr-FR"/>
        </w:rPr>
        <w:t xml:space="preserve"> et des </w:t>
      </w:r>
      <w:r w:rsidR="007A29A2">
        <w:rPr>
          <w:lang w:eastAsia="fr-FR"/>
        </w:rPr>
        <w:t>g</w:t>
      </w:r>
      <w:r>
        <w:rPr>
          <w:lang w:eastAsia="fr-FR"/>
        </w:rPr>
        <w:t xml:space="preserve">roupes de travail, a adopté sa </w:t>
      </w:r>
      <w:r w:rsidRPr="00581E3E">
        <w:rPr>
          <w:lang w:eastAsia="fr-FR"/>
        </w:rPr>
        <w:t xml:space="preserve">stratégie </w:t>
      </w:r>
      <w:r>
        <w:rPr>
          <w:lang w:eastAsia="fr-FR"/>
        </w:rPr>
        <w:t>à l</w:t>
      </w:r>
      <w:r w:rsidR="00616FE4">
        <w:rPr>
          <w:lang w:eastAsia="fr-FR"/>
        </w:rPr>
        <w:t>’</w:t>
      </w:r>
      <w:r>
        <w:rPr>
          <w:lang w:eastAsia="fr-FR"/>
        </w:rPr>
        <w:t xml:space="preserve">horizon </w:t>
      </w:r>
      <w:r w:rsidRPr="00581E3E">
        <w:rPr>
          <w:lang w:eastAsia="fr-FR"/>
        </w:rPr>
        <w:t>2030</w:t>
      </w:r>
      <w:r>
        <w:rPr>
          <w:lang w:eastAsia="fr-FR"/>
        </w:rPr>
        <w:t xml:space="preserve"> (S</w:t>
      </w:r>
      <w:r w:rsidRPr="00581E3E">
        <w:rPr>
          <w:lang w:val="fr-FR" w:eastAsia="fr-FR"/>
        </w:rPr>
        <w:t>tratégie du CTI</w:t>
      </w:r>
      <w:r w:rsidRPr="00DB4C7B">
        <w:rPr>
          <w:lang w:eastAsia="fr-FR"/>
        </w:rPr>
        <w:t xml:space="preserve">, </w:t>
      </w:r>
      <w:hyperlink r:id="rId8" w:history="1">
        <w:r w:rsidRPr="00581E3E">
          <w:rPr>
            <w:rFonts w:asciiTheme="majorBidi" w:hAnsiTheme="majorBidi" w:cstheme="majorBidi"/>
            <w:color w:val="0000FF"/>
            <w:lang w:eastAsia="fr-FR"/>
          </w:rPr>
          <w:t>ECE/TRANS/288/Add.2</w:t>
        </w:r>
      </w:hyperlink>
      <w:r w:rsidRPr="00DB4C7B">
        <w:rPr>
          <w:lang w:eastAsia="fr-FR"/>
        </w:rPr>
        <w:t xml:space="preserve">). </w:t>
      </w:r>
      <w:r w:rsidRPr="003759BA">
        <w:rPr>
          <w:lang w:eastAsia="fr-FR"/>
        </w:rPr>
        <w:t>L</w:t>
      </w:r>
      <w:r w:rsidR="00616FE4">
        <w:rPr>
          <w:lang w:eastAsia="fr-FR"/>
        </w:rPr>
        <w:t>’</w:t>
      </w:r>
      <w:r w:rsidRPr="003759BA">
        <w:rPr>
          <w:lang w:eastAsia="fr-FR"/>
        </w:rPr>
        <w:t>événement a eu lieu au cours de la neuvième</w:t>
      </w:r>
      <w:r w:rsidRPr="003759BA">
        <w:t xml:space="preserve"> </w:t>
      </w:r>
      <w:r w:rsidRPr="003759BA">
        <w:rPr>
          <w:lang w:eastAsia="fr-FR"/>
        </w:rPr>
        <w:t>session réservée aux gouvernements</w:t>
      </w:r>
      <w:r>
        <w:rPr>
          <w:lang w:eastAsia="fr-FR"/>
        </w:rPr>
        <w:t xml:space="preserve"> dans le cadre de la quatre-vingt-unième session du CTI </w:t>
      </w:r>
      <w:r w:rsidR="007174AE">
        <w:rPr>
          <w:lang w:eastAsia="fr-FR"/>
        </w:rPr>
        <w:t xml:space="preserve">et </w:t>
      </w:r>
      <w:r>
        <w:rPr>
          <w:lang w:eastAsia="fr-FR"/>
        </w:rPr>
        <w:t>a constitué le point culminant de deux années de délibérations et de consultations inclusives avec les États</w:t>
      </w:r>
      <w:r w:rsidR="007174AE">
        <w:rPr>
          <w:lang w:eastAsia="fr-FR"/>
        </w:rPr>
        <w:t xml:space="preserve"> </w:t>
      </w:r>
      <w:r>
        <w:rPr>
          <w:lang w:eastAsia="fr-FR"/>
        </w:rPr>
        <w:t xml:space="preserve">membres et les </w:t>
      </w:r>
      <w:r w:rsidR="007A29A2">
        <w:rPr>
          <w:lang w:eastAsia="fr-FR"/>
        </w:rPr>
        <w:t>g</w:t>
      </w:r>
      <w:r>
        <w:rPr>
          <w:lang w:eastAsia="fr-FR"/>
        </w:rPr>
        <w:t>roupes de travail</w:t>
      </w:r>
      <w:r w:rsidR="00DE1720">
        <w:rPr>
          <w:lang w:eastAsia="fr-FR"/>
        </w:rPr>
        <w:t>/Présidents</w:t>
      </w:r>
      <w:r w:rsidRPr="00DB4C7B">
        <w:rPr>
          <w:lang w:eastAsia="fr-FR"/>
        </w:rPr>
        <w:t>.</w:t>
      </w:r>
    </w:p>
    <w:p w14:paraId="4D8C642D" w14:textId="77777777" w:rsidR="001E6D3C" w:rsidRPr="00DB4C7B" w:rsidRDefault="001E6D3C" w:rsidP="007174AE">
      <w:pPr>
        <w:pStyle w:val="SingleTxtG"/>
        <w:rPr>
          <w:lang w:eastAsia="fr-FR"/>
        </w:rPr>
      </w:pPr>
      <w:r w:rsidRPr="00DB4C7B">
        <w:rPr>
          <w:lang w:eastAsia="fr-FR"/>
        </w:rPr>
        <w:t>2.</w:t>
      </w:r>
      <w:r w:rsidRPr="00DB4C7B">
        <w:rPr>
          <w:lang w:eastAsia="fr-FR"/>
        </w:rPr>
        <w:tab/>
      </w:r>
      <w:r w:rsidRPr="006E6AEA">
        <w:rPr>
          <w:lang w:eastAsia="fr-FR"/>
        </w:rPr>
        <w:t xml:space="preserve">La stratégie du CTI reconnaît le Comité en tant que </w:t>
      </w:r>
      <w:r w:rsidR="007174AE" w:rsidRPr="006E6AEA">
        <w:rPr>
          <w:lang w:eastAsia="fr-FR"/>
        </w:rPr>
        <w:t>P</w:t>
      </w:r>
      <w:r w:rsidRPr="006E6AEA">
        <w:rPr>
          <w:lang w:eastAsia="fr-FR"/>
        </w:rPr>
        <w:t>lateforme des Nations Unies pour les transports intérieurs</w:t>
      </w:r>
      <w:r>
        <w:rPr>
          <w:lang w:eastAsia="fr-FR"/>
        </w:rPr>
        <w:t xml:space="preserve"> reposant sur quatre piliers destinés à harmoniser leur développement à l</w:t>
      </w:r>
      <w:r w:rsidR="00616FE4">
        <w:rPr>
          <w:lang w:eastAsia="fr-FR"/>
        </w:rPr>
        <w:t>’</w:t>
      </w:r>
      <w:r>
        <w:rPr>
          <w:lang w:eastAsia="fr-FR"/>
        </w:rPr>
        <w:t>échelle mondiale et à créer la mobilité la plus sûre et la plus durable</w:t>
      </w:r>
      <w:r w:rsidRPr="00DB4C7B">
        <w:rPr>
          <w:lang w:eastAsia="fr-FR"/>
        </w:rPr>
        <w:t xml:space="preserve">. </w:t>
      </w:r>
      <w:r>
        <w:rPr>
          <w:lang w:eastAsia="fr-FR"/>
        </w:rPr>
        <w:t>Ces quatre piliers sont</w:t>
      </w:r>
      <w:r w:rsidR="007174AE">
        <w:rPr>
          <w:lang w:eastAsia="fr-FR"/>
        </w:rPr>
        <w:t> </w:t>
      </w:r>
      <w:r w:rsidRPr="00DB4C7B">
        <w:rPr>
          <w:lang w:eastAsia="fr-FR"/>
        </w:rPr>
        <w:t>:</w:t>
      </w:r>
    </w:p>
    <w:p w14:paraId="1DEBE106" w14:textId="77777777" w:rsidR="001E6D3C" w:rsidRDefault="007174AE" w:rsidP="007174AE">
      <w:pPr>
        <w:pStyle w:val="SingleTxtG"/>
        <w:rPr>
          <w:lang w:eastAsia="fr-FR"/>
        </w:rPr>
      </w:pPr>
      <w:r>
        <w:rPr>
          <w:lang w:eastAsia="fr-FR"/>
        </w:rPr>
        <w:tab/>
      </w:r>
      <w:r w:rsidR="001E6D3C" w:rsidRPr="00DB4C7B">
        <w:rPr>
          <w:lang w:eastAsia="fr-FR"/>
        </w:rPr>
        <w:t>a)</w:t>
      </w:r>
      <w:r w:rsidR="001E6D3C" w:rsidRPr="00DB4C7B">
        <w:rPr>
          <w:lang w:eastAsia="fr-FR"/>
        </w:rPr>
        <w:tab/>
      </w:r>
      <w:r w:rsidR="001E6D3C" w:rsidRPr="009F5BDD">
        <w:rPr>
          <w:lang w:eastAsia="fr-FR"/>
        </w:rPr>
        <w:t xml:space="preserve">La promotion et </w:t>
      </w:r>
      <w:r w:rsidR="001E6D3C">
        <w:rPr>
          <w:lang w:eastAsia="fr-FR"/>
        </w:rPr>
        <w:t xml:space="preserve">le maintien des </w:t>
      </w:r>
      <w:r>
        <w:rPr>
          <w:lang w:eastAsia="fr-FR"/>
        </w:rPr>
        <w:t>C</w:t>
      </w:r>
      <w:r w:rsidR="001E6D3C">
        <w:rPr>
          <w:lang w:eastAsia="fr-FR"/>
        </w:rPr>
        <w:t>onventions</w:t>
      </w:r>
      <w:r w:rsidR="001E6D3C" w:rsidRPr="009F5BDD">
        <w:rPr>
          <w:rFonts w:ascii="Segoe UI" w:hAnsi="Segoe UI" w:cs="Segoe UI"/>
        </w:rPr>
        <w:t xml:space="preserve"> </w:t>
      </w:r>
      <w:r w:rsidR="001E6D3C" w:rsidRPr="009F5BDD">
        <w:rPr>
          <w:lang w:eastAsia="fr-FR"/>
        </w:rPr>
        <w:t>de l</w:t>
      </w:r>
      <w:r w:rsidR="00616FE4">
        <w:rPr>
          <w:lang w:eastAsia="fr-FR"/>
        </w:rPr>
        <w:t>’</w:t>
      </w:r>
      <w:r w:rsidR="001E6D3C" w:rsidRPr="009F5BDD">
        <w:rPr>
          <w:lang w:eastAsia="fr-FR"/>
        </w:rPr>
        <w:t xml:space="preserve">ONU </w:t>
      </w:r>
      <w:r w:rsidR="001E6D3C">
        <w:rPr>
          <w:lang w:eastAsia="fr-FR"/>
        </w:rPr>
        <w:t xml:space="preserve">relatives aux </w:t>
      </w:r>
      <w:r w:rsidR="001E6D3C" w:rsidRPr="009F5BDD">
        <w:rPr>
          <w:lang w:eastAsia="fr-FR"/>
        </w:rPr>
        <w:t>transports</w:t>
      </w:r>
      <w:r w:rsidR="001E6D3C">
        <w:rPr>
          <w:lang w:eastAsia="fr-FR"/>
        </w:rPr>
        <w:t>, qui favorisent l</w:t>
      </w:r>
      <w:r w:rsidR="00616FE4">
        <w:rPr>
          <w:lang w:eastAsia="fr-FR"/>
        </w:rPr>
        <w:t>’</w:t>
      </w:r>
      <w:r w:rsidR="001E6D3C">
        <w:rPr>
          <w:lang w:eastAsia="fr-FR"/>
        </w:rPr>
        <w:t>adoption de normes élevées de sécurité partout dans le monde</w:t>
      </w:r>
      <w:r>
        <w:rPr>
          <w:lang w:eastAsia="fr-FR"/>
        </w:rPr>
        <w:t> </w:t>
      </w:r>
      <w:r w:rsidR="001E6D3C">
        <w:rPr>
          <w:lang w:eastAsia="fr-FR"/>
        </w:rPr>
        <w:t>;</w:t>
      </w:r>
    </w:p>
    <w:p w14:paraId="7D247260" w14:textId="77777777" w:rsidR="001E6D3C" w:rsidRPr="00783929" w:rsidRDefault="00CA3891" w:rsidP="00CA3891">
      <w:pPr>
        <w:pStyle w:val="SingleTxtG"/>
        <w:rPr>
          <w:lang w:eastAsia="fr-FR"/>
        </w:rPr>
      </w:pPr>
      <w:r>
        <w:rPr>
          <w:lang w:eastAsia="fr-FR"/>
        </w:rPr>
        <w:tab/>
      </w:r>
      <w:r w:rsidR="001E6D3C" w:rsidRPr="00DB4C7B">
        <w:rPr>
          <w:lang w:eastAsia="fr-FR"/>
        </w:rPr>
        <w:t>b)</w:t>
      </w:r>
      <w:r w:rsidR="001E6D3C" w:rsidRPr="00DB4C7B">
        <w:rPr>
          <w:lang w:eastAsia="fr-FR"/>
        </w:rPr>
        <w:tab/>
      </w:r>
      <w:r w:rsidR="001E6D3C" w:rsidRPr="00783929">
        <w:rPr>
          <w:lang w:eastAsia="fr-FR"/>
        </w:rPr>
        <w:t>L</w:t>
      </w:r>
      <w:r w:rsidR="00616FE4">
        <w:rPr>
          <w:lang w:eastAsia="fr-FR"/>
        </w:rPr>
        <w:t>’</w:t>
      </w:r>
      <w:r w:rsidR="001E6D3C" w:rsidRPr="00783929">
        <w:rPr>
          <w:lang w:eastAsia="fr-FR"/>
        </w:rPr>
        <w:t>aide à la mise au point de nouvelles technologies et d</w:t>
      </w:r>
      <w:r w:rsidR="00616FE4">
        <w:rPr>
          <w:lang w:eastAsia="fr-FR"/>
        </w:rPr>
        <w:t>’</w:t>
      </w:r>
      <w:r w:rsidR="001E6D3C" w:rsidRPr="00783929">
        <w:rPr>
          <w:lang w:eastAsia="fr-FR"/>
        </w:rPr>
        <w:t xml:space="preserve">innovations en matière de transports </w:t>
      </w:r>
      <w:r w:rsidR="001E6D3C">
        <w:rPr>
          <w:lang w:eastAsia="fr-FR"/>
        </w:rPr>
        <w:t>appuyée sur des normes universelles afin que, par exemple, les véhicules puissent opérer sur le plan international, ainsi que des normes permettant au progrès technique d</w:t>
      </w:r>
      <w:r w:rsidR="00616FE4">
        <w:rPr>
          <w:lang w:eastAsia="fr-FR"/>
        </w:rPr>
        <w:t>’</w:t>
      </w:r>
      <w:r w:rsidR="001E6D3C">
        <w:rPr>
          <w:lang w:eastAsia="fr-FR"/>
        </w:rPr>
        <w:t>avancer de manière coopérative</w:t>
      </w:r>
      <w:r w:rsidR="00274601">
        <w:rPr>
          <w:lang w:eastAsia="fr-FR"/>
        </w:rPr>
        <w:t> </w:t>
      </w:r>
      <w:r w:rsidR="001E6D3C">
        <w:rPr>
          <w:lang w:eastAsia="fr-FR"/>
        </w:rPr>
        <w:t>;</w:t>
      </w:r>
    </w:p>
    <w:p w14:paraId="7A44CCD9" w14:textId="77777777" w:rsidR="001E6D3C" w:rsidRPr="00A946C8" w:rsidRDefault="00CA3891" w:rsidP="00CA3891">
      <w:pPr>
        <w:pStyle w:val="SingleTxtG"/>
        <w:rPr>
          <w:lang w:eastAsia="fr-FR"/>
        </w:rPr>
      </w:pPr>
      <w:r>
        <w:rPr>
          <w:lang w:eastAsia="fr-FR"/>
        </w:rPr>
        <w:lastRenderedPageBreak/>
        <w:tab/>
      </w:r>
      <w:r w:rsidR="001E6D3C" w:rsidRPr="00A946C8">
        <w:rPr>
          <w:lang w:eastAsia="fr-FR"/>
        </w:rPr>
        <w:t>c</w:t>
      </w:r>
      <w:r w:rsidR="001E6D3C" w:rsidRPr="00DB4C7B">
        <w:rPr>
          <w:lang w:eastAsia="fr-FR"/>
        </w:rPr>
        <w:t>)</w:t>
      </w:r>
      <w:r w:rsidR="001E6D3C" w:rsidRPr="00DB4C7B">
        <w:rPr>
          <w:lang w:eastAsia="fr-FR"/>
        </w:rPr>
        <w:tab/>
      </w:r>
      <w:r w:rsidR="001E6D3C" w:rsidRPr="00A946C8">
        <w:rPr>
          <w:lang w:eastAsia="fr-FR"/>
        </w:rPr>
        <w:t>La promotion du dialogue interrégional et mondial en matière de</w:t>
      </w:r>
      <w:r w:rsidR="001E6D3C">
        <w:rPr>
          <w:lang w:eastAsia="fr-FR"/>
        </w:rPr>
        <w:t xml:space="preserve"> politiques de transports, auquel le </w:t>
      </w:r>
      <w:r w:rsidR="001E6D3C" w:rsidRPr="00DF156D">
        <w:rPr>
          <w:lang w:eastAsia="fr-FR"/>
        </w:rPr>
        <w:t>Comité des transports intérieurs</w:t>
      </w:r>
      <w:r w:rsidR="001E6D3C">
        <w:rPr>
          <w:lang w:eastAsia="fr-FR"/>
        </w:rPr>
        <w:t xml:space="preserve"> a servi de plateforme cl</w:t>
      </w:r>
      <w:r w:rsidR="00274601">
        <w:rPr>
          <w:lang w:eastAsia="fr-FR"/>
        </w:rPr>
        <w:t>ef</w:t>
      </w:r>
      <w:r w:rsidR="001E6D3C">
        <w:rPr>
          <w:lang w:eastAsia="fr-FR"/>
        </w:rPr>
        <w:t xml:space="preserve"> au cours des sept dernières décennies</w:t>
      </w:r>
      <w:r w:rsidR="00274601">
        <w:rPr>
          <w:lang w:eastAsia="fr-FR"/>
        </w:rPr>
        <w:t> </w:t>
      </w:r>
      <w:r w:rsidR="001E6D3C">
        <w:rPr>
          <w:lang w:eastAsia="fr-FR"/>
        </w:rPr>
        <w:t xml:space="preserve">; et </w:t>
      </w:r>
    </w:p>
    <w:p w14:paraId="3C73AA53" w14:textId="77777777" w:rsidR="001E6D3C" w:rsidRPr="00DB4C7B" w:rsidRDefault="00CA3891" w:rsidP="00CA3891">
      <w:pPr>
        <w:pStyle w:val="SingleTxtG"/>
        <w:rPr>
          <w:lang w:eastAsia="fr-FR"/>
        </w:rPr>
      </w:pPr>
      <w:r>
        <w:rPr>
          <w:lang w:eastAsia="fr-FR"/>
        </w:rPr>
        <w:tab/>
      </w:r>
      <w:r w:rsidR="001E6D3C" w:rsidRPr="00DB4C7B">
        <w:rPr>
          <w:lang w:eastAsia="fr-FR"/>
        </w:rPr>
        <w:t>d)</w:t>
      </w:r>
      <w:r w:rsidR="001E6D3C" w:rsidRPr="00DB4C7B">
        <w:rPr>
          <w:lang w:eastAsia="fr-FR"/>
        </w:rPr>
        <w:tab/>
      </w:r>
      <w:r w:rsidR="001E6D3C" w:rsidRPr="00DF156D">
        <w:rPr>
          <w:lang w:eastAsia="fr-FR"/>
        </w:rPr>
        <w:t xml:space="preserve">La promotion </w:t>
      </w:r>
      <w:r w:rsidR="001E6D3C">
        <w:rPr>
          <w:lang w:eastAsia="fr-FR"/>
        </w:rPr>
        <w:t xml:space="preserve">de </w:t>
      </w:r>
      <w:r w:rsidR="001E6D3C" w:rsidRPr="00DF156D">
        <w:rPr>
          <w:lang w:eastAsia="fr-FR"/>
        </w:rPr>
        <w:t xml:space="preserve">transports intérieurs régionaux </w:t>
      </w:r>
      <w:r w:rsidR="001E6D3C">
        <w:rPr>
          <w:lang w:eastAsia="fr-FR"/>
        </w:rPr>
        <w:t>durables interconnectés et permettant une plus grande mobilité</w:t>
      </w:r>
      <w:r w:rsidR="001E6D3C" w:rsidRPr="00DB4C7B">
        <w:rPr>
          <w:lang w:eastAsia="fr-FR"/>
        </w:rPr>
        <w:t xml:space="preserve">. </w:t>
      </w:r>
    </w:p>
    <w:p w14:paraId="3C5A17FB" w14:textId="77777777" w:rsidR="001E6D3C" w:rsidRPr="002B295F" w:rsidRDefault="001E6D3C" w:rsidP="00CA3891">
      <w:pPr>
        <w:pStyle w:val="SingleTxtG"/>
        <w:rPr>
          <w:lang w:eastAsia="fr-FR"/>
        </w:rPr>
      </w:pPr>
      <w:r w:rsidRPr="00DB4C7B">
        <w:rPr>
          <w:lang w:eastAsia="fr-FR"/>
        </w:rPr>
        <w:t>3.</w:t>
      </w:r>
      <w:r w:rsidRPr="00DB4C7B">
        <w:rPr>
          <w:lang w:eastAsia="fr-FR"/>
        </w:rPr>
        <w:tab/>
      </w:r>
      <w:r w:rsidRPr="002B295F">
        <w:rPr>
          <w:lang w:eastAsia="fr-FR"/>
        </w:rPr>
        <w:t>L</w:t>
      </w:r>
      <w:r w:rsidR="00616FE4">
        <w:rPr>
          <w:lang w:eastAsia="fr-FR"/>
        </w:rPr>
        <w:t>’</w:t>
      </w:r>
      <w:r w:rsidRPr="00DB4C7B">
        <w:rPr>
          <w:lang w:eastAsia="fr-FR"/>
        </w:rPr>
        <w:t xml:space="preserve">adoption </w:t>
      </w:r>
      <w:r w:rsidRPr="002B295F">
        <w:rPr>
          <w:lang w:eastAsia="fr-FR"/>
        </w:rPr>
        <w:t xml:space="preserve">de la Stratégie du CTI </w:t>
      </w:r>
      <w:r>
        <w:rPr>
          <w:lang w:eastAsia="fr-FR"/>
        </w:rPr>
        <w:t xml:space="preserve">marque une nouvelle extension des Conventions </w:t>
      </w:r>
      <w:r w:rsidRPr="002B295F">
        <w:rPr>
          <w:lang w:eastAsia="fr-FR"/>
        </w:rPr>
        <w:t>relevant de la compétence du Comité</w:t>
      </w:r>
      <w:r>
        <w:rPr>
          <w:lang w:eastAsia="fr-FR"/>
        </w:rPr>
        <w:t xml:space="preserve"> à la totalité des 193 États</w:t>
      </w:r>
      <w:r w:rsidR="00274601">
        <w:rPr>
          <w:lang w:eastAsia="fr-FR"/>
        </w:rPr>
        <w:t xml:space="preserve"> M</w:t>
      </w:r>
      <w:r>
        <w:rPr>
          <w:lang w:eastAsia="fr-FR"/>
        </w:rPr>
        <w:t>embres des Nations</w:t>
      </w:r>
      <w:r w:rsidR="00274601">
        <w:rPr>
          <w:lang w:eastAsia="fr-FR"/>
        </w:rPr>
        <w:t> </w:t>
      </w:r>
      <w:r>
        <w:rPr>
          <w:lang w:eastAsia="fr-FR"/>
        </w:rPr>
        <w:t>Unies. Il s</w:t>
      </w:r>
      <w:r w:rsidR="00616FE4">
        <w:rPr>
          <w:lang w:eastAsia="fr-FR"/>
        </w:rPr>
        <w:t>’</w:t>
      </w:r>
      <w:r>
        <w:rPr>
          <w:lang w:eastAsia="fr-FR"/>
        </w:rPr>
        <w:t>agit de favoriser l</w:t>
      </w:r>
      <w:r w:rsidR="00616FE4">
        <w:rPr>
          <w:lang w:eastAsia="fr-FR"/>
        </w:rPr>
        <w:t>’</w:t>
      </w:r>
      <w:r>
        <w:rPr>
          <w:lang w:eastAsia="fr-FR"/>
        </w:rPr>
        <w:t>adhésion à ces instruments et outils juridiques ainsi que leur mise en œuvre en tant que fondement commun d</w:t>
      </w:r>
      <w:r w:rsidR="00616FE4">
        <w:rPr>
          <w:lang w:eastAsia="fr-FR"/>
        </w:rPr>
        <w:t>’</w:t>
      </w:r>
      <w:r>
        <w:rPr>
          <w:lang w:eastAsia="fr-FR"/>
        </w:rPr>
        <w:t xml:space="preserve">une mobilité plus durable et plus accessible. </w:t>
      </w:r>
      <w:r w:rsidRPr="002B295F">
        <w:rPr>
          <w:lang w:eastAsia="fr-FR"/>
        </w:rPr>
        <w:t>Cela constituera un tournant pour le secteur des transports intérieurs, pour le plus grand bien des États</w:t>
      </w:r>
      <w:r w:rsidR="00274601">
        <w:rPr>
          <w:lang w:eastAsia="fr-FR"/>
        </w:rPr>
        <w:t xml:space="preserve"> </w:t>
      </w:r>
      <w:r w:rsidRPr="002B295F">
        <w:rPr>
          <w:lang w:eastAsia="fr-FR"/>
        </w:rPr>
        <w:t xml:space="preserve">membres de la CEE </w:t>
      </w:r>
      <w:r>
        <w:rPr>
          <w:lang w:eastAsia="fr-FR"/>
        </w:rPr>
        <w:t>ainsi que de ceux des Nations</w:t>
      </w:r>
      <w:r w:rsidR="00274601">
        <w:rPr>
          <w:lang w:eastAsia="fr-FR"/>
        </w:rPr>
        <w:t xml:space="preserve"> </w:t>
      </w:r>
      <w:r>
        <w:rPr>
          <w:lang w:eastAsia="fr-FR"/>
        </w:rPr>
        <w:t xml:space="preserve">Unies. </w:t>
      </w:r>
    </w:p>
    <w:p w14:paraId="6756CC40" w14:textId="77777777" w:rsidR="001E6D3C" w:rsidRPr="00DB4C7B" w:rsidRDefault="001E6D3C" w:rsidP="00CA3891">
      <w:pPr>
        <w:pStyle w:val="SingleTxtG"/>
        <w:rPr>
          <w:lang w:eastAsia="en-GB"/>
        </w:rPr>
      </w:pPr>
      <w:r w:rsidRPr="00DB4C7B">
        <w:rPr>
          <w:lang w:eastAsia="en-GB"/>
        </w:rPr>
        <w:t>4.</w:t>
      </w:r>
      <w:r w:rsidRPr="00DB4C7B">
        <w:rPr>
          <w:lang w:eastAsia="en-GB"/>
        </w:rPr>
        <w:tab/>
      </w:r>
      <w:r w:rsidRPr="00CB2765">
        <w:rPr>
          <w:lang w:eastAsia="en-GB"/>
        </w:rPr>
        <w:t xml:space="preserve">La Division des transports durables assure le secrétariat du Comité des transports intérieurs (CTI) de la CEE, de </w:t>
      </w:r>
      <w:r w:rsidRPr="009E255C">
        <w:rPr>
          <w:lang w:eastAsia="en-GB"/>
        </w:rPr>
        <w:t>ses 20</w:t>
      </w:r>
      <w:r w:rsidR="00274601" w:rsidRPr="009E255C">
        <w:rPr>
          <w:lang w:eastAsia="en-GB"/>
        </w:rPr>
        <w:t xml:space="preserve"> </w:t>
      </w:r>
      <w:r w:rsidRPr="009E255C">
        <w:rPr>
          <w:lang w:eastAsia="en-GB"/>
        </w:rPr>
        <w:t>groupes de travail, des comités d</w:t>
      </w:r>
      <w:r w:rsidR="00616FE4" w:rsidRPr="009E255C">
        <w:rPr>
          <w:lang w:eastAsia="en-GB"/>
        </w:rPr>
        <w:t>’</w:t>
      </w:r>
      <w:r w:rsidRPr="009E255C">
        <w:rPr>
          <w:lang w:eastAsia="en-GB"/>
        </w:rPr>
        <w:t>experts de l</w:t>
      </w:r>
      <w:r w:rsidR="00616FE4" w:rsidRPr="009E255C">
        <w:rPr>
          <w:lang w:eastAsia="en-GB"/>
        </w:rPr>
        <w:t>’</w:t>
      </w:r>
      <w:r w:rsidRPr="009E255C">
        <w:rPr>
          <w:lang w:eastAsia="en-GB"/>
        </w:rPr>
        <w:t>ECOSOC sur le transport des marchandises dangereuses et</w:t>
      </w:r>
      <w:r w:rsidRPr="00CB2765">
        <w:rPr>
          <w:lang w:eastAsia="en-GB"/>
        </w:rPr>
        <w:t xml:space="preserve"> sur le Système général harmonisé de classification et d</w:t>
      </w:r>
      <w:r w:rsidR="00616FE4">
        <w:rPr>
          <w:lang w:eastAsia="en-GB"/>
        </w:rPr>
        <w:t>’</w:t>
      </w:r>
      <w:r w:rsidRPr="00CB2765">
        <w:rPr>
          <w:lang w:eastAsia="en-GB"/>
        </w:rPr>
        <w:t>étiquetage des produits chimiques, ainsi que de 12 organes conventionnels qui se réunissent régulièrement pour actualiser et modifier les instruments juridiques des Nations Unies dont ils ont la responsabilité.</w:t>
      </w:r>
    </w:p>
    <w:p w14:paraId="07E6ABD0" w14:textId="77777777" w:rsidR="001E6D3C" w:rsidRPr="003743F3" w:rsidRDefault="001E6D3C" w:rsidP="00CA3891">
      <w:pPr>
        <w:pStyle w:val="SingleTxtG"/>
        <w:rPr>
          <w:lang w:eastAsia="en-GB"/>
        </w:rPr>
      </w:pPr>
      <w:r w:rsidRPr="002251C1">
        <w:rPr>
          <w:lang w:eastAsia="en-GB"/>
        </w:rPr>
        <w:t>5.</w:t>
      </w:r>
      <w:r w:rsidRPr="002251C1">
        <w:rPr>
          <w:lang w:eastAsia="en-GB"/>
        </w:rPr>
        <w:tab/>
        <w:t xml:space="preserve">La Division collabore également avec la Division des transports de </w:t>
      </w:r>
      <w:r>
        <w:rPr>
          <w:lang w:eastAsia="en-GB"/>
        </w:rPr>
        <w:t xml:space="preserve">la </w:t>
      </w:r>
      <w:r w:rsidRPr="002251C1">
        <w:rPr>
          <w:lang w:eastAsia="en-GB"/>
        </w:rPr>
        <w:t>Commission économique et sociale pour</w:t>
      </w:r>
      <w:r>
        <w:rPr>
          <w:lang w:eastAsia="en-GB"/>
        </w:rPr>
        <w:t xml:space="preserve"> l</w:t>
      </w:r>
      <w:r w:rsidR="00616FE4">
        <w:rPr>
          <w:lang w:eastAsia="en-GB"/>
        </w:rPr>
        <w:t>’</w:t>
      </w:r>
      <w:r>
        <w:rPr>
          <w:lang w:eastAsia="en-GB"/>
        </w:rPr>
        <w:t xml:space="preserve">Asie et le Pacifique (CESAP) et </w:t>
      </w:r>
      <w:r w:rsidRPr="00485DA7">
        <w:rPr>
          <w:lang w:eastAsia="en-GB"/>
        </w:rPr>
        <w:t>assur</w:t>
      </w:r>
      <w:r>
        <w:rPr>
          <w:lang w:eastAsia="en-GB"/>
        </w:rPr>
        <w:t>e</w:t>
      </w:r>
      <w:r w:rsidRPr="00485DA7">
        <w:rPr>
          <w:lang w:eastAsia="en-GB"/>
        </w:rPr>
        <w:t xml:space="preserve"> les services de secrétariat </w:t>
      </w:r>
      <w:r>
        <w:rPr>
          <w:lang w:eastAsia="en-GB"/>
        </w:rPr>
        <w:t xml:space="preserve">pour le </w:t>
      </w:r>
      <w:r w:rsidRPr="003743F3">
        <w:rPr>
          <w:lang w:eastAsia="en-GB"/>
        </w:rPr>
        <w:t>Groupe de travail sur les projets relatifs aux transports du Programme spécial des Nations Unies pour les pays d</w:t>
      </w:r>
      <w:r w:rsidR="00616FE4">
        <w:rPr>
          <w:lang w:eastAsia="en-GB"/>
        </w:rPr>
        <w:t>’</w:t>
      </w:r>
      <w:r w:rsidRPr="003743F3">
        <w:rPr>
          <w:lang w:eastAsia="en-GB"/>
        </w:rPr>
        <w:t>Asie centrale (SPECA).</w:t>
      </w:r>
      <w:r w:rsidRPr="003743F3">
        <w:rPr>
          <w:rFonts w:ascii="Segoe UI" w:hAnsi="Segoe UI" w:cs="Segoe UI"/>
        </w:rPr>
        <w:t xml:space="preserve"> </w:t>
      </w:r>
      <w:r w:rsidRPr="003743F3">
        <w:rPr>
          <w:lang w:eastAsia="en-GB"/>
        </w:rPr>
        <w:t>La Division est l</w:t>
      </w:r>
      <w:r w:rsidR="00616FE4">
        <w:rPr>
          <w:lang w:eastAsia="en-GB"/>
        </w:rPr>
        <w:t>’</w:t>
      </w:r>
      <w:r w:rsidRPr="003743F3">
        <w:rPr>
          <w:lang w:eastAsia="en-GB"/>
        </w:rPr>
        <w:t>agent d</w:t>
      </w:r>
      <w:r w:rsidR="00616FE4">
        <w:rPr>
          <w:lang w:eastAsia="en-GB"/>
        </w:rPr>
        <w:t>’</w:t>
      </w:r>
      <w:r w:rsidRPr="003743F3">
        <w:rPr>
          <w:lang w:eastAsia="en-GB"/>
        </w:rPr>
        <w:t>exécution des projets d</w:t>
      </w:r>
      <w:r w:rsidR="00616FE4">
        <w:rPr>
          <w:lang w:eastAsia="en-GB"/>
        </w:rPr>
        <w:t>’</w:t>
      </w:r>
      <w:r w:rsidRPr="003743F3">
        <w:rPr>
          <w:lang w:eastAsia="en-GB"/>
        </w:rPr>
        <w:t>autoroute transeuropéenne (TEM) et de chemin de fer transeuropéen (TER).</w:t>
      </w:r>
      <w:r w:rsidRPr="003743F3">
        <w:rPr>
          <w:rFonts w:ascii="Segoe UI" w:hAnsi="Segoe UI" w:cs="Segoe UI"/>
        </w:rPr>
        <w:t xml:space="preserve"> </w:t>
      </w:r>
      <w:r w:rsidRPr="003743F3">
        <w:rPr>
          <w:lang w:eastAsia="en-GB"/>
        </w:rPr>
        <w:t>Le Bureau régional de l</w:t>
      </w:r>
      <w:r w:rsidR="00616FE4">
        <w:rPr>
          <w:lang w:eastAsia="en-GB"/>
        </w:rPr>
        <w:t>’</w:t>
      </w:r>
      <w:r>
        <w:rPr>
          <w:lang w:eastAsia="en-GB"/>
        </w:rPr>
        <w:t>Organisation mondiale de la Santé (O</w:t>
      </w:r>
      <w:r w:rsidRPr="003743F3">
        <w:rPr>
          <w:lang w:eastAsia="en-GB"/>
        </w:rPr>
        <w:t>MS</w:t>
      </w:r>
      <w:r>
        <w:rPr>
          <w:lang w:eastAsia="en-GB"/>
        </w:rPr>
        <w:t>)</w:t>
      </w:r>
      <w:r w:rsidRPr="003743F3">
        <w:rPr>
          <w:lang w:eastAsia="en-GB"/>
        </w:rPr>
        <w:t xml:space="preserve"> pour l</w:t>
      </w:r>
      <w:r w:rsidR="00616FE4">
        <w:rPr>
          <w:lang w:eastAsia="en-GB"/>
        </w:rPr>
        <w:t>’</w:t>
      </w:r>
      <w:r w:rsidRPr="003743F3">
        <w:rPr>
          <w:lang w:eastAsia="en-GB"/>
        </w:rPr>
        <w:t>Europe et les Divisions des transports et de l</w:t>
      </w:r>
      <w:r w:rsidR="00616FE4">
        <w:rPr>
          <w:lang w:eastAsia="en-GB"/>
        </w:rPr>
        <w:t>’</w:t>
      </w:r>
      <w:r w:rsidRPr="003743F3">
        <w:rPr>
          <w:lang w:eastAsia="en-GB"/>
        </w:rPr>
        <w:t>environnement de la</w:t>
      </w:r>
      <w:r w:rsidR="00455EB6">
        <w:rPr>
          <w:lang w:eastAsia="en-GB"/>
        </w:rPr>
        <w:t xml:space="preserve"> </w:t>
      </w:r>
      <w:r w:rsidRPr="003743F3">
        <w:rPr>
          <w:lang w:eastAsia="en-GB"/>
        </w:rPr>
        <w:t>CEE assurent le secrétariat du Programme paneuropéen sur les transports, la santé et l</w:t>
      </w:r>
      <w:r w:rsidR="00616FE4">
        <w:rPr>
          <w:lang w:eastAsia="en-GB"/>
        </w:rPr>
        <w:t>’</w:t>
      </w:r>
      <w:r w:rsidRPr="003743F3">
        <w:rPr>
          <w:lang w:eastAsia="en-GB"/>
        </w:rPr>
        <w:t>environnement (PPE</w:t>
      </w:r>
      <w:r w:rsidR="00455EB6">
        <w:rPr>
          <w:lang w:eastAsia="en-GB"/>
        </w:rPr>
        <w:noBreakHyphen/>
      </w:r>
      <w:r w:rsidRPr="003743F3">
        <w:rPr>
          <w:lang w:eastAsia="en-GB"/>
        </w:rPr>
        <w:t>TSE).</w:t>
      </w:r>
      <w:r>
        <w:rPr>
          <w:lang w:eastAsia="en-GB"/>
        </w:rPr>
        <w:t xml:space="preserve"> </w:t>
      </w:r>
      <w:r w:rsidRPr="003743F3">
        <w:rPr>
          <w:lang w:eastAsia="en-GB"/>
        </w:rPr>
        <w:t xml:space="preserve">Depuis 1999, la Division fournit des services de secrétariat financés par des fonds extrabudgétaires </w:t>
      </w:r>
      <w:r>
        <w:rPr>
          <w:lang w:eastAsia="en-GB"/>
        </w:rPr>
        <w:t>au s</w:t>
      </w:r>
      <w:r w:rsidRPr="003743F3">
        <w:rPr>
          <w:lang w:eastAsia="en-GB"/>
        </w:rPr>
        <w:t>ystème TIR.</w:t>
      </w:r>
      <w:r w:rsidRPr="003743F3">
        <w:rPr>
          <w:rFonts w:ascii="Segoe UI" w:hAnsi="Segoe UI" w:cs="Segoe UI"/>
        </w:rPr>
        <w:t xml:space="preserve"> </w:t>
      </w:r>
      <w:r w:rsidRPr="003743F3">
        <w:rPr>
          <w:lang w:eastAsia="en-GB"/>
        </w:rPr>
        <w:t>Depuis 2015, elle assure, grâce à des fonds extrabudgétaires, le secrétariat de l</w:t>
      </w:r>
      <w:r w:rsidR="00616FE4">
        <w:rPr>
          <w:lang w:eastAsia="en-GB"/>
        </w:rPr>
        <w:t>’</w:t>
      </w:r>
      <w:r w:rsidRPr="003743F3">
        <w:rPr>
          <w:lang w:eastAsia="en-GB"/>
        </w:rPr>
        <w:t>Envoyé spécial du Secrétaire général de l</w:t>
      </w:r>
      <w:r w:rsidR="00616FE4">
        <w:rPr>
          <w:lang w:eastAsia="en-GB"/>
        </w:rPr>
        <w:t>’</w:t>
      </w:r>
      <w:r w:rsidRPr="003743F3">
        <w:rPr>
          <w:lang w:eastAsia="en-GB"/>
        </w:rPr>
        <w:t>ONU pour la sécurité routière.</w:t>
      </w:r>
      <w:r w:rsidRPr="003743F3">
        <w:rPr>
          <w:rFonts w:ascii="Segoe UI" w:hAnsi="Segoe UI" w:cs="Segoe UI"/>
        </w:rPr>
        <w:t xml:space="preserve"> </w:t>
      </w:r>
      <w:r w:rsidRPr="003743F3">
        <w:rPr>
          <w:lang w:eastAsia="en-GB"/>
        </w:rPr>
        <w:t xml:space="preserve">Enfin, depuis 2018, la Division fournit des services de secrétariat financés par des fonds extrabudgétaires </w:t>
      </w:r>
      <w:r>
        <w:rPr>
          <w:lang w:eastAsia="en-GB"/>
        </w:rPr>
        <w:t xml:space="preserve">au </w:t>
      </w:r>
      <w:r w:rsidRPr="003743F3">
        <w:rPr>
          <w:lang w:eastAsia="en-GB"/>
        </w:rPr>
        <w:t>Fonds d</w:t>
      </w:r>
      <w:r w:rsidR="00616FE4">
        <w:rPr>
          <w:lang w:eastAsia="en-GB"/>
        </w:rPr>
        <w:t>’</w:t>
      </w:r>
      <w:r w:rsidRPr="003743F3">
        <w:rPr>
          <w:lang w:eastAsia="en-GB"/>
        </w:rPr>
        <w:t>affectation spéciale des Nations Unies pour la sécurité routière.</w:t>
      </w:r>
    </w:p>
    <w:p w14:paraId="375A0801" w14:textId="77777777" w:rsidR="001E6D3C" w:rsidRPr="003743F3" w:rsidRDefault="001E6D3C" w:rsidP="00455EB6">
      <w:pPr>
        <w:pStyle w:val="HChG"/>
        <w:rPr>
          <w:lang w:eastAsia="en-GB"/>
        </w:rPr>
      </w:pPr>
      <w:r w:rsidRPr="00735303">
        <w:rPr>
          <w:lang w:eastAsia="en-GB"/>
        </w:rPr>
        <w:tab/>
      </w:r>
      <w:r w:rsidRPr="003743F3">
        <w:rPr>
          <w:lang w:eastAsia="en-GB"/>
        </w:rPr>
        <w:t>II.</w:t>
      </w:r>
      <w:r w:rsidRPr="003743F3">
        <w:rPr>
          <w:lang w:eastAsia="en-GB"/>
        </w:rPr>
        <w:tab/>
        <w:t>I</w:t>
      </w:r>
      <w:r>
        <w:rPr>
          <w:lang w:eastAsia="en-GB"/>
        </w:rPr>
        <w:t>m</w:t>
      </w:r>
      <w:r w:rsidRPr="003743F3">
        <w:rPr>
          <w:lang w:eastAsia="en-GB"/>
        </w:rPr>
        <w:t>pact</w:t>
      </w:r>
      <w:r>
        <w:rPr>
          <w:lang w:eastAsia="en-GB"/>
        </w:rPr>
        <w:t>s</w:t>
      </w:r>
      <w:r w:rsidRPr="003743F3">
        <w:rPr>
          <w:lang w:eastAsia="en-GB"/>
        </w:rPr>
        <w:t xml:space="preserve"> sur les transports intérieurs </w:t>
      </w:r>
      <w:r>
        <w:rPr>
          <w:lang w:eastAsia="en-GB"/>
        </w:rPr>
        <w:t xml:space="preserve">mondiaux et </w:t>
      </w:r>
      <w:r w:rsidRPr="003743F3">
        <w:rPr>
          <w:lang w:eastAsia="en-GB"/>
        </w:rPr>
        <w:t>régionaux</w:t>
      </w:r>
    </w:p>
    <w:p w14:paraId="13F1E61B" w14:textId="77777777" w:rsidR="001E6D3C" w:rsidRDefault="001E6D3C" w:rsidP="00CA3891">
      <w:pPr>
        <w:pStyle w:val="SingleTxtG"/>
        <w:rPr>
          <w:lang w:eastAsia="en-GB"/>
        </w:rPr>
      </w:pPr>
      <w:r w:rsidRPr="00C81604">
        <w:rPr>
          <w:lang w:eastAsia="en-GB"/>
        </w:rPr>
        <w:t>6.</w:t>
      </w:r>
      <w:r w:rsidRPr="00C81604">
        <w:rPr>
          <w:lang w:eastAsia="en-GB"/>
        </w:rPr>
        <w:tab/>
        <w:t>L</w:t>
      </w:r>
      <w:r w:rsidR="00616FE4">
        <w:rPr>
          <w:lang w:eastAsia="en-GB"/>
        </w:rPr>
        <w:t>’</w:t>
      </w:r>
      <w:r w:rsidRPr="00C81604">
        <w:rPr>
          <w:lang w:eastAsia="en-GB"/>
        </w:rPr>
        <w:t xml:space="preserve">adoption de </w:t>
      </w:r>
      <w:r w:rsidRPr="009E255C">
        <w:rPr>
          <w:lang w:eastAsia="en-GB"/>
        </w:rPr>
        <w:t>la Stratégie du CT</w:t>
      </w:r>
      <w:r w:rsidRPr="00C81604">
        <w:rPr>
          <w:lang w:eastAsia="en-GB"/>
        </w:rPr>
        <w:t>I</w:t>
      </w:r>
      <w:r>
        <w:rPr>
          <w:lang w:eastAsia="en-GB"/>
        </w:rPr>
        <w:t xml:space="preserve"> accroît encore l</w:t>
      </w:r>
      <w:r w:rsidR="00616FE4">
        <w:rPr>
          <w:lang w:eastAsia="en-GB"/>
        </w:rPr>
        <w:t>’</w:t>
      </w:r>
      <w:r>
        <w:rPr>
          <w:lang w:eastAsia="en-GB"/>
        </w:rPr>
        <w:t>impact du travail du CTI sur la vie quotidienne des populations. L</w:t>
      </w:r>
      <w:r w:rsidR="00616FE4">
        <w:rPr>
          <w:lang w:eastAsia="en-GB"/>
        </w:rPr>
        <w:t>’</w:t>
      </w:r>
      <w:r>
        <w:rPr>
          <w:lang w:eastAsia="en-GB"/>
        </w:rPr>
        <w:t>élargissement du cadre</w:t>
      </w:r>
      <w:r w:rsidRPr="00C81604">
        <w:rPr>
          <w:lang w:eastAsia="en-GB"/>
        </w:rPr>
        <w:t xml:space="preserve"> réglementaire</w:t>
      </w:r>
      <w:r>
        <w:rPr>
          <w:lang w:eastAsia="en-GB"/>
        </w:rPr>
        <w:t xml:space="preserve"> augmente l</w:t>
      </w:r>
      <w:r w:rsidR="00616FE4">
        <w:rPr>
          <w:lang w:eastAsia="en-GB"/>
        </w:rPr>
        <w:t>’</w:t>
      </w:r>
      <w:r>
        <w:rPr>
          <w:lang w:eastAsia="en-GB"/>
        </w:rPr>
        <w:t xml:space="preserve">efficacité, la sécurité et la durabilité des modes de transport intérieur. Parmi les retombées les plus spectaculaires de ce travail on peut citer les faits suivants : </w:t>
      </w:r>
    </w:p>
    <w:p w14:paraId="4215682F" w14:textId="77777777" w:rsidR="001E6D3C" w:rsidRDefault="001E6D3C" w:rsidP="00455EB6">
      <w:pPr>
        <w:pStyle w:val="Bullet1G"/>
        <w:rPr>
          <w:lang w:eastAsia="fr-FR"/>
        </w:rPr>
      </w:pPr>
      <w:r w:rsidRPr="00347BD6">
        <w:rPr>
          <w:lang w:eastAsia="fr-FR"/>
        </w:rPr>
        <w:t>Chaque année, 89 % de la production mondiale de voitures, camions et autobus neufs et 53 % des motocycles neufs sont conformes aux Règlements de l</w:t>
      </w:r>
      <w:r w:rsidR="00616FE4">
        <w:rPr>
          <w:lang w:eastAsia="fr-FR"/>
        </w:rPr>
        <w:t>’</w:t>
      </w:r>
      <w:r w:rsidRPr="00347BD6">
        <w:rPr>
          <w:lang w:eastAsia="fr-FR"/>
        </w:rPr>
        <w:t>ONU ou aux Règlements techniques mondiaux de l</w:t>
      </w:r>
      <w:r w:rsidR="00616FE4">
        <w:rPr>
          <w:lang w:eastAsia="fr-FR"/>
        </w:rPr>
        <w:t>’</w:t>
      </w:r>
      <w:r w:rsidRPr="00347BD6">
        <w:rPr>
          <w:lang w:eastAsia="fr-FR"/>
        </w:rPr>
        <w:t>ONU</w:t>
      </w:r>
      <w:r w:rsidR="00455EB6">
        <w:rPr>
          <w:lang w:eastAsia="fr-FR"/>
        </w:rPr>
        <w:t> ;</w:t>
      </w:r>
    </w:p>
    <w:p w14:paraId="4A4AACC3" w14:textId="77777777" w:rsidR="001E6D3C" w:rsidRDefault="001E6D3C" w:rsidP="00455EB6">
      <w:pPr>
        <w:pStyle w:val="Bullet1G"/>
        <w:rPr>
          <w:lang w:eastAsia="fr-FR"/>
        </w:rPr>
      </w:pPr>
      <w:r w:rsidRPr="00347BD6">
        <w:rPr>
          <w:lang w:eastAsia="fr-FR"/>
        </w:rPr>
        <w:t>Entre 150 et 200 millions de lettres de voiture sont émises chaque année rien qu</w:t>
      </w:r>
      <w:r w:rsidR="00616FE4">
        <w:rPr>
          <w:lang w:eastAsia="fr-FR"/>
        </w:rPr>
        <w:t>’</w:t>
      </w:r>
      <w:r w:rsidRPr="00347BD6">
        <w:rPr>
          <w:lang w:eastAsia="fr-FR"/>
        </w:rPr>
        <w:t>en Europe pour des voyages internationaux par la Convention relative au transport international de marchandises par route (CMR)</w:t>
      </w:r>
      <w:r w:rsidR="00455EB6">
        <w:rPr>
          <w:lang w:eastAsia="fr-FR"/>
        </w:rPr>
        <w:t> </w:t>
      </w:r>
      <w:r w:rsidRPr="00347BD6">
        <w:rPr>
          <w:lang w:eastAsia="fr-FR"/>
        </w:rPr>
        <w:t>; ce nombre passe à environ un</w:t>
      </w:r>
      <w:r w:rsidR="00CF13A0">
        <w:rPr>
          <w:lang w:eastAsia="fr-FR"/>
        </w:rPr>
        <w:t> </w:t>
      </w:r>
      <w:r w:rsidRPr="00347BD6">
        <w:rPr>
          <w:lang w:eastAsia="fr-FR"/>
        </w:rPr>
        <w:t>milliard si l</w:t>
      </w:r>
      <w:r w:rsidR="00616FE4">
        <w:rPr>
          <w:lang w:eastAsia="fr-FR"/>
        </w:rPr>
        <w:t>’</w:t>
      </w:r>
      <w:r w:rsidRPr="00347BD6">
        <w:rPr>
          <w:lang w:eastAsia="fr-FR"/>
        </w:rPr>
        <w:t xml:space="preserve">on tient compte du transport </w:t>
      </w:r>
      <w:r>
        <w:rPr>
          <w:lang w:eastAsia="fr-FR"/>
        </w:rPr>
        <w:t xml:space="preserve">national </w:t>
      </w:r>
      <w:r w:rsidRPr="00347BD6">
        <w:rPr>
          <w:lang w:eastAsia="fr-FR"/>
        </w:rPr>
        <w:t>de marchandises</w:t>
      </w:r>
      <w:r w:rsidR="00CF13A0">
        <w:rPr>
          <w:lang w:eastAsia="fr-FR"/>
        </w:rPr>
        <w:t> ;</w:t>
      </w:r>
    </w:p>
    <w:p w14:paraId="2DD29EF1" w14:textId="77777777" w:rsidR="001E6D3C" w:rsidRPr="00C64E4A" w:rsidRDefault="001E6D3C" w:rsidP="00CF13A0">
      <w:pPr>
        <w:pStyle w:val="Bullet1G"/>
        <w:rPr>
          <w:lang w:eastAsia="fr-FR"/>
        </w:rPr>
      </w:pPr>
      <w:r w:rsidRPr="00C64E4A">
        <w:rPr>
          <w:lang w:eastAsia="fr-FR"/>
        </w:rPr>
        <w:t>Plus de 450 millions de véhicules en Europe, en Asie centrale, en Afrique du Nord et au Moyen-Orient utilisent la carte verte</w:t>
      </w:r>
      <w:r>
        <w:rPr>
          <w:lang w:eastAsia="fr-FR"/>
        </w:rPr>
        <w:t xml:space="preserve"> et </w:t>
      </w:r>
      <w:r w:rsidRPr="00C64E4A">
        <w:rPr>
          <w:lang w:eastAsia="fr-FR"/>
        </w:rPr>
        <w:t>129 pays ont délivré des millions de permis de conduire internationaux</w:t>
      </w:r>
      <w:r w:rsidR="00CF13A0">
        <w:rPr>
          <w:lang w:eastAsia="fr-FR"/>
        </w:rPr>
        <w:t> ;</w:t>
      </w:r>
    </w:p>
    <w:p w14:paraId="04283ED3" w14:textId="77777777" w:rsidR="001E6D3C" w:rsidRDefault="001E6D3C" w:rsidP="00CF13A0">
      <w:pPr>
        <w:pStyle w:val="Bullet1G"/>
        <w:rPr>
          <w:lang w:eastAsia="fr-FR"/>
        </w:rPr>
      </w:pPr>
      <w:r>
        <w:rPr>
          <w:lang w:eastAsia="fr-FR"/>
        </w:rPr>
        <w:t xml:space="preserve">Plus de 12 millions </w:t>
      </w:r>
      <w:r w:rsidRPr="00C64E4A">
        <w:rPr>
          <w:lang w:eastAsia="fr-FR"/>
        </w:rPr>
        <w:t xml:space="preserve">de </w:t>
      </w:r>
      <w:r>
        <w:rPr>
          <w:lang w:eastAsia="fr-FR"/>
        </w:rPr>
        <w:t>véhicule</w:t>
      </w:r>
      <w:r w:rsidR="00CF13A0">
        <w:rPr>
          <w:lang w:eastAsia="fr-FR"/>
        </w:rPr>
        <w:t>s</w:t>
      </w:r>
      <w:r>
        <w:rPr>
          <w:lang w:eastAsia="fr-FR"/>
        </w:rPr>
        <w:t xml:space="preserve"> de transport de </w:t>
      </w:r>
      <w:r w:rsidRPr="00C64E4A">
        <w:rPr>
          <w:lang w:eastAsia="fr-FR"/>
        </w:rPr>
        <w:t>marchandises ou de passagers</w:t>
      </w:r>
      <w:r>
        <w:rPr>
          <w:lang w:eastAsia="fr-FR"/>
        </w:rPr>
        <w:t xml:space="preserve"> utilisent des </w:t>
      </w:r>
      <w:r w:rsidRPr="00C64E4A">
        <w:rPr>
          <w:lang w:eastAsia="fr-FR"/>
        </w:rPr>
        <w:t>tachygraphe</w:t>
      </w:r>
      <w:r>
        <w:rPr>
          <w:lang w:eastAsia="fr-FR"/>
        </w:rPr>
        <w:t>s dans la région de la CEE à l</w:t>
      </w:r>
      <w:r w:rsidR="00616FE4">
        <w:rPr>
          <w:lang w:eastAsia="fr-FR"/>
        </w:rPr>
        <w:t>’</w:t>
      </w:r>
      <w:r>
        <w:rPr>
          <w:lang w:eastAsia="fr-FR"/>
        </w:rPr>
        <w:t>exception de l</w:t>
      </w:r>
      <w:r w:rsidR="00616FE4">
        <w:rPr>
          <w:lang w:eastAsia="fr-FR"/>
        </w:rPr>
        <w:t>’</w:t>
      </w:r>
      <w:r>
        <w:rPr>
          <w:lang w:eastAsia="fr-FR"/>
        </w:rPr>
        <w:t>Amérique du Nord</w:t>
      </w:r>
      <w:r w:rsidR="00CF13A0">
        <w:rPr>
          <w:lang w:eastAsia="fr-FR"/>
        </w:rPr>
        <w:t> ;</w:t>
      </w:r>
    </w:p>
    <w:p w14:paraId="16FECBC5" w14:textId="77777777" w:rsidR="001E6D3C" w:rsidRDefault="001E6D3C" w:rsidP="00CF13A0">
      <w:pPr>
        <w:pStyle w:val="Bullet1G"/>
        <w:rPr>
          <w:lang w:eastAsia="fr-FR"/>
        </w:rPr>
      </w:pPr>
      <w:r w:rsidRPr="00107D39">
        <w:rPr>
          <w:lang w:eastAsia="fr-FR"/>
        </w:rPr>
        <w:t>En 2019, 34 000 transporteurs autorisés dans 62 pays ont effectué 858</w:t>
      </w:r>
      <w:r w:rsidR="00CF13A0">
        <w:rPr>
          <w:lang w:eastAsia="fr-FR"/>
        </w:rPr>
        <w:t> </w:t>
      </w:r>
      <w:r w:rsidRPr="00107D39">
        <w:rPr>
          <w:lang w:eastAsia="fr-FR"/>
        </w:rPr>
        <w:t>100</w:t>
      </w:r>
      <w:r w:rsidR="00CF13A0">
        <w:rPr>
          <w:lang w:eastAsia="fr-FR"/>
        </w:rPr>
        <w:t> </w:t>
      </w:r>
      <w:r w:rsidRPr="00107D39">
        <w:rPr>
          <w:lang w:eastAsia="fr-FR"/>
        </w:rPr>
        <w:t>transports TIR</w:t>
      </w:r>
      <w:r w:rsidR="00CF13A0">
        <w:rPr>
          <w:lang w:eastAsia="fr-FR"/>
        </w:rPr>
        <w:t> </w:t>
      </w:r>
      <w:r w:rsidRPr="00107D39">
        <w:rPr>
          <w:lang w:eastAsia="fr-FR"/>
        </w:rPr>
        <w:t xml:space="preserve">; de plus, des études indiquent que les pays qui mettent en œuvre la Convention </w:t>
      </w:r>
      <w:r w:rsidRPr="00107D39">
        <w:rPr>
          <w:lang w:eastAsia="fr-FR"/>
        </w:rPr>
        <w:lastRenderedPageBreak/>
        <w:t xml:space="preserve">TIR connaissent une augmentation de leur PIB de 0,14 à 1,31 </w:t>
      </w:r>
      <w:r>
        <w:rPr>
          <w:lang w:eastAsia="fr-FR"/>
        </w:rPr>
        <w:t xml:space="preserve">% </w:t>
      </w:r>
      <w:r w:rsidRPr="00107D39">
        <w:rPr>
          <w:lang w:eastAsia="fr-FR"/>
        </w:rPr>
        <w:t>et que ce bénéfice pourrait m</w:t>
      </w:r>
      <w:r>
        <w:rPr>
          <w:lang w:eastAsia="fr-FR"/>
        </w:rPr>
        <w:t>ême être plus élevé encore pour les pays</w:t>
      </w:r>
      <w:r w:rsidRPr="00107D39">
        <w:rPr>
          <w:lang w:eastAsia="fr-FR"/>
        </w:rPr>
        <w:t xml:space="preserve"> en développement sans littoral</w:t>
      </w:r>
      <w:r w:rsidR="00CF13A0">
        <w:rPr>
          <w:lang w:eastAsia="fr-FR"/>
        </w:rPr>
        <w:t> ;</w:t>
      </w:r>
    </w:p>
    <w:p w14:paraId="47DBF100" w14:textId="77777777" w:rsidR="001E6D3C" w:rsidRDefault="001E6D3C" w:rsidP="00616FE4">
      <w:pPr>
        <w:pStyle w:val="Bullet1G"/>
        <w:rPr>
          <w:lang w:eastAsia="fr-FR"/>
        </w:rPr>
      </w:pPr>
      <w:r>
        <w:rPr>
          <w:lang w:eastAsia="fr-FR"/>
        </w:rPr>
        <w:t>Les statistiques des transports des États</w:t>
      </w:r>
      <w:r w:rsidR="00616FE4">
        <w:rPr>
          <w:lang w:eastAsia="fr-FR"/>
        </w:rPr>
        <w:t xml:space="preserve"> </w:t>
      </w:r>
      <w:r>
        <w:rPr>
          <w:lang w:eastAsia="fr-FR"/>
        </w:rPr>
        <w:t xml:space="preserve">membres de la CEE sont de plus en plus comparables grâce au glossaire élaboré par la CEE en collaboration avec le </w:t>
      </w:r>
      <w:r w:rsidRPr="009107B5">
        <w:rPr>
          <w:lang w:eastAsia="fr-FR"/>
        </w:rPr>
        <w:t>Forum international des transports</w:t>
      </w:r>
      <w:r>
        <w:rPr>
          <w:lang w:eastAsia="fr-FR"/>
        </w:rPr>
        <w:t xml:space="preserve"> (FIT) et </w:t>
      </w:r>
      <w:r w:rsidRPr="009107B5">
        <w:rPr>
          <w:lang w:eastAsia="fr-FR"/>
        </w:rPr>
        <w:t>Eurostat</w:t>
      </w:r>
      <w:r w:rsidR="00616FE4">
        <w:rPr>
          <w:lang w:eastAsia="fr-FR"/>
        </w:rPr>
        <w:t> ;</w:t>
      </w:r>
    </w:p>
    <w:p w14:paraId="5BB95BD3" w14:textId="77777777" w:rsidR="001E6D3C" w:rsidRDefault="001E6D3C" w:rsidP="00616FE4">
      <w:pPr>
        <w:pStyle w:val="Bullet1G"/>
        <w:rPr>
          <w:lang w:eastAsia="fr-FR"/>
        </w:rPr>
      </w:pPr>
      <w:r>
        <w:rPr>
          <w:lang w:eastAsia="fr-FR"/>
        </w:rPr>
        <w:t xml:space="preserve">Entre 1998 et 2016, </w:t>
      </w:r>
      <w:r w:rsidRPr="009107B5">
        <w:rPr>
          <w:lang w:eastAsia="fr-FR"/>
        </w:rPr>
        <w:t>la longueur totale du réseau de voies navigables E est passée de 27</w:t>
      </w:r>
      <w:r w:rsidR="00616FE4">
        <w:rPr>
          <w:lang w:eastAsia="fr-FR"/>
        </w:rPr>
        <w:t> </w:t>
      </w:r>
      <w:r w:rsidRPr="009107B5">
        <w:rPr>
          <w:lang w:eastAsia="fr-FR"/>
        </w:rPr>
        <w:t>711</w:t>
      </w:r>
      <w:r w:rsidR="00616FE4">
        <w:rPr>
          <w:lang w:eastAsia="fr-FR"/>
        </w:rPr>
        <w:t> </w:t>
      </w:r>
      <w:r w:rsidRPr="009107B5">
        <w:rPr>
          <w:lang w:eastAsia="fr-FR"/>
        </w:rPr>
        <w:t>km à 29</w:t>
      </w:r>
      <w:r w:rsidR="00616FE4">
        <w:rPr>
          <w:lang w:eastAsia="fr-FR"/>
        </w:rPr>
        <w:t> </w:t>
      </w:r>
      <w:r w:rsidRPr="009107B5">
        <w:rPr>
          <w:lang w:eastAsia="fr-FR"/>
        </w:rPr>
        <w:t>238</w:t>
      </w:r>
      <w:r w:rsidR="00616FE4">
        <w:rPr>
          <w:lang w:eastAsia="fr-FR"/>
        </w:rPr>
        <w:t> </w:t>
      </w:r>
      <w:r w:rsidRPr="009107B5">
        <w:rPr>
          <w:lang w:eastAsia="fr-FR"/>
        </w:rPr>
        <w:t xml:space="preserve">km et la proportion de voies navigables E remplissant les conditions </w:t>
      </w:r>
      <w:r>
        <w:rPr>
          <w:lang w:eastAsia="fr-FR"/>
        </w:rPr>
        <w:t xml:space="preserve">prévues dans </w:t>
      </w:r>
      <w:r w:rsidRPr="009107B5">
        <w:rPr>
          <w:lang w:eastAsia="fr-FR"/>
        </w:rPr>
        <w:t>l</w:t>
      </w:r>
      <w:r w:rsidR="00616FE4">
        <w:rPr>
          <w:lang w:eastAsia="fr-FR"/>
        </w:rPr>
        <w:t>’</w:t>
      </w:r>
      <w:r w:rsidRPr="009107B5">
        <w:rPr>
          <w:lang w:eastAsia="fr-FR"/>
        </w:rPr>
        <w:t>AGN est passée de 79 % à 83 %</w:t>
      </w:r>
      <w:r w:rsidR="00616FE4">
        <w:rPr>
          <w:lang w:eastAsia="fr-FR"/>
        </w:rPr>
        <w:t> ;</w:t>
      </w:r>
    </w:p>
    <w:p w14:paraId="71048AC9" w14:textId="77777777" w:rsidR="001E6D3C" w:rsidRDefault="001E6D3C" w:rsidP="00616FE4">
      <w:pPr>
        <w:pStyle w:val="Bullet1G"/>
        <w:rPr>
          <w:lang w:eastAsia="fr-FR"/>
        </w:rPr>
      </w:pPr>
      <w:r>
        <w:rPr>
          <w:lang w:eastAsia="fr-FR"/>
        </w:rPr>
        <w:t>L</w:t>
      </w:r>
      <w:r w:rsidR="00616FE4">
        <w:rPr>
          <w:lang w:eastAsia="fr-FR"/>
        </w:rPr>
        <w:t>’</w:t>
      </w:r>
      <w:r w:rsidRPr="009107B5">
        <w:rPr>
          <w:lang w:eastAsia="fr-FR"/>
        </w:rPr>
        <w:t>Accord relatif aux transports internationaux de denrées périssables et aux engins spéciaux à utiliser pour ces transports</w:t>
      </w:r>
      <w:r>
        <w:rPr>
          <w:lang w:eastAsia="fr-FR"/>
        </w:rPr>
        <w:t xml:space="preserve"> </w:t>
      </w:r>
      <w:r w:rsidRPr="009107B5">
        <w:rPr>
          <w:lang w:eastAsia="fr-FR"/>
        </w:rPr>
        <w:t>(ATP) garanti</w:t>
      </w:r>
      <w:r>
        <w:rPr>
          <w:lang w:eastAsia="fr-FR"/>
        </w:rPr>
        <w:t>t</w:t>
      </w:r>
      <w:r w:rsidRPr="009107B5">
        <w:rPr>
          <w:lang w:eastAsia="fr-FR"/>
        </w:rPr>
        <w:t xml:space="preserve"> que les denrées alimentaires réfrigérées et surgelées sont transportées d</w:t>
      </w:r>
      <w:r w:rsidR="00616FE4">
        <w:rPr>
          <w:lang w:eastAsia="fr-FR"/>
        </w:rPr>
        <w:t>’</w:t>
      </w:r>
      <w:r w:rsidRPr="009107B5">
        <w:rPr>
          <w:lang w:eastAsia="fr-FR"/>
        </w:rPr>
        <w:t xml:space="preserve">une manière sûre </w:t>
      </w:r>
      <w:r>
        <w:rPr>
          <w:lang w:eastAsia="fr-FR"/>
        </w:rPr>
        <w:t>leur permettant d</w:t>
      </w:r>
      <w:r w:rsidR="00616FE4">
        <w:rPr>
          <w:lang w:eastAsia="fr-FR"/>
        </w:rPr>
        <w:t>’</w:t>
      </w:r>
      <w:r>
        <w:rPr>
          <w:lang w:eastAsia="fr-FR"/>
        </w:rPr>
        <w:t xml:space="preserve">arriver </w:t>
      </w:r>
      <w:r w:rsidRPr="009107B5">
        <w:rPr>
          <w:lang w:eastAsia="fr-FR"/>
        </w:rPr>
        <w:t xml:space="preserve">dans de bonnes conditions </w:t>
      </w:r>
      <w:r>
        <w:rPr>
          <w:lang w:eastAsia="fr-FR"/>
        </w:rPr>
        <w:t>et propres à la consommation humaine</w:t>
      </w:r>
      <w:r w:rsidR="00616FE4">
        <w:rPr>
          <w:lang w:eastAsia="fr-FR"/>
        </w:rPr>
        <w:t>.</w:t>
      </w:r>
    </w:p>
    <w:p w14:paraId="564D38C1" w14:textId="77777777" w:rsidR="001E6D3C" w:rsidRDefault="001E6D3C" w:rsidP="00CA3891">
      <w:pPr>
        <w:pStyle w:val="SingleTxtG"/>
        <w:rPr>
          <w:lang w:eastAsia="fr-FR"/>
        </w:rPr>
      </w:pPr>
      <w:r w:rsidRPr="005A2025">
        <w:rPr>
          <w:lang w:eastAsia="fr-FR"/>
        </w:rPr>
        <w:t>7.</w:t>
      </w:r>
      <w:r w:rsidRPr="005A2025">
        <w:rPr>
          <w:lang w:eastAsia="fr-FR"/>
        </w:rPr>
        <w:tab/>
        <w:t>Un exemple édifiant de</w:t>
      </w:r>
      <w:r>
        <w:rPr>
          <w:lang w:eastAsia="fr-FR"/>
        </w:rPr>
        <w:t xml:space="preserve">s effets </w:t>
      </w:r>
      <w:r w:rsidRPr="005A2025">
        <w:rPr>
          <w:lang w:eastAsia="fr-FR"/>
        </w:rPr>
        <w:t>profond</w:t>
      </w:r>
      <w:r>
        <w:rPr>
          <w:lang w:eastAsia="fr-FR"/>
        </w:rPr>
        <w:t>s</w:t>
      </w:r>
      <w:r w:rsidRPr="005A2025">
        <w:rPr>
          <w:lang w:eastAsia="fr-FR"/>
        </w:rPr>
        <w:t xml:space="preserve"> de la Division</w:t>
      </w:r>
      <w:r>
        <w:rPr>
          <w:lang w:eastAsia="fr-FR"/>
        </w:rPr>
        <w:t xml:space="preserve"> sur la vie quotidienne est celui du transport des marchandises dangereuses et de l</w:t>
      </w:r>
      <w:r w:rsidR="00616FE4">
        <w:rPr>
          <w:lang w:eastAsia="fr-FR"/>
        </w:rPr>
        <w:t>’</w:t>
      </w:r>
      <w:r>
        <w:rPr>
          <w:lang w:eastAsia="fr-FR"/>
        </w:rPr>
        <w:t>harmonisation</w:t>
      </w:r>
      <w:r w:rsidRPr="005A2025">
        <w:t xml:space="preserve"> </w:t>
      </w:r>
      <w:r w:rsidRPr="005A2025">
        <w:rPr>
          <w:lang w:eastAsia="fr-FR"/>
        </w:rPr>
        <w:t>de la classification et de l</w:t>
      </w:r>
      <w:r w:rsidR="00616FE4">
        <w:rPr>
          <w:lang w:eastAsia="fr-FR"/>
        </w:rPr>
        <w:t>’</w:t>
      </w:r>
      <w:r w:rsidRPr="005A2025">
        <w:rPr>
          <w:lang w:eastAsia="fr-FR"/>
        </w:rPr>
        <w:t>étiquetage des produits chimiques</w:t>
      </w:r>
      <w:r>
        <w:rPr>
          <w:lang w:eastAsia="fr-FR"/>
        </w:rPr>
        <w:t>. L</w:t>
      </w:r>
      <w:r w:rsidR="00616FE4">
        <w:rPr>
          <w:lang w:eastAsia="fr-FR"/>
        </w:rPr>
        <w:t>’</w:t>
      </w:r>
      <w:r>
        <w:rPr>
          <w:lang w:eastAsia="fr-FR"/>
        </w:rPr>
        <w:t>impact de ce travail est crucial et mondial. C</w:t>
      </w:r>
      <w:r w:rsidR="00616FE4">
        <w:rPr>
          <w:lang w:eastAsia="fr-FR"/>
        </w:rPr>
        <w:t>’</w:t>
      </w:r>
      <w:r>
        <w:rPr>
          <w:lang w:eastAsia="fr-FR"/>
        </w:rPr>
        <w:t>est ainsi que :</w:t>
      </w:r>
    </w:p>
    <w:p w14:paraId="6B872824" w14:textId="77777777" w:rsidR="001E6D3C" w:rsidRDefault="001E6D3C" w:rsidP="00616FE4">
      <w:pPr>
        <w:pStyle w:val="Bullet1G"/>
        <w:rPr>
          <w:lang w:eastAsia="fr-FR"/>
        </w:rPr>
      </w:pPr>
      <w:r>
        <w:rPr>
          <w:lang w:eastAsia="fr-FR"/>
        </w:rPr>
        <w:t>Rien que dans les États</w:t>
      </w:r>
      <w:r w:rsidR="00616FE4">
        <w:rPr>
          <w:lang w:eastAsia="fr-FR"/>
        </w:rPr>
        <w:t xml:space="preserve"> </w:t>
      </w:r>
      <w:r>
        <w:rPr>
          <w:lang w:eastAsia="fr-FR"/>
        </w:rPr>
        <w:t>membres de l</w:t>
      </w:r>
      <w:r w:rsidR="00616FE4">
        <w:rPr>
          <w:lang w:eastAsia="fr-FR"/>
        </w:rPr>
        <w:t>’</w:t>
      </w:r>
      <w:r>
        <w:rPr>
          <w:lang w:eastAsia="fr-FR"/>
        </w:rPr>
        <w:t xml:space="preserve">Union européenne, plus de 82 milliards de </w:t>
      </w:r>
      <w:r w:rsidRPr="00DD4278">
        <w:rPr>
          <w:lang w:eastAsia="fr-FR"/>
        </w:rPr>
        <w:t xml:space="preserve">tonnes-kilomètres </w:t>
      </w:r>
      <w:r>
        <w:rPr>
          <w:lang w:eastAsia="fr-FR"/>
        </w:rPr>
        <w:t xml:space="preserve">de marchandises dangereuses ont été transportées en 2017 en vertu des dispositions de </w:t>
      </w:r>
      <w:r w:rsidRPr="00D03C12">
        <w:rPr>
          <w:lang w:eastAsia="fr-FR"/>
        </w:rPr>
        <w:t>l</w:t>
      </w:r>
      <w:r w:rsidR="00616FE4">
        <w:rPr>
          <w:lang w:eastAsia="fr-FR"/>
        </w:rPr>
        <w:t>’</w:t>
      </w:r>
      <w:r w:rsidRPr="00D03C12">
        <w:rPr>
          <w:lang w:eastAsia="fr-FR"/>
        </w:rPr>
        <w:t>Accord européen relatif au transport international des marchandises dangereuses par route (ADR)</w:t>
      </w:r>
      <w:r w:rsidR="00616FE4">
        <w:rPr>
          <w:lang w:eastAsia="fr-FR"/>
        </w:rPr>
        <w:t> ;</w:t>
      </w:r>
    </w:p>
    <w:p w14:paraId="3B1BD9BA" w14:textId="77777777" w:rsidR="001E6D3C" w:rsidRPr="00B97950" w:rsidRDefault="001E6D3C" w:rsidP="00616FE4">
      <w:pPr>
        <w:pStyle w:val="Bullet1G"/>
        <w:rPr>
          <w:lang w:eastAsia="fr-FR"/>
        </w:rPr>
      </w:pPr>
      <w:r>
        <w:rPr>
          <w:lang w:eastAsia="fr-FR"/>
        </w:rPr>
        <w:t>Aux États-Unis d</w:t>
      </w:r>
      <w:r w:rsidR="00616FE4">
        <w:rPr>
          <w:lang w:eastAsia="fr-FR"/>
        </w:rPr>
        <w:t>’</w:t>
      </w:r>
      <w:r>
        <w:rPr>
          <w:lang w:eastAsia="fr-FR"/>
        </w:rPr>
        <w:t xml:space="preserve">Amérique, plus de 435 millions de transports de marchandises dangereuses ont été effectués en 2018 et </w:t>
      </w:r>
      <w:r w:rsidRPr="00D03C12">
        <w:rPr>
          <w:lang w:eastAsia="fr-FR"/>
        </w:rPr>
        <w:t>99</w:t>
      </w:r>
      <w:r>
        <w:rPr>
          <w:lang w:eastAsia="fr-FR"/>
        </w:rPr>
        <w:t>,</w:t>
      </w:r>
      <w:r w:rsidRPr="00D03C12">
        <w:rPr>
          <w:lang w:eastAsia="fr-FR"/>
        </w:rPr>
        <w:t xml:space="preserve">997 </w:t>
      </w:r>
      <w:r>
        <w:rPr>
          <w:lang w:eastAsia="fr-FR"/>
        </w:rPr>
        <w:t>% se sont déroulés sans incident</w:t>
      </w:r>
      <w:r w:rsidRPr="00D03C12">
        <w:rPr>
          <w:lang w:eastAsia="fr-FR"/>
        </w:rPr>
        <w:t xml:space="preserve">. </w:t>
      </w:r>
      <w:r>
        <w:rPr>
          <w:lang w:eastAsia="fr-FR"/>
        </w:rPr>
        <w:t xml:space="preserve">La réglementation des États-Unis en matière de transport de marchandises dangereuses est basée sur le Règlement type </w:t>
      </w:r>
      <w:r w:rsidRPr="00B97950">
        <w:rPr>
          <w:lang w:eastAsia="fr-FR"/>
        </w:rPr>
        <w:t>élaboré par le Sous-Comité d</w:t>
      </w:r>
      <w:r w:rsidR="00616FE4">
        <w:rPr>
          <w:lang w:eastAsia="fr-FR"/>
        </w:rPr>
        <w:t>’</w:t>
      </w:r>
      <w:r w:rsidRPr="00B97950">
        <w:rPr>
          <w:lang w:eastAsia="fr-FR"/>
        </w:rPr>
        <w:t>experts du transport des marchandises dangereuses de l</w:t>
      </w:r>
      <w:r w:rsidR="00616FE4">
        <w:rPr>
          <w:lang w:eastAsia="fr-FR"/>
        </w:rPr>
        <w:t>’</w:t>
      </w:r>
      <w:r w:rsidRPr="00B97950">
        <w:rPr>
          <w:lang w:eastAsia="fr-FR"/>
        </w:rPr>
        <w:t>ECOSOC.</w:t>
      </w:r>
    </w:p>
    <w:p w14:paraId="367C76BC" w14:textId="77777777" w:rsidR="001E6D3C" w:rsidRPr="00735303" w:rsidRDefault="001E6D3C" w:rsidP="00CA3891">
      <w:pPr>
        <w:pStyle w:val="SingleTxtG"/>
        <w:rPr>
          <w:lang w:eastAsia="fr-FR"/>
        </w:rPr>
      </w:pPr>
      <w:r w:rsidRPr="00B97950">
        <w:rPr>
          <w:lang w:eastAsia="fr-FR"/>
        </w:rPr>
        <w:t>8.</w:t>
      </w:r>
      <w:r w:rsidRPr="00B97950">
        <w:rPr>
          <w:lang w:eastAsia="fr-FR"/>
        </w:rPr>
        <w:tab/>
        <w:t>Ce</w:t>
      </w:r>
      <w:r>
        <w:rPr>
          <w:lang w:eastAsia="fr-FR"/>
        </w:rPr>
        <w:t xml:space="preserve">s </w:t>
      </w:r>
      <w:r w:rsidRPr="00B97950">
        <w:rPr>
          <w:lang w:eastAsia="fr-FR"/>
        </w:rPr>
        <w:t>réglementation</w:t>
      </w:r>
      <w:r>
        <w:rPr>
          <w:lang w:eastAsia="fr-FR"/>
        </w:rPr>
        <w:t>s</w:t>
      </w:r>
      <w:r w:rsidRPr="00B97950">
        <w:rPr>
          <w:lang w:eastAsia="fr-FR"/>
        </w:rPr>
        <w:t xml:space="preserve"> s</w:t>
      </w:r>
      <w:r w:rsidR="00616FE4">
        <w:rPr>
          <w:lang w:eastAsia="fr-FR"/>
        </w:rPr>
        <w:t>’</w:t>
      </w:r>
      <w:r w:rsidRPr="00B97950">
        <w:rPr>
          <w:lang w:eastAsia="fr-FR"/>
        </w:rPr>
        <w:t>applique</w:t>
      </w:r>
      <w:r>
        <w:rPr>
          <w:lang w:eastAsia="fr-FR"/>
        </w:rPr>
        <w:t>nt</w:t>
      </w:r>
      <w:r w:rsidRPr="00B97950">
        <w:rPr>
          <w:lang w:eastAsia="fr-FR"/>
        </w:rPr>
        <w:t xml:space="preserve"> à un pourcentage significatif</w:t>
      </w:r>
      <w:r>
        <w:rPr>
          <w:lang w:eastAsia="fr-FR"/>
        </w:rPr>
        <w:t xml:space="preserve"> des produits transportés, notamment les batteries, peintures, solvants et</w:t>
      </w:r>
      <w:r w:rsidRPr="006B7FF1">
        <w:rPr>
          <w:lang w:eastAsia="fr-FR"/>
        </w:rPr>
        <w:t xml:space="preserve"> diluants</w:t>
      </w:r>
      <w:r>
        <w:rPr>
          <w:lang w:eastAsia="fr-FR"/>
        </w:rPr>
        <w:t>, aérosols, parfums, certains dé</w:t>
      </w:r>
      <w:r w:rsidRPr="006B7FF1">
        <w:rPr>
          <w:lang w:eastAsia="fr-FR"/>
        </w:rPr>
        <w:t xml:space="preserve">odorants, les colles et de nombreux autres produits </w:t>
      </w:r>
      <w:r>
        <w:rPr>
          <w:lang w:eastAsia="fr-FR"/>
        </w:rPr>
        <w:t>utilisés quotidiennement par la population. Environ 80 % de toutes les marchandises dangereuses sont des liquides inflammables tels que de l</w:t>
      </w:r>
      <w:r w:rsidR="00616FE4">
        <w:rPr>
          <w:lang w:eastAsia="fr-FR"/>
        </w:rPr>
        <w:t>’</w:t>
      </w:r>
      <w:r>
        <w:rPr>
          <w:lang w:eastAsia="fr-FR"/>
        </w:rPr>
        <w:t xml:space="preserve">essence, des </w:t>
      </w:r>
      <w:r w:rsidRPr="006B7FF1">
        <w:rPr>
          <w:lang w:eastAsia="fr-FR"/>
        </w:rPr>
        <w:t>combustible</w:t>
      </w:r>
      <w:r>
        <w:rPr>
          <w:lang w:eastAsia="fr-FR"/>
        </w:rPr>
        <w:t>s</w:t>
      </w:r>
      <w:r w:rsidRPr="006B7FF1">
        <w:rPr>
          <w:lang w:eastAsia="fr-FR"/>
        </w:rPr>
        <w:t xml:space="preserve"> pétrolier</w:t>
      </w:r>
      <w:r>
        <w:rPr>
          <w:lang w:eastAsia="fr-FR"/>
        </w:rPr>
        <w:t xml:space="preserve">s, des adhésifs ou des alcools. </w:t>
      </w:r>
      <w:r w:rsidRPr="005D50D2">
        <w:rPr>
          <w:lang w:eastAsia="fr-FR"/>
        </w:rPr>
        <w:t>16</w:t>
      </w:r>
      <w:r w:rsidR="000862BA">
        <w:rPr>
          <w:lang w:eastAsia="fr-FR"/>
        </w:rPr>
        <w:t> </w:t>
      </w:r>
      <w:r w:rsidRPr="005D50D2">
        <w:rPr>
          <w:lang w:eastAsia="fr-FR"/>
        </w:rPr>
        <w:t>milliards d</w:t>
      </w:r>
      <w:r w:rsidR="00616FE4">
        <w:rPr>
          <w:lang w:eastAsia="fr-FR"/>
        </w:rPr>
        <w:t>’</w:t>
      </w:r>
      <w:r w:rsidRPr="005D50D2">
        <w:rPr>
          <w:lang w:eastAsia="fr-FR"/>
        </w:rPr>
        <w:t>unités d</w:t>
      </w:r>
      <w:r w:rsidR="00616FE4">
        <w:rPr>
          <w:lang w:eastAsia="fr-FR"/>
        </w:rPr>
        <w:t>’</w:t>
      </w:r>
      <w:r w:rsidRPr="005D50D2">
        <w:rPr>
          <w:lang w:eastAsia="fr-FR"/>
        </w:rPr>
        <w:t>aérosols sont produites dans le monde (dont 5,5 milliards en Europe).</w:t>
      </w:r>
      <w:r>
        <w:rPr>
          <w:lang w:eastAsia="fr-FR"/>
        </w:rPr>
        <w:t xml:space="preserve"> En raison de leur omniprésence, les marchandises dangereuses représentent quelque 10 % de tous les transports en conteneurs effectués sur le plan mondial et concernent tous les modes de transport. </w:t>
      </w:r>
    </w:p>
    <w:p w14:paraId="5FE3CCAF" w14:textId="77777777" w:rsidR="001E6D3C" w:rsidRPr="00BF0622" w:rsidRDefault="001E6D3C" w:rsidP="00CA3891">
      <w:pPr>
        <w:pStyle w:val="SingleTxtG"/>
        <w:rPr>
          <w:lang w:eastAsia="fr-FR"/>
        </w:rPr>
      </w:pPr>
      <w:r w:rsidRPr="005D50D2">
        <w:rPr>
          <w:lang w:eastAsia="fr-FR"/>
        </w:rPr>
        <w:t>9.</w:t>
      </w:r>
      <w:r w:rsidRPr="005D50D2">
        <w:rPr>
          <w:lang w:eastAsia="fr-FR"/>
        </w:rPr>
        <w:tab/>
        <w:t>En phase avec la tendance générale à la numérisation,</w:t>
      </w:r>
      <w:r>
        <w:rPr>
          <w:lang w:eastAsia="fr-FR"/>
        </w:rPr>
        <w:t xml:space="preserve"> l</w:t>
      </w:r>
      <w:r w:rsidR="00616FE4">
        <w:rPr>
          <w:lang w:eastAsia="fr-FR"/>
        </w:rPr>
        <w:t>’</w:t>
      </w:r>
      <w:r>
        <w:rPr>
          <w:lang w:eastAsia="fr-FR"/>
        </w:rPr>
        <w:t xml:space="preserve">utilisation de batteries augmente considérablement car de nombreux produits traditionnellement branchés sur le secteur deviennent de plus en plus sans fil. Les batteries sont emballées et transportées dans le monde entier par tous les modes de transport conformément au </w:t>
      </w:r>
      <w:r w:rsidRPr="005D50D2">
        <w:rPr>
          <w:lang w:eastAsia="fr-FR"/>
        </w:rPr>
        <w:t xml:space="preserve">Règlement </w:t>
      </w:r>
      <w:r>
        <w:rPr>
          <w:lang w:eastAsia="fr-FR"/>
        </w:rPr>
        <w:t>de l</w:t>
      </w:r>
      <w:r w:rsidR="00616FE4">
        <w:rPr>
          <w:lang w:eastAsia="fr-FR"/>
        </w:rPr>
        <w:t>’</w:t>
      </w:r>
      <w:r>
        <w:rPr>
          <w:lang w:eastAsia="fr-FR"/>
        </w:rPr>
        <w:t xml:space="preserve">ONU en matière de </w:t>
      </w:r>
      <w:r w:rsidRPr="005D50D2">
        <w:rPr>
          <w:lang w:eastAsia="fr-FR"/>
        </w:rPr>
        <w:t>transport des marchandises dangereuses</w:t>
      </w:r>
      <w:r>
        <w:rPr>
          <w:lang w:eastAsia="fr-FR"/>
        </w:rPr>
        <w:t>. Les quelques exemples suivant donne la mesure de la croissance de ce secteur :</w:t>
      </w:r>
    </w:p>
    <w:p w14:paraId="41302CDE" w14:textId="77777777" w:rsidR="001E6D3C" w:rsidRPr="005766D9" w:rsidRDefault="001E6D3C" w:rsidP="000862BA">
      <w:pPr>
        <w:pStyle w:val="Bullet1G"/>
        <w:rPr>
          <w:rFonts w:asciiTheme="majorBidi" w:hAnsiTheme="majorBidi" w:cstheme="majorBidi"/>
          <w:lang w:eastAsia="fr-FR"/>
        </w:rPr>
      </w:pPr>
      <w:r w:rsidRPr="005766D9">
        <w:rPr>
          <w:lang w:eastAsia="fr-FR"/>
        </w:rPr>
        <w:t>Le marché mondial des batteries au lithium utilisées dans les véhicules</w:t>
      </w:r>
      <w:r w:rsidRPr="00FE25DE">
        <w:t xml:space="preserve"> </w:t>
      </w:r>
      <w:r w:rsidRPr="005766D9">
        <w:rPr>
          <w:lang w:eastAsia="fr-FR"/>
        </w:rPr>
        <w:t>utilitaires légers, moyens et lourds devrait passer de 7,8 milliards de dollars des États-Unis en 2015 à 30,6 milliard</w:t>
      </w:r>
      <w:r w:rsidR="00695D0F">
        <w:rPr>
          <w:lang w:eastAsia="fr-FR"/>
        </w:rPr>
        <w:t>s</w:t>
      </w:r>
      <w:r w:rsidRPr="005766D9">
        <w:rPr>
          <w:lang w:eastAsia="fr-FR"/>
        </w:rPr>
        <w:t xml:space="preserve"> en 2024. Entre 10 millions et plusieurs milliards de téléphones portables, de tablettes et d</w:t>
      </w:r>
      <w:r w:rsidR="00616FE4">
        <w:rPr>
          <w:lang w:eastAsia="fr-FR"/>
        </w:rPr>
        <w:t>’</w:t>
      </w:r>
      <w:r w:rsidRPr="005766D9">
        <w:rPr>
          <w:lang w:eastAsia="fr-FR"/>
        </w:rPr>
        <w:t>ordinateurs portables utilisant des piles au lithium sont vendus chaque année</w:t>
      </w:r>
      <w:r w:rsidR="00695D0F">
        <w:rPr>
          <w:lang w:eastAsia="fr-FR"/>
        </w:rPr>
        <w:t> ;</w:t>
      </w:r>
    </w:p>
    <w:p w14:paraId="70360B93" w14:textId="77777777" w:rsidR="001E6D3C" w:rsidRPr="003355FA" w:rsidRDefault="001E6D3C" w:rsidP="00695D0F">
      <w:pPr>
        <w:pStyle w:val="Bullet1G"/>
        <w:rPr>
          <w:rFonts w:asciiTheme="majorBidi" w:hAnsiTheme="majorBidi" w:cstheme="majorBidi"/>
          <w:lang w:eastAsia="fr-FR"/>
        </w:rPr>
      </w:pPr>
      <w:r w:rsidRPr="003355FA">
        <w:rPr>
          <w:lang w:eastAsia="fr-FR"/>
        </w:rPr>
        <w:t>Selon une étude, l</w:t>
      </w:r>
      <w:r w:rsidR="00616FE4">
        <w:rPr>
          <w:lang w:eastAsia="fr-FR"/>
        </w:rPr>
        <w:t>’</w:t>
      </w:r>
      <w:r w:rsidRPr="003355FA">
        <w:rPr>
          <w:lang w:eastAsia="fr-FR"/>
        </w:rPr>
        <w:t>augmentation estimée du poids des batteries exportées des pays asiatiques (o</w:t>
      </w:r>
      <w:r>
        <w:rPr>
          <w:lang w:eastAsia="fr-FR"/>
        </w:rPr>
        <w:t>ù</w:t>
      </w:r>
      <w:r w:rsidRPr="003355FA">
        <w:rPr>
          <w:lang w:eastAsia="fr-FR"/>
        </w:rPr>
        <w:t xml:space="preserve"> sont produites la plupart des batteries et piles au lithium) est passée de moins de 100</w:t>
      </w:r>
      <w:r w:rsidR="00695D0F">
        <w:rPr>
          <w:lang w:eastAsia="fr-FR"/>
        </w:rPr>
        <w:t> </w:t>
      </w:r>
      <w:r w:rsidRPr="003355FA">
        <w:rPr>
          <w:lang w:eastAsia="fr-FR"/>
        </w:rPr>
        <w:t>000</w:t>
      </w:r>
      <w:r w:rsidR="00695D0F">
        <w:rPr>
          <w:lang w:eastAsia="fr-FR"/>
        </w:rPr>
        <w:t> </w:t>
      </w:r>
      <w:r w:rsidRPr="003355FA">
        <w:rPr>
          <w:lang w:eastAsia="fr-FR"/>
        </w:rPr>
        <w:t>tonnes en l</w:t>
      </w:r>
      <w:r w:rsidR="00616FE4">
        <w:rPr>
          <w:lang w:eastAsia="fr-FR"/>
        </w:rPr>
        <w:t>’</w:t>
      </w:r>
      <w:r w:rsidRPr="003355FA">
        <w:rPr>
          <w:lang w:eastAsia="fr-FR"/>
        </w:rPr>
        <w:t>an 2000 à plus de 1 500</w:t>
      </w:r>
      <w:r w:rsidR="00695D0F">
        <w:rPr>
          <w:lang w:eastAsia="fr-FR"/>
        </w:rPr>
        <w:t> </w:t>
      </w:r>
      <w:r w:rsidRPr="003355FA">
        <w:rPr>
          <w:lang w:eastAsia="fr-FR"/>
        </w:rPr>
        <w:t>000</w:t>
      </w:r>
      <w:r w:rsidR="00695D0F">
        <w:rPr>
          <w:lang w:eastAsia="fr-FR"/>
        </w:rPr>
        <w:t> </w:t>
      </w:r>
      <w:r w:rsidRPr="003355FA">
        <w:rPr>
          <w:lang w:eastAsia="fr-FR"/>
        </w:rPr>
        <w:t>tonnes en 2018. La quantité totale cumulée transportée depuis l</w:t>
      </w:r>
      <w:r w:rsidR="00616FE4">
        <w:rPr>
          <w:lang w:eastAsia="fr-FR"/>
        </w:rPr>
        <w:t>’</w:t>
      </w:r>
      <w:r w:rsidRPr="003355FA">
        <w:rPr>
          <w:lang w:eastAsia="fr-FR"/>
        </w:rPr>
        <w:t xml:space="preserve">an 2000 </w:t>
      </w:r>
      <w:r w:rsidRPr="001931EC">
        <w:rPr>
          <w:lang w:eastAsia="fr-FR"/>
        </w:rPr>
        <w:t>dépasse 2</w:t>
      </w:r>
      <w:r w:rsidR="00695D0F">
        <w:rPr>
          <w:lang w:eastAsia="fr-FR"/>
        </w:rPr>
        <w:t> </w:t>
      </w:r>
      <w:r w:rsidRPr="001931EC">
        <w:rPr>
          <w:lang w:eastAsia="fr-FR"/>
        </w:rPr>
        <w:t>300</w:t>
      </w:r>
      <w:r w:rsidR="00695D0F">
        <w:rPr>
          <w:lang w:eastAsia="fr-FR"/>
        </w:rPr>
        <w:t> </w:t>
      </w:r>
      <w:r w:rsidRPr="001931EC">
        <w:rPr>
          <w:lang w:eastAsia="fr-FR"/>
        </w:rPr>
        <w:t>milliards de tonnes.</w:t>
      </w:r>
      <w:r w:rsidRPr="003355FA">
        <w:rPr>
          <w:lang w:eastAsia="fr-FR"/>
        </w:rPr>
        <w:t xml:space="preserve"> Exprimée en mégawatthe</w:t>
      </w:r>
      <w:r>
        <w:rPr>
          <w:lang w:eastAsia="fr-FR"/>
        </w:rPr>
        <w:t>ures</w:t>
      </w:r>
      <w:r w:rsidRPr="003355FA">
        <w:rPr>
          <w:lang w:eastAsia="fr-FR"/>
        </w:rPr>
        <w:t>, cette croissance est encore plus remarquable. En l</w:t>
      </w:r>
      <w:r w:rsidR="00616FE4">
        <w:rPr>
          <w:lang w:eastAsia="fr-FR"/>
        </w:rPr>
        <w:t>’</w:t>
      </w:r>
      <w:r w:rsidRPr="003355FA">
        <w:rPr>
          <w:lang w:eastAsia="fr-FR"/>
        </w:rPr>
        <w:t xml:space="preserve">an 2000, pratiquement 0 MWh de batteries était produit par an, mais </w:t>
      </w:r>
      <w:r>
        <w:rPr>
          <w:lang w:eastAsia="fr-FR"/>
        </w:rPr>
        <w:t xml:space="preserve">la croissance a été </w:t>
      </w:r>
      <w:r w:rsidRPr="003355FA">
        <w:rPr>
          <w:lang w:eastAsia="fr-FR"/>
        </w:rPr>
        <w:t xml:space="preserve">exponentielle au cours des </w:t>
      </w:r>
      <w:r w:rsidR="00695D0F">
        <w:rPr>
          <w:lang w:eastAsia="fr-FR"/>
        </w:rPr>
        <w:t>vingt</w:t>
      </w:r>
      <w:r w:rsidRPr="003355FA">
        <w:rPr>
          <w:lang w:eastAsia="fr-FR"/>
        </w:rPr>
        <w:t xml:space="preserve"> an</w:t>
      </w:r>
      <w:r>
        <w:rPr>
          <w:lang w:eastAsia="fr-FR"/>
        </w:rPr>
        <w:t>née</w:t>
      </w:r>
      <w:r w:rsidRPr="003355FA">
        <w:rPr>
          <w:lang w:eastAsia="fr-FR"/>
        </w:rPr>
        <w:t>s suiv</w:t>
      </w:r>
      <w:r>
        <w:rPr>
          <w:lang w:eastAsia="fr-FR"/>
        </w:rPr>
        <w:t>antes</w:t>
      </w:r>
      <w:r w:rsidRPr="003355FA">
        <w:rPr>
          <w:lang w:eastAsia="fr-FR"/>
        </w:rPr>
        <w:t>. En 2015 ce chiffre s</w:t>
      </w:r>
      <w:r w:rsidR="00616FE4">
        <w:rPr>
          <w:lang w:eastAsia="fr-FR"/>
        </w:rPr>
        <w:t>’</w:t>
      </w:r>
      <w:r w:rsidRPr="003355FA">
        <w:rPr>
          <w:lang w:eastAsia="fr-FR"/>
        </w:rPr>
        <w:t>est élevé à 90</w:t>
      </w:r>
      <w:r w:rsidR="00695D0F">
        <w:rPr>
          <w:lang w:eastAsia="fr-FR"/>
        </w:rPr>
        <w:t> </w:t>
      </w:r>
      <w:r w:rsidRPr="003355FA">
        <w:rPr>
          <w:lang w:eastAsia="fr-FR"/>
        </w:rPr>
        <w:t>000</w:t>
      </w:r>
      <w:r w:rsidR="00695D0F">
        <w:rPr>
          <w:lang w:eastAsia="fr-FR"/>
        </w:rPr>
        <w:t> </w:t>
      </w:r>
      <w:r w:rsidRPr="003355FA">
        <w:rPr>
          <w:lang w:eastAsia="fr-FR"/>
        </w:rPr>
        <w:t>MWh et il devrait atteindre 250</w:t>
      </w:r>
      <w:r w:rsidR="00695D0F">
        <w:rPr>
          <w:lang w:eastAsia="fr-FR"/>
        </w:rPr>
        <w:t> </w:t>
      </w:r>
      <w:r w:rsidRPr="003355FA">
        <w:rPr>
          <w:lang w:eastAsia="fr-FR"/>
        </w:rPr>
        <w:t>000</w:t>
      </w:r>
      <w:r w:rsidR="00695D0F">
        <w:rPr>
          <w:lang w:eastAsia="fr-FR"/>
        </w:rPr>
        <w:t> </w:t>
      </w:r>
      <w:r w:rsidRPr="003355FA">
        <w:rPr>
          <w:lang w:eastAsia="fr-FR"/>
        </w:rPr>
        <w:t xml:space="preserve">MWh </w:t>
      </w:r>
      <w:r>
        <w:rPr>
          <w:lang w:eastAsia="fr-FR"/>
        </w:rPr>
        <w:t xml:space="preserve">en </w:t>
      </w:r>
      <w:r w:rsidRPr="003355FA">
        <w:rPr>
          <w:lang w:eastAsia="fr-FR"/>
        </w:rPr>
        <w:t xml:space="preserve">2020 </w:t>
      </w:r>
      <w:r>
        <w:rPr>
          <w:lang w:eastAsia="fr-FR"/>
        </w:rPr>
        <w:t xml:space="preserve">et près de </w:t>
      </w:r>
      <w:r w:rsidRPr="003355FA">
        <w:rPr>
          <w:lang w:eastAsia="fr-FR"/>
        </w:rPr>
        <w:t>900</w:t>
      </w:r>
      <w:r w:rsidR="00695D0F">
        <w:rPr>
          <w:lang w:eastAsia="fr-FR"/>
        </w:rPr>
        <w:t> </w:t>
      </w:r>
      <w:r w:rsidRPr="003355FA">
        <w:rPr>
          <w:lang w:eastAsia="fr-FR"/>
        </w:rPr>
        <w:t>000</w:t>
      </w:r>
      <w:r w:rsidR="00695D0F">
        <w:rPr>
          <w:lang w:eastAsia="fr-FR"/>
        </w:rPr>
        <w:t> </w:t>
      </w:r>
      <w:r>
        <w:rPr>
          <w:lang w:eastAsia="fr-FR"/>
        </w:rPr>
        <w:t>MWh d</w:t>
      </w:r>
      <w:r w:rsidR="00616FE4">
        <w:rPr>
          <w:lang w:eastAsia="fr-FR"/>
        </w:rPr>
        <w:t>’</w:t>
      </w:r>
      <w:r>
        <w:rPr>
          <w:lang w:eastAsia="fr-FR"/>
        </w:rPr>
        <w:t>ici</w:t>
      </w:r>
      <w:r w:rsidRPr="003355FA">
        <w:rPr>
          <w:lang w:eastAsia="fr-FR"/>
        </w:rPr>
        <w:t xml:space="preserve"> </w:t>
      </w:r>
      <w:r w:rsidR="00695D0F">
        <w:rPr>
          <w:lang w:eastAsia="fr-FR"/>
        </w:rPr>
        <w:t xml:space="preserve">à </w:t>
      </w:r>
      <w:r w:rsidRPr="003355FA">
        <w:rPr>
          <w:lang w:eastAsia="fr-FR"/>
        </w:rPr>
        <w:t>2030.</w:t>
      </w:r>
    </w:p>
    <w:p w14:paraId="6466F8D1" w14:textId="77777777" w:rsidR="001E6D3C" w:rsidRPr="00735303" w:rsidRDefault="001E6D3C" w:rsidP="00CA3891">
      <w:pPr>
        <w:pStyle w:val="SingleTxtG"/>
        <w:rPr>
          <w:lang w:eastAsia="fr-FR"/>
        </w:rPr>
      </w:pPr>
      <w:r w:rsidRPr="00427A2A">
        <w:rPr>
          <w:lang w:eastAsia="fr-FR"/>
        </w:rPr>
        <w:lastRenderedPageBreak/>
        <w:t>10.</w:t>
      </w:r>
      <w:r w:rsidRPr="00427A2A">
        <w:rPr>
          <w:lang w:eastAsia="fr-FR"/>
        </w:rPr>
        <w:tab/>
        <w:t xml:space="preserve">La Division des transports durables assure </w:t>
      </w:r>
      <w:r>
        <w:rPr>
          <w:lang w:eastAsia="fr-FR"/>
        </w:rPr>
        <w:t xml:space="preserve">également </w:t>
      </w:r>
      <w:r w:rsidRPr="00427A2A">
        <w:rPr>
          <w:lang w:eastAsia="fr-FR"/>
        </w:rPr>
        <w:t>le secrétariat</w:t>
      </w:r>
      <w:r>
        <w:rPr>
          <w:lang w:eastAsia="fr-FR"/>
        </w:rPr>
        <w:t xml:space="preserve"> d</w:t>
      </w:r>
      <w:r w:rsidR="00616FE4">
        <w:rPr>
          <w:lang w:eastAsia="fr-FR"/>
        </w:rPr>
        <w:t>’</w:t>
      </w:r>
      <w:r>
        <w:rPr>
          <w:lang w:eastAsia="fr-FR"/>
        </w:rPr>
        <w:t>un organe de l</w:t>
      </w:r>
      <w:r w:rsidR="00616FE4">
        <w:rPr>
          <w:lang w:eastAsia="fr-FR"/>
        </w:rPr>
        <w:t>’</w:t>
      </w:r>
      <w:r w:rsidRPr="00427A2A">
        <w:rPr>
          <w:lang w:eastAsia="fr-FR"/>
        </w:rPr>
        <w:t xml:space="preserve">ECOSOC </w:t>
      </w:r>
      <w:r>
        <w:rPr>
          <w:lang w:eastAsia="fr-FR"/>
        </w:rPr>
        <w:t xml:space="preserve">chargé de </w:t>
      </w:r>
      <w:r w:rsidRPr="00427A2A">
        <w:rPr>
          <w:lang w:eastAsia="fr-FR"/>
        </w:rPr>
        <w:t>l</w:t>
      </w:r>
      <w:r w:rsidR="00616FE4">
        <w:rPr>
          <w:lang w:eastAsia="fr-FR"/>
        </w:rPr>
        <w:t>’</w:t>
      </w:r>
      <w:r w:rsidRPr="00427A2A">
        <w:rPr>
          <w:lang w:eastAsia="fr-FR"/>
        </w:rPr>
        <w:t>harmonisation à l</w:t>
      </w:r>
      <w:r w:rsidR="00616FE4">
        <w:rPr>
          <w:lang w:eastAsia="fr-FR"/>
        </w:rPr>
        <w:t>’</w:t>
      </w:r>
      <w:r w:rsidRPr="00427A2A">
        <w:rPr>
          <w:lang w:eastAsia="fr-FR"/>
        </w:rPr>
        <w:t xml:space="preserve">échelle mondiale de </w:t>
      </w:r>
      <w:r>
        <w:rPr>
          <w:lang w:eastAsia="fr-FR"/>
        </w:rPr>
        <w:t xml:space="preserve">la </w:t>
      </w:r>
      <w:r w:rsidRPr="00427A2A">
        <w:rPr>
          <w:lang w:eastAsia="fr-FR"/>
        </w:rPr>
        <w:t>classification et des outils de communication des dangers des produits chimiques</w:t>
      </w:r>
      <w:r>
        <w:rPr>
          <w:lang w:eastAsia="fr-FR"/>
        </w:rPr>
        <w:t xml:space="preserve">. </w:t>
      </w:r>
      <w:r w:rsidRPr="00427A2A">
        <w:rPr>
          <w:lang w:eastAsia="fr-FR"/>
        </w:rPr>
        <w:t>Cet organe formule des recommandations qui sont actuellement mise</w:t>
      </w:r>
      <w:r w:rsidR="00695D0F">
        <w:rPr>
          <w:lang w:eastAsia="fr-FR"/>
        </w:rPr>
        <w:t>s</w:t>
      </w:r>
      <w:r w:rsidRPr="00427A2A">
        <w:rPr>
          <w:lang w:eastAsia="fr-FR"/>
        </w:rPr>
        <w:t xml:space="preserve"> en œuvre dans le monde</w:t>
      </w:r>
      <w:r>
        <w:rPr>
          <w:lang w:eastAsia="fr-FR"/>
        </w:rPr>
        <w:t xml:space="preserve"> entier</w:t>
      </w:r>
      <w:r w:rsidRPr="00427A2A">
        <w:rPr>
          <w:lang w:eastAsia="fr-FR"/>
        </w:rPr>
        <w:t xml:space="preserve">, </w:t>
      </w:r>
      <w:r>
        <w:rPr>
          <w:lang w:eastAsia="fr-FR"/>
        </w:rPr>
        <w:t>définissant des critères communs de classification et d</w:t>
      </w:r>
      <w:r w:rsidR="00616FE4">
        <w:rPr>
          <w:lang w:eastAsia="fr-FR"/>
        </w:rPr>
        <w:t>’</w:t>
      </w:r>
      <w:r>
        <w:rPr>
          <w:lang w:eastAsia="fr-FR"/>
        </w:rPr>
        <w:t>étiquetage qui permettent d</w:t>
      </w:r>
      <w:r w:rsidR="00616FE4">
        <w:rPr>
          <w:lang w:eastAsia="fr-FR"/>
        </w:rPr>
        <w:t>’</w:t>
      </w:r>
      <w:r>
        <w:rPr>
          <w:lang w:eastAsia="fr-FR"/>
        </w:rPr>
        <w:t xml:space="preserve">assurer le même niveau de protection des travailleurs et des consommateurs contre les dangers chimiques partout dans le monde. </w:t>
      </w:r>
      <w:r w:rsidRPr="001A62C4">
        <w:rPr>
          <w:lang w:eastAsia="fr-FR"/>
        </w:rPr>
        <w:t>Selon une étude menée par l</w:t>
      </w:r>
      <w:r w:rsidR="00616FE4">
        <w:rPr>
          <w:lang w:eastAsia="fr-FR"/>
        </w:rPr>
        <w:t>’</w:t>
      </w:r>
      <w:r w:rsidRPr="001A62C4">
        <w:rPr>
          <w:lang w:eastAsia="fr-FR"/>
        </w:rPr>
        <w:t>OMS en 2004, 4,9 millions de décès (8,3</w:t>
      </w:r>
      <w:r w:rsidR="00CA3891">
        <w:rPr>
          <w:lang w:eastAsia="fr-FR"/>
        </w:rPr>
        <w:t> </w:t>
      </w:r>
      <w:r w:rsidRPr="001A62C4">
        <w:rPr>
          <w:lang w:eastAsia="fr-FR"/>
        </w:rPr>
        <w:t xml:space="preserve">% du total) et 86 millions </w:t>
      </w:r>
      <w:r>
        <w:rPr>
          <w:lang w:eastAsia="fr-FR"/>
        </w:rPr>
        <w:t>d</w:t>
      </w:r>
      <w:r w:rsidR="00616FE4">
        <w:rPr>
          <w:lang w:eastAsia="fr-FR"/>
        </w:rPr>
        <w:t>’</w:t>
      </w:r>
      <w:r w:rsidRPr="001A62C4">
        <w:rPr>
          <w:lang w:eastAsia="fr-FR"/>
        </w:rPr>
        <w:t>année</w:t>
      </w:r>
      <w:r>
        <w:rPr>
          <w:lang w:eastAsia="fr-FR"/>
        </w:rPr>
        <w:t>s</w:t>
      </w:r>
      <w:r w:rsidRPr="001A62C4">
        <w:rPr>
          <w:lang w:eastAsia="fr-FR"/>
        </w:rPr>
        <w:t xml:space="preserve"> de vie ajustée</w:t>
      </w:r>
      <w:r>
        <w:rPr>
          <w:lang w:eastAsia="fr-FR"/>
        </w:rPr>
        <w:t>s</w:t>
      </w:r>
      <w:r w:rsidRPr="001A62C4">
        <w:rPr>
          <w:lang w:eastAsia="fr-FR"/>
        </w:rPr>
        <w:t xml:space="preserve"> sur l</w:t>
      </w:r>
      <w:r w:rsidR="00616FE4">
        <w:rPr>
          <w:lang w:eastAsia="fr-FR"/>
        </w:rPr>
        <w:t>’</w:t>
      </w:r>
      <w:r w:rsidRPr="001A62C4">
        <w:rPr>
          <w:lang w:eastAsia="fr-FR"/>
        </w:rPr>
        <w:t>incapacité</w:t>
      </w:r>
      <w:r>
        <w:rPr>
          <w:lang w:eastAsia="fr-FR"/>
        </w:rPr>
        <w:t xml:space="preserve"> (</w:t>
      </w:r>
      <w:r w:rsidRPr="00EA2DF1">
        <w:rPr>
          <w:lang w:eastAsia="fr-FR"/>
        </w:rPr>
        <w:t xml:space="preserve">Disability Adjusted Life Years </w:t>
      </w:r>
      <w:r w:rsidR="00CA3891">
        <w:rPr>
          <w:lang w:eastAsia="fr-FR"/>
        </w:rPr>
        <w:t>−</w:t>
      </w:r>
      <w:r w:rsidRPr="00EA2DF1">
        <w:rPr>
          <w:lang w:eastAsia="fr-FR"/>
        </w:rPr>
        <w:t xml:space="preserve"> DALY) (5,7 % du total) </w:t>
      </w:r>
      <w:r>
        <w:rPr>
          <w:lang w:eastAsia="fr-FR"/>
        </w:rPr>
        <w:t xml:space="preserve">sont imputables </w:t>
      </w:r>
      <w:r w:rsidRPr="00EA2DF1">
        <w:rPr>
          <w:lang w:eastAsia="fr-FR"/>
        </w:rPr>
        <w:t xml:space="preserve">à </w:t>
      </w:r>
      <w:r>
        <w:rPr>
          <w:lang w:eastAsia="fr-FR"/>
        </w:rPr>
        <w:t>l</w:t>
      </w:r>
      <w:r w:rsidR="00616FE4">
        <w:rPr>
          <w:lang w:eastAsia="fr-FR"/>
        </w:rPr>
        <w:t>’</w:t>
      </w:r>
      <w:r w:rsidRPr="00EA2DF1">
        <w:rPr>
          <w:lang w:eastAsia="fr-FR"/>
        </w:rPr>
        <w:t>exposition à des polluants dans l</w:t>
      </w:r>
      <w:r w:rsidR="00616FE4">
        <w:rPr>
          <w:lang w:eastAsia="fr-FR"/>
        </w:rPr>
        <w:t>’</w:t>
      </w:r>
      <w:r w:rsidRPr="00EA2DF1">
        <w:rPr>
          <w:lang w:eastAsia="fr-FR"/>
        </w:rPr>
        <w:t>environnement</w:t>
      </w:r>
      <w:r>
        <w:rPr>
          <w:lang w:eastAsia="fr-FR"/>
        </w:rPr>
        <w:t xml:space="preserve"> et à la manipulation de certains produits chimiques. Selon ces chiffres, la </w:t>
      </w:r>
      <w:r w:rsidRPr="00EA2DF1">
        <w:rPr>
          <w:lang w:eastAsia="fr-FR"/>
        </w:rPr>
        <w:t>charge mondiale de morbidité</w:t>
      </w:r>
      <w:r>
        <w:rPr>
          <w:lang w:eastAsia="fr-FR"/>
        </w:rPr>
        <w:t xml:space="preserve"> atteignait </w:t>
      </w:r>
      <w:r w:rsidRPr="00830E42">
        <w:rPr>
          <w:lang w:eastAsia="fr-FR"/>
        </w:rPr>
        <w:t xml:space="preserve">1,7 % (en DALY), </w:t>
      </w:r>
      <w:r>
        <w:rPr>
          <w:lang w:eastAsia="fr-FR"/>
        </w:rPr>
        <w:t xml:space="preserve">soit </w:t>
      </w:r>
      <w:r w:rsidRPr="00830E42">
        <w:rPr>
          <w:lang w:eastAsia="fr-FR"/>
        </w:rPr>
        <w:t xml:space="preserve">2 % </w:t>
      </w:r>
      <w:r>
        <w:rPr>
          <w:lang w:eastAsia="fr-FR"/>
        </w:rPr>
        <w:t>de la totalité des décès. L</w:t>
      </w:r>
      <w:r w:rsidR="00616FE4">
        <w:rPr>
          <w:lang w:eastAsia="fr-FR"/>
        </w:rPr>
        <w:t>’</w:t>
      </w:r>
      <w:r>
        <w:rPr>
          <w:lang w:eastAsia="fr-FR"/>
        </w:rPr>
        <w:t>OIT estime que chaque année 2,78 millions de travailleurs meurent des suites d</w:t>
      </w:r>
      <w:r w:rsidR="00616FE4">
        <w:rPr>
          <w:lang w:eastAsia="fr-FR"/>
        </w:rPr>
        <w:t>’</w:t>
      </w:r>
      <w:r>
        <w:rPr>
          <w:lang w:eastAsia="fr-FR"/>
        </w:rPr>
        <w:t xml:space="preserve">accidents du travail et de pathologies liées </w:t>
      </w:r>
      <w:r w:rsidRPr="00830E42">
        <w:rPr>
          <w:lang w:eastAsia="fr-FR"/>
        </w:rPr>
        <w:t>à l</w:t>
      </w:r>
      <w:r w:rsidR="00616FE4">
        <w:rPr>
          <w:lang w:eastAsia="fr-FR"/>
        </w:rPr>
        <w:t>’</w:t>
      </w:r>
      <w:r w:rsidRPr="00830E42">
        <w:rPr>
          <w:lang w:eastAsia="fr-FR"/>
        </w:rPr>
        <w:t xml:space="preserve">activité professionnelle </w:t>
      </w:r>
      <w:r>
        <w:rPr>
          <w:lang w:eastAsia="fr-FR"/>
        </w:rPr>
        <w:t>(dont 2,4 millions à la suite de maladies). Le SGH fournit aux utilisateurs des informations concernant les dangers</w:t>
      </w:r>
      <w:r w:rsidRPr="00830E42">
        <w:rPr>
          <w:lang w:eastAsia="fr-FR"/>
        </w:rPr>
        <w:t xml:space="preserve"> présentés par les produits chimiques</w:t>
      </w:r>
      <w:r>
        <w:rPr>
          <w:lang w:eastAsia="fr-FR"/>
        </w:rPr>
        <w:t xml:space="preserve"> et les mesures à prendre pour éviter ou réduire l</w:t>
      </w:r>
      <w:r w:rsidR="00616FE4">
        <w:rPr>
          <w:lang w:eastAsia="fr-FR"/>
        </w:rPr>
        <w:t>’</w:t>
      </w:r>
      <w:r>
        <w:rPr>
          <w:lang w:eastAsia="fr-FR"/>
        </w:rPr>
        <w:t>exposition à ces produits, ce qui est capital pour protéger les populations et l</w:t>
      </w:r>
      <w:r w:rsidR="00616FE4">
        <w:rPr>
          <w:lang w:eastAsia="fr-FR"/>
        </w:rPr>
        <w:t>’</w:t>
      </w:r>
      <w:r>
        <w:rPr>
          <w:lang w:eastAsia="fr-FR"/>
        </w:rPr>
        <w:t>environnement.</w:t>
      </w:r>
    </w:p>
    <w:p w14:paraId="5D6451DA" w14:textId="77777777" w:rsidR="001E6D3C" w:rsidRPr="003355FA" w:rsidRDefault="001E6D3C" w:rsidP="00CA3891">
      <w:pPr>
        <w:pStyle w:val="HChG"/>
        <w:rPr>
          <w:lang w:eastAsia="fr-FR"/>
        </w:rPr>
      </w:pPr>
      <w:r w:rsidRPr="00735303">
        <w:rPr>
          <w:lang w:eastAsia="fr-FR"/>
        </w:rPr>
        <w:tab/>
      </w:r>
      <w:r w:rsidRPr="003355FA">
        <w:rPr>
          <w:lang w:eastAsia="fr-FR"/>
        </w:rPr>
        <w:t>III.</w:t>
      </w:r>
      <w:r w:rsidRPr="003355FA">
        <w:rPr>
          <w:lang w:eastAsia="fr-FR"/>
        </w:rPr>
        <w:tab/>
        <w:t>Réalisations de la Division des transports durables</w:t>
      </w:r>
      <w:r>
        <w:rPr>
          <w:lang w:eastAsia="fr-FR"/>
        </w:rPr>
        <w:t xml:space="preserve"> e</w:t>
      </w:r>
      <w:r w:rsidRPr="003355FA">
        <w:rPr>
          <w:lang w:eastAsia="fr-FR"/>
        </w:rPr>
        <w:t>n 2019</w:t>
      </w:r>
    </w:p>
    <w:p w14:paraId="6CA4EF8F" w14:textId="77777777" w:rsidR="001E6D3C" w:rsidRPr="00830E42" w:rsidRDefault="001E6D3C" w:rsidP="00CA3891">
      <w:pPr>
        <w:pStyle w:val="H1G"/>
        <w:rPr>
          <w:lang w:eastAsia="fr-FR"/>
        </w:rPr>
      </w:pPr>
      <w:r w:rsidRPr="003355FA">
        <w:rPr>
          <w:lang w:eastAsia="fr-FR"/>
        </w:rPr>
        <w:tab/>
      </w:r>
      <w:r w:rsidRPr="00830E42">
        <w:rPr>
          <w:lang w:eastAsia="fr-FR"/>
        </w:rPr>
        <w:t>A.</w:t>
      </w:r>
      <w:r w:rsidRPr="00830E42">
        <w:rPr>
          <w:lang w:eastAsia="fr-FR"/>
        </w:rPr>
        <w:tab/>
      </w:r>
      <w:r>
        <w:rPr>
          <w:lang w:eastAsia="fr-FR"/>
        </w:rPr>
        <w:t>S</w:t>
      </w:r>
      <w:r w:rsidRPr="00830E42">
        <w:rPr>
          <w:lang w:eastAsia="fr-FR"/>
        </w:rPr>
        <w:t>ession annuelle du Comité des transports intérieurs</w:t>
      </w:r>
    </w:p>
    <w:p w14:paraId="0E873936" w14:textId="77777777" w:rsidR="001E6D3C" w:rsidRPr="00226388" w:rsidRDefault="001E6D3C" w:rsidP="00CA3891">
      <w:pPr>
        <w:pStyle w:val="SingleTxtG"/>
        <w:rPr>
          <w:lang w:eastAsia="fr-FR"/>
        </w:rPr>
      </w:pPr>
      <w:bookmarkStart w:id="2" w:name="_Hlk25587857"/>
      <w:r w:rsidRPr="00AA3E6C">
        <w:rPr>
          <w:lang w:eastAsia="fr-FR"/>
        </w:rPr>
        <w:t>11.</w:t>
      </w:r>
      <w:r w:rsidRPr="00AA3E6C">
        <w:rPr>
          <w:lang w:eastAsia="fr-FR"/>
        </w:rPr>
        <w:tab/>
        <w:t>L</w:t>
      </w:r>
      <w:r w:rsidR="00616FE4" w:rsidRPr="00AA3E6C">
        <w:rPr>
          <w:lang w:eastAsia="fr-FR"/>
        </w:rPr>
        <w:t>’</w:t>
      </w:r>
      <w:r w:rsidRPr="00AA3E6C">
        <w:rPr>
          <w:lang w:eastAsia="fr-FR"/>
        </w:rPr>
        <w:t>année a commencé par la</w:t>
      </w:r>
      <w:r w:rsidRPr="00D9480C">
        <w:rPr>
          <w:lang w:eastAsia="fr-FR"/>
        </w:rPr>
        <w:t xml:space="preserve"> </w:t>
      </w:r>
      <w:r>
        <w:rPr>
          <w:lang w:eastAsia="fr-FR"/>
        </w:rPr>
        <w:t>q</w:t>
      </w:r>
      <w:r w:rsidRPr="00D9480C">
        <w:rPr>
          <w:lang w:eastAsia="fr-FR"/>
        </w:rPr>
        <w:t>uatre-vingt-unième session annuelle du Comité des transports intérieurs (Gen</w:t>
      </w:r>
      <w:r>
        <w:rPr>
          <w:lang w:eastAsia="fr-FR"/>
        </w:rPr>
        <w:t>è</w:t>
      </w:r>
      <w:r w:rsidRPr="00D9480C">
        <w:rPr>
          <w:lang w:eastAsia="fr-FR"/>
        </w:rPr>
        <w:t>ve, 19</w:t>
      </w:r>
      <w:r w:rsidR="00E13D10">
        <w:rPr>
          <w:lang w:eastAsia="fr-FR"/>
        </w:rPr>
        <w:t>-</w:t>
      </w:r>
      <w:r w:rsidRPr="00D9480C">
        <w:rPr>
          <w:lang w:eastAsia="fr-FR"/>
        </w:rPr>
        <w:t xml:space="preserve">22 </w:t>
      </w:r>
      <w:r>
        <w:rPr>
          <w:lang w:eastAsia="fr-FR"/>
        </w:rPr>
        <w:t xml:space="preserve">février </w:t>
      </w:r>
      <w:r w:rsidRPr="00D9480C">
        <w:rPr>
          <w:lang w:eastAsia="fr-FR"/>
        </w:rPr>
        <w:t xml:space="preserve">2019). </w:t>
      </w:r>
      <w:r>
        <w:rPr>
          <w:lang w:eastAsia="fr-FR"/>
        </w:rPr>
        <w:t xml:space="preserve">Un </w:t>
      </w:r>
      <w:r w:rsidRPr="00D9480C">
        <w:rPr>
          <w:lang w:eastAsia="fr-FR"/>
        </w:rPr>
        <w:t xml:space="preserve">débat de politique générale de haut niveau </w:t>
      </w:r>
      <w:r>
        <w:rPr>
          <w:lang w:eastAsia="fr-FR"/>
        </w:rPr>
        <w:t xml:space="preserve">a été consacré à </w:t>
      </w:r>
      <w:r w:rsidRPr="00D9480C">
        <w:rPr>
          <w:i/>
          <w:lang w:eastAsia="fr-FR"/>
        </w:rPr>
        <w:t>l</w:t>
      </w:r>
      <w:r w:rsidR="00616FE4">
        <w:rPr>
          <w:i/>
          <w:lang w:eastAsia="fr-FR"/>
        </w:rPr>
        <w:t>’</w:t>
      </w:r>
      <w:r w:rsidRPr="00D9480C">
        <w:rPr>
          <w:i/>
          <w:lang w:eastAsia="fr-FR"/>
        </w:rPr>
        <w:t>automatisation dans les transports</w:t>
      </w:r>
      <w:r>
        <w:rPr>
          <w:i/>
          <w:lang w:eastAsia="fr-FR"/>
        </w:rPr>
        <w:t xml:space="preserve"> </w:t>
      </w:r>
      <w:r w:rsidRPr="00D9480C">
        <w:rPr>
          <w:lang w:eastAsia="fr-FR"/>
        </w:rPr>
        <w:t>et a vu la participation</w:t>
      </w:r>
      <w:r>
        <w:rPr>
          <w:lang w:eastAsia="fr-FR"/>
        </w:rPr>
        <w:t xml:space="preserve"> de ministres </w:t>
      </w:r>
      <w:r w:rsidRPr="00D9480C">
        <w:rPr>
          <w:lang w:eastAsia="fr-FR"/>
        </w:rPr>
        <w:t>des transports</w:t>
      </w:r>
      <w:r>
        <w:rPr>
          <w:lang w:eastAsia="fr-FR"/>
        </w:rPr>
        <w:t xml:space="preserve"> d</w:t>
      </w:r>
      <w:r w:rsidR="00616FE4">
        <w:rPr>
          <w:lang w:eastAsia="fr-FR"/>
        </w:rPr>
        <w:t>’</w:t>
      </w:r>
      <w:r>
        <w:rPr>
          <w:lang w:eastAsia="fr-FR"/>
        </w:rPr>
        <w:t>Afrique, d</w:t>
      </w:r>
      <w:r w:rsidR="00616FE4">
        <w:rPr>
          <w:lang w:eastAsia="fr-FR"/>
        </w:rPr>
        <w:t>’</w:t>
      </w:r>
      <w:r>
        <w:rPr>
          <w:lang w:eastAsia="fr-FR"/>
        </w:rPr>
        <w:t>Asie, d</w:t>
      </w:r>
      <w:r w:rsidR="00616FE4">
        <w:rPr>
          <w:lang w:eastAsia="fr-FR"/>
        </w:rPr>
        <w:t>’</w:t>
      </w:r>
      <w:r>
        <w:rPr>
          <w:lang w:eastAsia="fr-FR"/>
        </w:rPr>
        <w:t xml:space="preserve">Europe et du Moyen-Orient, aux côtés de près de </w:t>
      </w:r>
      <w:r w:rsidRPr="00D9480C">
        <w:rPr>
          <w:lang w:eastAsia="fr-FR"/>
        </w:rPr>
        <w:t xml:space="preserve">400 participants de 75 pays, </w:t>
      </w:r>
      <w:r>
        <w:rPr>
          <w:lang w:eastAsia="fr-FR"/>
        </w:rPr>
        <w:t>parmi lesquels les chefs et hauts représentants d</w:t>
      </w:r>
      <w:r w:rsidR="00616FE4">
        <w:rPr>
          <w:lang w:eastAsia="fr-FR"/>
        </w:rPr>
        <w:t>’</w:t>
      </w:r>
      <w:r>
        <w:rPr>
          <w:lang w:eastAsia="fr-FR"/>
        </w:rPr>
        <w:t>organisations</w:t>
      </w:r>
      <w:r w:rsidRPr="00226388">
        <w:rPr>
          <w:szCs w:val="24"/>
          <w:lang w:eastAsia="fr-CH"/>
        </w:rPr>
        <w:t xml:space="preserve"> </w:t>
      </w:r>
      <w:r w:rsidRPr="00226388">
        <w:rPr>
          <w:lang w:eastAsia="fr-FR"/>
        </w:rPr>
        <w:t>intergouvernementales</w:t>
      </w:r>
      <w:r>
        <w:rPr>
          <w:lang w:eastAsia="fr-FR"/>
        </w:rPr>
        <w:t xml:space="preserve"> </w:t>
      </w:r>
      <w:r w:rsidRPr="00226388">
        <w:rPr>
          <w:lang w:eastAsia="fr-FR"/>
        </w:rPr>
        <w:t>et non gouvernementales</w:t>
      </w:r>
      <w:r>
        <w:rPr>
          <w:lang w:eastAsia="fr-FR"/>
        </w:rPr>
        <w:t xml:space="preserve"> ainsi que d</w:t>
      </w:r>
      <w:r w:rsidR="00616FE4">
        <w:rPr>
          <w:lang w:eastAsia="fr-FR"/>
        </w:rPr>
        <w:t>’</w:t>
      </w:r>
      <w:r>
        <w:rPr>
          <w:lang w:eastAsia="fr-FR"/>
        </w:rPr>
        <w:t xml:space="preserve">autres parties </w:t>
      </w:r>
      <w:r w:rsidRPr="00226388">
        <w:rPr>
          <w:lang w:eastAsia="fr-FR"/>
        </w:rPr>
        <w:t xml:space="preserve">prenantes </w:t>
      </w:r>
      <w:r>
        <w:rPr>
          <w:lang w:eastAsia="fr-FR"/>
        </w:rPr>
        <w:t>cl</w:t>
      </w:r>
      <w:r w:rsidR="00E13D10">
        <w:rPr>
          <w:lang w:eastAsia="fr-FR"/>
        </w:rPr>
        <w:t>ef</w:t>
      </w:r>
      <w:r>
        <w:rPr>
          <w:lang w:eastAsia="fr-FR"/>
        </w:rPr>
        <w:t xml:space="preserve">s </w:t>
      </w:r>
      <w:r w:rsidRPr="00226388">
        <w:rPr>
          <w:lang w:eastAsia="fr-FR"/>
        </w:rPr>
        <w:t>des transports intérieurs</w:t>
      </w:r>
      <w:r>
        <w:rPr>
          <w:lang w:eastAsia="fr-FR"/>
        </w:rPr>
        <w:t xml:space="preserve">. </w:t>
      </w:r>
      <w:r w:rsidRPr="00226388">
        <w:rPr>
          <w:lang w:eastAsia="fr-FR"/>
        </w:rPr>
        <w:t xml:space="preserve">Au nombre des principaux résultats de ce débat de politique générale (voir </w:t>
      </w:r>
      <w:hyperlink r:id="rId9" w:history="1">
        <w:r w:rsidRPr="00226388">
          <w:rPr>
            <w:rFonts w:asciiTheme="majorBidi" w:hAnsiTheme="majorBidi" w:cstheme="majorBidi"/>
            <w:color w:val="0000FF"/>
            <w:lang w:eastAsia="fr-FR"/>
          </w:rPr>
          <w:t>ECE/TRANS/288/Add.1</w:t>
        </w:r>
      </w:hyperlink>
      <w:r w:rsidRPr="00226388">
        <w:rPr>
          <w:lang w:eastAsia="fr-FR"/>
        </w:rPr>
        <w:t>) figure la déclaration ministérielle sur le renforcement de la coopération, de l</w:t>
      </w:r>
      <w:r w:rsidR="00616FE4">
        <w:rPr>
          <w:lang w:eastAsia="fr-FR"/>
        </w:rPr>
        <w:t>’</w:t>
      </w:r>
      <w:r w:rsidRPr="00226388">
        <w:rPr>
          <w:lang w:eastAsia="fr-FR"/>
        </w:rPr>
        <w:t>harmonisation et de l</w:t>
      </w:r>
      <w:r w:rsidR="00616FE4">
        <w:rPr>
          <w:lang w:eastAsia="fr-FR"/>
        </w:rPr>
        <w:t>’</w:t>
      </w:r>
      <w:r w:rsidRPr="00226388">
        <w:rPr>
          <w:lang w:eastAsia="fr-FR"/>
        </w:rPr>
        <w:t>intégration à l</w:t>
      </w:r>
      <w:r w:rsidR="00616FE4">
        <w:rPr>
          <w:lang w:eastAsia="fr-FR"/>
        </w:rPr>
        <w:t>’</w:t>
      </w:r>
      <w:r w:rsidRPr="00226388">
        <w:rPr>
          <w:lang w:eastAsia="fr-FR"/>
        </w:rPr>
        <w:t>ère de la numérisation et de l</w:t>
      </w:r>
      <w:r w:rsidR="00616FE4">
        <w:rPr>
          <w:lang w:eastAsia="fr-FR"/>
        </w:rPr>
        <w:t>’</w:t>
      </w:r>
      <w:r w:rsidRPr="00226388">
        <w:rPr>
          <w:lang w:eastAsia="fr-FR"/>
        </w:rPr>
        <w:t>automatisation des transports</w:t>
      </w:r>
      <w:r>
        <w:rPr>
          <w:lang w:eastAsia="fr-FR"/>
        </w:rPr>
        <w:t xml:space="preserve">, qui a été adoptée par les ministres et chefs de délégations de pays </w:t>
      </w:r>
      <w:r w:rsidRPr="00226388">
        <w:rPr>
          <w:lang w:eastAsia="fr-FR"/>
        </w:rPr>
        <w:t>d</w:t>
      </w:r>
      <w:r w:rsidR="00616FE4">
        <w:rPr>
          <w:lang w:eastAsia="fr-FR"/>
        </w:rPr>
        <w:t>’</w:t>
      </w:r>
      <w:r w:rsidRPr="00226388">
        <w:rPr>
          <w:lang w:eastAsia="fr-FR"/>
        </w:rPr>
        <w:t>Afrique, d</w:t>
      </w:r>
      <w:r w:rsidR="00616FE4">
        <w:rPr>
          <w:lang w:eastAsia="fr-FR"/>
        </w:rPr>
        <w:t>’</w:t>
      </w:r>
      <w:r w:rsidRPr="00226388">
        <w:rPr>
          <w:lang w:eastAsia="fr-FR"/>
        </w:rPr>
        <w:t>Asie, d</w:t>
      </w:r>
      <w:r w:rsidR="00616FE4">
        <w:rPr>
          <w:lang w:eastAsia="fr-FR"/>
        </w:rPr>
        <w:t>’</w:t>
      </w:r>
      <w:r w:rsidRPr="00226388">
        <w:rPr>
          <w:lang w:eastAsia="fr-FR"/>
        </w:rPr>
        <w:t>Europe</w:t>
      </w:r>
      <w:r>
        <w:rPr>
          <w:lang w:eastAsia="fr-FR"/>
        </w:rPr>
        <w:t xml:space="preserve">, </w:t>
      </w:r>
      <w:r w:rsidRPr="00226388">
        <w:rPr>
          <w:lang w:eastAsia="fr-FR"/>
        </w:rPr>
        <w:t>du Moyen-Orient</w:t>
      </w:r>
      <w:r>
        <w:rPr>
          <w:lang w:eastAsia="fr-FR"/>
        </w:rPr>
        <w:t xml:space="preserve"> et d</w:t>
      </w:r>
      <w:r w:rsidR="00616FE4">
        <w:rPr>
          <w:lang w:eastAsia="fr-FR"/>
        </w:rPr>
        <w:t>’</w:t>
      </w:r>
      <w:r>
        <w:rPr>
          <w:lang w:eastAsia="fr-FR"/>
        </w:rPr>
        <w:t xml:space="preserve">Amérique latine </w:t>
      </w:r>
      <w:r w:rsidRPr="00226388">
        <w:rPr>
          <w:lang w:eastAsia="fr-FR"/>
        </w:rPr>
        <w:t>(</w:t>
      </w:r>
      <w:hyperlink r:id="rId10" w:history="1">
        <w:r w:rsidRPr="00226388">
          <w:rPr>
            <w:rFonts w:asciiTheme="majorBidi" w:hAnsiTheme="majorBidi" w:cstheme="majorBidi"/>
            <w:color w:val="0000FF"/>
            <w:lang w:eastAsia="fr-FR"/>
          </w:rPr>
          <w:t>ECE/TRANS/288</w:t>
        </w:r>
      </w:hyperlink>
      <w:r w:rsidRPr="00226388">
        <w:rPr>
          <w:lang w:eastAsia="fr-FR"/>
        </w:rPr>
        <w:t xml:space="preserve">, annexes I et II). </w:t>
      </w:r>
    </w:p>
    <w:p w14:paraId="74AA949F" w14:textId="77777777" w:rsidR="001E6D3C" w:rsidRPr="00735303" w:rsidRDefault="001E6D3C" w:rsidP="007B3A5A">
      <w:pPr>
        <w:pStyle w:val="SingleTxtG"/>
        <w:rPr>
          <w:lang w:eastAsia="fr-FR"/>
        </w:rPr>
      </w:pPr>
      <w:r w:rsidRPr="00226388">
        <w:rPr>
          <w:lang w:eastAsia="fr-FR"/>
        </w:rPr>
        <w:t>12.</w:t>
      </w:r>
      <w:r w:rsidRPr="00226388">
        <w:rPr>
          <w:lang w:eastAsia="fr-FR"/>
        </w:rPr>
        <w:tab/>
        <w:t>Le Comité a aussi adopté le</w:t>
      </w:r>
      <w:r>
        <w:rPr>
          <w:lang w:eastAsia="fr-FR"/>
        </w:rPr>
        <w:t xml:space="preserve"> texte de la nouvelle Convention</w:t>
      </w:r>
      <w:r w:rsidRPr="00226388">
        <w:rPr>
          <w:rFonts w:ascii="Segoe UI" w:hAnsi="Segoe UI" w:cs="Segoe UI"/>
        </w:rPr>
        <w:t xml:space="preserve"> </w:t>
      </w:r>
      <w:r w:rsidRPr="00226388">
        <w:rPr>
          <w:lang w:eastAsia="fr-FR"/>
        </w:rPr>
        <w:t>relative à la facilitation du franchissement des frontières pour les voyageurs, les bagages et les bagages non accompagnés dans le cadre du transport ferroviaire international</w:t>
      </w:r>
      <w:r>
        <w:rPr>
          <w:lang w:eastAsia="fr-FR"/>
        </w:rPr>
        <w:t xml:space="preserve"> </w:t>
      </w:r>
      <w:r w:rsidR="00E13D10">
        <w:rPr>
          <w:lang w:eastAsia="fr-FR"/>
        </w:rPr>
        <w:t>−</w:t>
      </w:r>
      <w:r>
        <w:rPr>
          <w:lang w:eastAsia="fr-FR"/>
        </w:rPr>
        <w:t xml:space="preserve"> la </w:t>
      </w:r>
      <w:r w:rsidR="00E13D10">
        <w:rPr>
          <w:lang w:eastAsia="fr-FR"/>
        </w:rPr>
        <w:t>cinquante-neuvième</w:t>
      </w:r>
      <w:r>
        <w:rPr>
          <w:lang w:eastAsia="fr-FR"/>
        </w:rPr>
        <w:t xml:space="preserve"> </w:t>
      </w:r>
      <w:r w:rsidR="00E13D10">
        <w:rPr>
          <w:lang w:eastAsia="fr-FR"/>
        </w:rPr>
        <w:t>C</w:t>
      </w:r>
      <w:r>
        <w:rPr>
          <w:lang w:eastAsia="fr-FR"/>
        </w:rPr>
        <w:t xml:space="preserve">onvention qui relève de lui </w:t>
      </w:r>
      <w:r w:rsidR="00E13D10">
        <w:rPr>
          <w:lang w:eastAsia="fr-FR"/>
        </w:rPr>
        <w:t>−</w:t>
      </w:r>
      <w:r>
        <w:rPr>
          <w:lang w:eastAsia="fr-FR"/>
        </w:rPr>
        <w:t xml:space="preserve"> et il a </w:t>
      </w:r>
      <w:r w:rsidRPr="00976981">
        <w:rPr>
          <w:lang w:eastAsia="fr-FR"/>
        </w:rPr>
        <w:t xml:space="preserve">prié le secrétariat de le transmettre au dépositaire pour ouverture à la </w:t>
      </w:r>
      <w:r w:rsidRPr="00735303">
        <w:rPr>
          <w:lang w:eastAsia="fr-FR"/>
        </w:rPr>
        <w:t>signature.</w:t>
      </w:r>
      <w:r w:rsidR="00E13D10">
        <w:rPr>
          <w:lang w:eastAsia="fr-FR"/>
        </w:rPr>
        <w:t xml:space="preserve"> </w:t>
      </w:r>
      <w:r w:rsidRPr="00735303">
        <w:rPr>
          <w:lang w:eastAsia="fr-FR"/>
        </w:rPr>
        <w:t>La nouvelle Convention a été ouverte aux adhésions en avril 2019.</w:t>
      </w:r>
    </w:p>
    <w:p w14:paraId="4F1486F4" w14:textId="77777777" w:rsidR="001E6D3C" w:rsidRPr="00875ACF" w:rsidRDefault="001E6D3C" w:rsidP="007B3A5A">
      <w:pPr>
        <w:pStyle w:val="H1G"/>
        <w:rPr>
          <w:lang w:eastAsia="fr-FR"/>
        </w:rPr>
      </w:pPr>
      <w:bookmarkStart w:id="3" w:name="_Hlk24617802"/>
      <w:bookmarkEnd w:id="2"/>
      <w:r w:rsidRPr="00735303">
        <w:rPr>
          <w:lang w:eastAsia="fr-FR"/>
        </w:rPr>
        <w:tab/>
      </w:r>
      <w:r w:rsidRPr="00875ACF">
        <w:rPr>
          <w:lang w:eastAsia="fr-FR"/>
        </w:rPr>
        <w:t>B.</w:t>
      </w:r>
      <w:r w:rsidRPr="00875ACF">
        <w:rPr>
          <w:lang w:eastAsia="fr-FR"/>
        </w:rPr>
        <w:tab/>
        <w:t>Sécurité routière</w:t>
      </w:r>
    </w:p>
    <w:bookmarkEnd w:id="3"/>
    <w:p w14:paraId="618A2DC2" w14:textId="77777777" w:rsidR="001E6D3C" w:rsidRPr="00875ACF" w:rsidRDefault="001E6D3C" w:rsidP="007B3A5A">
      <w:pPr>
        <w:pStyle w:val="H23G"/>
        <w:rPr>
          <w:lang w:eastAsia="fr-FR"/>
        </w:rPr>
      </w:pPr>
      <w:r w:rsidRPr="00875ACF">
        <w:rPr>
          <w:lang w:eastAsia="fr-FR"/>
        </w:rPr>
        <w:tab/>
        <w:t>1.</w:t>
      </w:r>
      <w:r w:rsidRPr="00875ACF">
        <w:rPr>
          <w:lang w:eastAsia="fr-FR"/>
        </w:rPr>
        <w:tab/>
        <w:t>Fonds d</w:t>
      </w:r>
      <w:r w:rsidR="00616FE4">
        <w:rPr>
          <w:lang w:eastAsia="fr-FR"/>
        </w:rPr>
        <w:t>’</w:t>
      </w:r>
      <w:r w:rsidRPr="00875ACF">
        <w:rPr>
          <w:lang w:eastAsia="fr-FR"/>
        </w:rPr>
        <w:t>affectation spéciale des Nations Unies pour la sécurité routière</w:t>
      </w:r>
    </w:p>
    <w:p w14:paraId="0D0A53A1" w14:textId="77777777" w:rsidR="001E6D3C" w:rsidRPr="00CD13CD" w:rsidRDefault="001E6D3C" w:rsidP="007B3A5A">
      <w:pPr>
        <w:pStyle w:val="SingleTxtG"/>
        <w:rPr>
          <w:lang w:eastAsia="fr-FR"/>
        </w:rPr>
      </w:pPr>
      <w:r w:rsidRPr="00875ACF">
        <w:rPr>
          <w:lang w:eastAsia="fr-FR"/>
        </w:rPr>
        <w:t>13.</w:t>
      </w:r>
      <w:r w:rsidRPr="00875ACF">
        <w:rPr>
          <w:lang w:eastAsia="fr-FR"/>
        </w:rPr>
        <w:tab/>
      </w:r>
      <w:r>
        <w:rPr>
          <w:lang w:eastAsia="fr-FR"/>
        </w:rPr>
        <w:t xml:space="preserve">Depuis </w:t>
      </w:r>
      <w:r w:rsidRPr="00875ACF">
        <w:rPr>
          <w:lang w:eastAsia="fr-FR"/>
        </w:rPr>
        <w:t xml:space="preserve">sa création en avril 2018, </w:t>
      </w:r>
      <w:r>
        <w:rPr>
          <w:lang w:eastAsia="fr-FR"/>
        </w:rPr>
        <w:t xml:space="preserve">le </w:t>
      </w:r>
      <w:r w:rsidRPr="00875ACF">
        <w:rPr>
          <w:lang w:eastAsia="fr-FR"/>
        </w:rPr>
        <w:t>Fonds d</w:t>
      </w:r>
      <w:r w:rsidR="00616FE4">
        <w:rPr>
          <w:lang w:eastAsia="fr-FR"/>
        </w:rPr>
        <w:t>’</w:t>
      </w:r>
      <w:r w:rsidRPr="00875ACF">
        <w:rPr>
          <w:lang w:eastAsia="fr-FR"/>
        </w:rPr>
        <w:t>affectation spéciale des Nations Unies pour la sécurité routière</w:t>
      </w:r>
      <w:r>
        <w:rPr>
          <w:lang w:eastAsia="fr-FR"/>
        </w:rPr>
        <w:t xml:space="preserve"> a mis plusieurs réalisations importantes à son actif en 2019. Le 9</w:t>
      </w:r>
      <w:r w:rsidR="00E13D10">
        <w:rPr>
          <w:lang w:eastAsia="fr-FR"/>
        </w:rPr>
        <w:t> </w:t>
      </w:r>
      <w:r>
        <w:rPr>
          <w:lang w:eastAsia="fr-FR"/>
        </w:rPr>
        <w:t xml:space="preserve">octobre il a lancé un premier </w:t>
      </w:r>
      <w:r w:rsidRPr="00875ACF">
        <w:rPr>
          <w:lang w:eastAsia="fr-FR"/>
        </w:rPr>
        <w:t xml:space="preserve">appel à propositions </w:t>
      </w:r>
      <w:r>
        <w:rPr>
          <w:lang w:eastAsia="fr-FR"/>
        </w:rPr>
        <w:t>qui est resté ouvert jusqu</w:t>
      </w:r>
      <w:r w:rsidR="00616FE4">
        <w:rPr>
          <w:lang w:eastAsia="fr-FR"/>
        </w:rPr>
        <w:t>’</w:t>
      </w:r>
      <w:r>
        <w:rPr>
          <w:lang w:eastAsia="fr-FR"/>
        </w:rPr>
        <w:t>au 4</w:t>
      </w:r>
      <w:r w:rsidR="00E13D10">
        <w:rPr>
          <w:lang w:eastAsia="fr-FR"/>
        </w:rPr>
        <w:t> </w:t>
      </w:r>
      <w:r>
        <w:rPr>
          <w:lang w:eastAsia="fr-FR"/>
        </w:rPr>
        <w:t xml:space="preserve">décembre </w:t>
      </w:r>
      <w:r w:rsidRPr="00875ACF">
        <w:rPr>
          <w:lang w:eastAsia="fr-FR"/>
        </w:rPr>
        <w:t>2019 (23</w:t>
      </w:r>
      <w:r w:rsidR="00E13D10">
        <w:rPr>
          <w:lang w:eastAsia="fr-FR"/>
        </w:rPr>
        <w:t xml:space="preserve"> </w:t>
      </w:r>
      <w:r w:rsidRPr="00875ACF">
        <w:rPr>
          <w:lang w:eastAsia="fr-FR"/>
        </w:rPr>
        <w:t>h</w:t>
      </w:r>
      <w:r w:rsidR="00E13D10">
        <w:rPr>
          <w:lang w:eastAsia="fr-FR"/>
        </w:rPr>
        <w:t xml:space="preserve"> </w:t>
      </w:r>
      <w:r w:rsidRPr="00875ACF">
        <w:rPr>
          <w:lang w:eastAsia="fr-FR"/>
        </w:rPr>
        <w:t>59, heure d</w:t>
      </w:r>
      <w:r w:rsidR="00616FE4">
        <w:rPr>
          <w:lang w:eastAsia="fr-FR"/>
        </w:rPr>
        <w:t>’</w:t>
      </w:r>
      <w:r w:rsidRPr="00875ACF">
        <w:rPr>
          <w:lang w:eastAsia="fr-FR"/>
        </w:rPr>
        <w:t>Europe centrale)</w:t>
      </w:r>
      <w:r>
        <w:rPr>
          <w:lang w:eastAsia="fr-FR"/>
        </w:rPr>
        <w:t xml:space="preserve"> et qui a permis de débourser 4</w:t>
      </w:r>
      <w:r w:rsidR="00E13D10">
        <w:rPr>
          <w:lang w:eastAsia="fr-FR"/>
        </w:rPr>
        <w:t> </w:t>
      </w:r>
      <w:r>
        <w:rPr>
          <w:lang w:eastAsia="fr-FR"/>
        </w:rPr>
        <w:t xml:space="preserve">millions de dollars </w:t>
      </w:r>
      <w:r w:rsidR="00E13D10">
        <w:rPr>
          <w:lang w:eastAsia="fr-FR"/>
        </w:rPr>
        <w:t>É</w:t>
      </w:r>
      <w:r>
        <w:rPr>
          <w:lang w:eastAsia="fr-FR"/>
        </w:rPr>
        <w:t xml:space="preserve">.-U. au profit de projets approuvés destinés à réduire </w:t>
      </w:r>
      <w:r w:rsidRPr="00875ACF">
        <w:rPr>
          <w:lang w:eastAsia="fr-FR"/>
        </w:rPr>
        <w:t>le nombre de morts sur les routes</w:t>
      </w:r>
      <w:r>
        <w:rPr>
          <w:lang w:eastAsia="fr-FR"/>
        </w:rPr>
        <w:t xml:space="preserve">. La priorité a été donnée aux projets de pays ou de groupes de pays ayant un impact immédiat et tangible. </w:t>
      </w:r>
    </w:p>
    <w:p w14:paraId="60370D65" w14:textId="77777777" w:rsidR="001E6D3C" w:rsidRPr="00F80AA0" w:rsidRDefault="001E6D3C" w:rsidP="007B3A5A">
      <w:pPr>
        <w:pStyle w:val="H23G"/>
        <w:rPr>
          <w:lang w:eastAsia="fr-FR"/>
        </w:rPr>
      </w:pPr>
      <w:r w:rsidRPr="00CD13CD">
        <w:rPr>
          <w:lang w:eastAsia="fr-FR"/>
        </w:rPr>
        <w:tab/>
      </w:r>
      <w:r w:rsidRPr="00F80AA0">
        <w:rPr>
          <w:lang w:eastAsia="fr-FR"/>
        </w:rPr>
        <w:t>2.</w:t>
      </w:r>
      <w:r w:rsidRPr="00F80AA0">
        <w:rPr>
          <w:lang w:eastAsia="fr-FR"/>
        </w:rPr>
        <w:tab/>
        <w:t>Forum mondial de la sécurité routière (WP.1)</w:t>
      </w:r>
    </w:p>
    <w:p w14:paraId="3B09C797" w14:textId="77777777" w:rsidR="001E6D3C" w:rsidRPr="00522F0D" w:rsidRDefault="001E6D3C" w:rsidP="001E6D3C">
      <w:pPr>
        <w:kinsoku/>
        <w:overflowPunct/>
        <w:autoSpaceDE/>
        <w:autoSpaceDN/>
        <w:adjustRightInd/>
        <w:snapToGrid/>
        <w:spacing w:after="120"/>
        <w:ind w:left="1134" w:right="1134"/>
        <w:jc w:val="both"/>
        <w:rPr>
          <w:rFonts w:eastAsia="Times New Roman"/>
          <w:lang w:eastAsia="fr-FR"/>
        </w:rPr>
      </w:pPr>
      <w:r w:rsidRPr="00F80AA0">
        <w:rPr>
          <w:rFonts w:eastAsia="Times New Roman"/>
          <w:lang w:eastAsia="fr-FR"/>
        </w:rPr>
        <w:t>14.</w:t>
      </w:r>
      <w:r w:rsidRPr="00F80AA0">
        <w:rPr>
          <w:rFonts w:eastAsia="Times New Roman"/>
          <w:lang w:eastAsia="fr-FR"/>
        </w:rPr>
        <w:tab/>
        <w:t xml:space="preserve">Une révision </w:t>
      </w:r>
      <w:r>
        <w:rPr>
          <w:rFonts w:eastAsia="Times New Roman"/>
          <w:lang w:eastAsia="fr-FR"/>
        </w:rPr>
        <w:t xml:space="preserve">totale </w:t>
      </w:r>
      <w:r w:rsidRPr="00F80AA0">
        <w:rPr>
          <w:rFonts w:eastAsia="Times New Roman"/>
          <w:lang w:eastAsia="fr-FR"/>
        </w:rPr>
        <w:t>de la Convention de 1968 sur la signalisation routière</w:t>
      </w:r>
      <w:r>
        <w:rPr>
          <w:rFonts w:eastAsia="Times New Roman"/>
          <w:lang w:eastAsia="fr-FR"/>
        </w:rPr>
        <w:t xml:space="preserve"> et des </w:t>
      </w:r>
      <w:r w:rsidRPr="00F80AA0">
        <w:rPr>
          <w:rFonts w:eastAsia="Times New Roman"/>
          <w:lang w:eastAsia="fr-FR"/>
        </w:rPr>
        <w:t>Accords européens de 1971</w:t>
      </w:r>
      <w:r>
        <w:rPr>
          <w:rFonts w:eastAsia="Times New Roman"/>
          <w:lang w:eastAsia="fr-FR"/>
        </w:rPr>
        <w:t xml:space="preserve"> qui la complètent a été effectuée par le </w:t>
      </w:r>
      <w:r w:rsidRPr="00F80AA0">
        <w:rPr>
          <w:rFonts w:eastAsia="Times New Roman"/>
          <w:lang w:eastAsia="fr-FR"/>
        </w:rPr>
        <w:t>Groupe d</w:t>
      </w:r>
      <w:r w:rsidR="00616FE4">
        <w:rPr>
          <w:rFonts w:eastAsia="Times New Roman"/>
          <w:lang w:eastAsia="fr-FR"/>
        </w:rPr>
        <w:t>’</w:t>
      </w:r>
      <w:r w:rsidRPr="00F80AA0">
        <w:rPr>
          <w:rFonts w:eastAsia="Times New Roman"/>
          <w:lang w:eastAsia="fr-FR"/>
        </w:rPr>
        <w:t>experts de la signalisation routière</w:t>
      </w:r>
      <w:r>
        <w:rPr>
          <w:rFonts w:eastAsia="Times New Roman"/>
          <w:lang w:eastAsia="fr-FR"/>
        </w:rPr>
        <w:t xml:space="preserve">, </w:t>
      </w:r>
      <w:r w:rsidRPr="00522F0D">
        <w:rPr>
          <w:rFonts w:eastAsia="Times New Roman"/>
          <w:lang w:eastAsia="fr-FR"/>
        </w:rPr>
        <w:t>organe subsidiaire</w:t>
      </w:r>
      <w:r>
        <w:rPr>
          <w:rFonts w:eastAsia="Times New Roman"/>
          <w:lang w:eastAsia="fr-FR"/>
        </w:rPr>
        <w:t xml:space="preserve"> du </w:t>
      </w:r>
      <w:r w:rsidRPr="00522F0D">
        <w:rPr>
          <w:rFonts w:eastAsia="Times New Roman"/>
          <w:lang w:eastAsia="fr-FR"/>
        </w:rPr>
        <w:t xml:space="preserve">Forum mondial de la sécurité routière (WP.1). Le rapport final du groupe (ECE/TRANS/WP.1/2019/4) est disponible, de même </w:t>
      </w:r>
      <w:r>
        <w:rPr>
          <w:rFonts w:eastAsia="Times New Roman"/>
          <w:lang w:eastAsia="fr-FR"/>
        </w:rPr>
        <w:t>qu</w:t>
      </w:r>
      <w:r w:rsidR="00616FE4">
        <w:rPr>
          <w:rFonts w:eastAsia="Times New Roman"/>
          <w:lang w:eastAsia="fr-FR"/>
        </w:rPr>
        <w:t>’</w:t>
      </w:r>
      <w:r>
        <w:rPr>
          <w:rFonts w:eastAsia="Times New Roman"/>
          <w:lang w:eastAsia="fr-FR"/>
        </w:rPr>
        <w:t xml:space="preserve">une </w:t>
      </w:r>
      <w:r>
        <w:rPr>
          <w:rFonts w:eastAsia="Times New Roman"/>
          <w:lang w:eastAsia="fr-FR"/>
        </w:rPr>
        <w:lastRenderedPageBreak/>
        <w:t>série complète de propositions d</w:t>
      </w:r>
      <w:r w:rsidR="00616FE4">
        <w:rPr>
          <w:rFonts w:eastAsia="Times New Roman"/>
          <w:lang w:eastAsia="fr-FR"/>
        </w:rPr>
        <w:t>’</w:t>
      </w:r>
      <w:r>
        <w:rPr>
          <w:rFonts w:eastAsia="Times New Roman"/>
          <w:lang w:eastAsia="fr-FR"/>
        </w:rPr>
        <w:t xml:space="preserve">amendements </w:t>
      </w:r>
      <w:r w:rsidRPr="00522F0D">
        <w:rPr>
          <w:rFonts w:eastAsia="Times New Roman"/>
          <w:lang w:eastAsia="fr-FR"/>
        </w:rPr>
        <w:t xml:space="preserve">(ECE/TRANS/WP.1/2019/5) </w:t>
      </w:r>
      <w:r>
        <w:rPr>
          <w:rFonts w:eastAsia="Times New Roman"/>
          <w:lang w:eastAsia="fr-FR"/>
        </w:rPr>
        <w:t xml:space="preserve">qui doivent être examinés par les </w:t>
      </w:r>
      <w:r w:rsidR="004C6912">
        <w:rPr>
          <w:rFonts w:eastAsia="Times New Roman"/>
          <w:lang w:eastAsia="fr-FR"/>
        </w:rPr>
        <w:t>P</w:t>
      </w:r>
      <w:r>
        <w:rPr>
          <w:rFonts w:eastAsia="Times New Roman"/>
          <w:lang w:eastAsia="fr-FR"/>
        </w:rPr>
        <w:t xml:space="preserve">arties contractantes. En 2020, le groupe devrait se consacrer aux signaux routiers qui pourraient être utilement ajoutés à la </w:t>
      </w:r>
      <w:r w:rsidRPr="00522F0D">
        <w:rPr>
          <w:rFonts w:eastAsia="Times New Roman"/>
          <w:lang w:eastAsia="fr-FR"/>
        </w:rPr>
        <w:t>Convention de 1968.</w:t>
      </w:r>
    </w:p>
    <w:p w14:paraId="013AB4EA" w14:textId="77777777" w:rsidR="001E6D3C" w:rsidRPr="00385740" w:rsidRDefault="001E6D3C" w:rsidP="007B3A5A">
      <w:pPr>
        <w:pStyle w:val="SingleTxtG"/>
        <w:rPr>
          <w:lang w:eastAsia="fr-FR"/>
        </w:rPr>
      </w:pPr>
      <w:r w:rsidRPr="00385740">
        <w:rPr>
          <w:lang w:eastAsia="fr-FR"/>
        </w:rPr>
        <w:t>15.</w:t>
      </w:r>
      <w:r w:rsidRPr="00385740">
        <w:rPr>
          <w:lang w:eastAsia="fr-FR"/>
        </w:rPr>
        <w:tab/>
        <w:t xml:space="preserve">En outre, une version électronique de la Convention de 1968 sur la signalisation routière </w:t>
      </w:r>
      <w:r>
        <w:rPr>
          <w:lang w:eastAsia="fr-FR"/>
        </w:rPr>
        <w:t xml:space="preserve">intitulée </w:t>
      </w:r>
      <w:r w:rsidRPr="00385740">
        <w:rPr>
          <w:lang w:eastAsia="fr-FR"/>
        </w:rPr>
        <w:t>e-CoRSS a été mise au point par le WP.1 avec l</w:t>
      </w:r>
      <w:r w:rsidR="00616FE4">
        <w:rPr>
          <w:lang w:eastAsia="fr-FR"/>
        </w:rPr>
        <w:t>’</w:t>
      </w:r>
      <w:r w:rsidRPr="00385740">
        <w:rPr>
          <w:lang w:eastAsia="fr-FR"/>
        </w:rPr>
        <w:t>assistance du Groupe d</w:t>
      </w:r>
      <w:r w:rsidR="00616FE4">
        <w:rPr>
          <w:lang w:eastAsia="fr-FR"/>
        </w:rPr>
        <w:t>’</w:t>
      </w:r>
      <w:r w:rsidRPr="00385740">
        <w:rPr>
          <w:lang w:eastAsia="fr-FR"/>
        </w:rPr>
        <w:t xml:space="preserve">experts de la signalisation routière. </w:t>
      </w:r>
      <w:r>
        <w:rPr>
          <w:lang w:eastAsia="fr-FR"/>
        </w:rPr>
        <w:t xml:space="preserve">Elle devrait être accessible en ligne en </w:t>
      </w:r>
      <w:r w:rsidRPr="00385740">
        <w:rPr>
          <w:lang w:eastAsia="fr-FR"/>
        </w:rPr>
        <w:t>2020.</w:t>
      </w:r>
    </w:p>
    <w:p w14:paraId="443B2C4E" w14:textId="77777777" w:rsidR="001E6D3C" w:rsidRPr="00600414" w:rsidRDefault="001E6D3C" w:rsidP="007B3A5A">
      <w:pPr>
        <w:pStyle w:val="SingleTxtG"/>
      </w:pPr>
      <w:r w:rsidRPr="00385740">
        <w:rPr>
          <w:lang w:eastAsia="fr-FR"/>
        </w:rPr>
        <w:t>16.</w:t>
      </w:r>
      <w:r w:rsidRPr="00385740">
        <w:rPr>
          <w:lang w:eastAsia="fr-FR"/>
        </w:rPr>
        <w:tab/>
        <w:t>Le temps de conduite et les périodes de repos des conducteurs professionnels</w:t>
      </w:r>
      <w:r>
        <w:rPr>
          <w:lang w:eastAsia="fr-FR"/>
        </w:rPr>
        <w:t xml:space="preserve"> ont continué à être un élément important de la sécurité routière. En 2019, l</w:t>
      </w:r>
      <w:r w:rsidR="00616FE4">
        <w:rPr>
          <w:lang w:eastAsia="fr-FR"/>
        </w:rPr>
        <w:t>’</w:t>
      </w:r>
      <w:r>
        <w:rPr>
          <w:lang w:eastAsia="fr-FR"/>
        </w:rPr>
        <w:t xml:space="preserve">article 14 de </w:t>
      </w:r>
      <w:r w:rsidRPr="00385740">
        <w:rPr>
          <w:lang w:eastAsia="fr-FR"/>
        </w:rPr>
        <w:t>l</w:t>
      </w:r>
      <w:r w:rsidR="00616FE4">
        <w:rPr>
          <w:lang w:eastAsia="fr-FR"/>
        </w:rPr>
        <w:t>’</w:t>
      </w:r>
      <w:r>
        <w:rPr>
          <w:lang w:eastAsia="fr-FR"/>
        </w:rPr>
        <w:t>A</w:t>
      </w:r>
      <w:r w:rsidRPr="00385740">
        <w:rPr>
          <w:lang w:eastAsia="fr-FR"/>
        </w:rPr>
        <w:t>ccord européen relatif au travail des équipages des véhicules effectuant des transports internationaux par route</w:t>
      </w:r>
      <w:r>
        <w:rPr>
          <w:lang w:eastAsia="fr-FR"/>
        </w:rPr>
        <w:t xml:space="preserve"> </w:t>
      </w:r>
      <w:r w:rsidRPr="00385740">
        <w:rPr>
          <w:lang w:eastAsia="fr-FR"/>
        </w:rPr>
        <w:t xml:space="preserve">(AETR) a été amendé pour </w:t>
      </w:r>
      <w:r>
        <w:rPr>
          <w:lang w:eastAsia="fr-FR"/>
        </w:rPr>
        <w:t>permettre l</w:t>
      </w:r>
      <w:r w:rsidR="00616FE4">
        <w:rPr>
          <w:lang w:eastAsia="fr-FR"/>
        </w:rPr>
        <w:t>’</w:t>
      </w:r>
      <w:r>
        <w:rPr>
          <w:lang w:eastAsia="fr-FR"/>
        </w:rPr>
        <w:t>adhésion du Liban. Des progrès ont aussi été réalisés en vue de permettre à l</w:t>
      </w:r>
      <w:r w:rsidR="00616FE4">
        <w:rPr>
          <w:lang w:eastAsia="fr-FR"/>
        </w:rPr>
        <w:t>’</w:t>
      </w:r>
      <w:r w:rsidRPr="00385740">
        <w:t xml:space="preserve">Algérie, à Israël, </w:t>
      </w:r>
      <w:r>
        <w:t xml:space="preserve">à la </w:t>
      </w:r>
      <w:r w:rsidRPr="00385740">
        <w:t>Jordan</w:t>
      </w:r>
      <w:r>
        <w:t>ie</w:t>
      </w:r>
      <w:r w:rsidRPr="00385740">
        <w:t xml:space="preserve">, </w:t>
      </w:r>
      <w:r>
        <w:t xml:space="preserve">au </w:t>
      </w:r>
      <w:r w:rsidRPr="00385740">
        <w:t>M</w:t>
      </w:r>
      <w:r>
        <w:t>a</w:t>
      </w:r>
      <w:r w:rsidRPr="00385740">
        <w:t>roc</w:t>
      </w:r>
      <w:r>
        <w:t xml:space="preserve"> et à la </w:t>
      </w:r>
      <w:r w:rsidRPr="00385740">
        <w:t>Tunisi</w:t>
      </w:r>
      <w:r>
        <w:t xml:space="preserve">e de devenir parties à cet accord. </w:t>
      </w:r>
      <w:r w:rsidRPr="00600414">
        <w:t xml:space="preserve">Le Groupe de travail des transports routiers (SC.1) et son organe subsidiaire </w:t>
      </w:r>
      <w:r w:rsidR="00E87AAB">
        <w:t>−</w:t>
      </w:r>
      <w:r w:rsidRPr="00600414">
        <w:t xml:space="preserve"> le Groupe d</w:t>
      </w:r>
      <w:r w:rsidR="00616FE4">
        <w:t>’</w:t>
      </w:r>
      <w:r w:rsidRPr="00600414">
        <w:t>experts de l</w:t>
      </w:r>
      <w:r w:rsidR="00616FE4">
        <w:t>’</w:t>
      </w:r>
      <w:r w:rsidRPr="00600414">
        <w:t xml:space="preserve">AETR </w:t>
      </w:r>
      <w:r w:rsidR="00E87AAB">
        <w:t>−</w:t>
      </w:r>
      <w:r w:rsidRPr="00600414">
        <w:t xml:space="preserve"> </w:t>
      </w:r>
      <w:r w:rsidR="00150610">
        <w:t>ont</w:t>
      </w:r>
      <w:r w:rsidRPr="00600414">
        <w:t xml:space="preserve"> poursuivi </w:t>
      </w:r>
      <w:r w:rsidR="00150610">
        <w:t>leur</w:t>
      </w:r>
      <w:r w:rsidRPr="00600414">
        <w:t xml:space="preserve"> travail visant à</w:t>
      </w:r>
      <w:r>
        <w:t xml:space="preserve"> r</w:t>
      </w:r>
      <w:r w:rsidRPr="00600414">
        <w:t>approche</w:t>
      </w:r>
      <w:r>
        <w:t>r l</w:t>
      </w:r>
      <w:r w:rsidRPr="00600414">
        <w:t xml:space="preserve">es « régimes AETR » </w:t>
      </w:r>
      <w:r>
        <w:t xml:space="preserve">dans les </w:t>
      </w:r>
      <w:r w:rsidR="00150610">
        <w:t>P</w:t>
      </w:r>
      <w:r w:rsidRPr="00600414">
        <w:t>arties contractantes membres ou non de l</w:t>
      </w:r>
      <w:r w:rsidR="00616FE4">
        <w:t>’</w:t>
      </w:r>
      <w:r w:rsidRPr="00600414">
        <w:t>U</w:t>
      </w:r>
      <w:r>
        <w:t>E à la suite de l</w:t>
      </w:r>
      <w:r w:rsidR="00616FE4">
        <w:t>’</w:t>
      </w:r>
      <w:r>
        <w:t xml:space="preserve">introduction des </w:t>
      </w:r>
      <w:r w:rsidRPr="00600414">
        <w:t>tachygraphes intelligents</w:t>
      </w:r>
      <w:r>
        <w:t xml:space="preserve"> dans l</w:t>
      </w:r>
      <w:r w:rsidR="00616FE4">
        <w:t>’</w:t>
      </w:r>
      <w:r>
        <w:t>Union européenne en juin 2019.</w:t>
      </w:r>
    </w:p>
    <w:p w14:paraId="2D1F8820" w14:textId="77777777" w:rsidR="001E6D3C" w:rsidRPr="00CD13CD" w:rsidRDefault="007B3A5A" w:rsidP="007B3A5A">
      <w:pPr>
        <w:pStyle w:val="H23G"/>
      </w:pPr>
      <w:r>
        <w:tab/>
      </w:r>
      <w:r w:rsidR="001E6D3C" w:rsidRPr="00CD13CD">
        <w:t>3.</w:t>
      </w:r>
      <w:r w:rsidR="001E6D3C" w:rsidRPr="00CD13CD">
        <w:tab/>
        <w:t>Publication</w:t>
      </w:r>
    </w:p>
    <w:p w14:paraId="2DB6061F" w14:textId="77777777" w:rsidR="001E6D3C" w:rsidRPr="00CB4AE7" w:rsidRDefault="001E6D3C" w:rsidP="007B3A5A">
      <w:pPr>
        <w:pStyle w:val="SingleTxtG"/>
      </w:pPr>
      <w:r w:rsidRPr="00600414">
        <w:t>17.</w:t>
      </w:r>
      <w:r w:rsidRPr="00600414">
        <w:tab/>
        <w:t xml:space="preserve">Une nouvelle publication intitulée </w:t>
      </w:r>
      <w:r w:rsidR="00150610">
        <w:t>« </w:t>
      </w:r>
      <w:r w:rsidRPr="00600414">
        <w:t>Les dernières avancées en matière de sécurité routière pourraient réduire de moitié les décès par accident de la route un an avant la date limite de l</w:t>
      </w:r>
      <w:r w:rsidR="00616FE4">
        <w:t>’</w:t>
      </w:r>
      <w:r w:rsidRPr="00600414">
        <w:t xml:space="preserve">objectif de développement durable correspondant </w:t>
      </w:r>
      <w:r w:rsidR="00150610">
        <w:t>−</w:t>
      </w:r>
      <w:r w:rsidRPr="00600414">
        <w:t xml:space="preserve"> le système de sécurité pour rendre les routes plus sûres</w:t>
      </w:r>
      <w:r w:rsidR="00150610">
        <w:t> »</w:t>
      </w:r>
      <w:r w:rsidRPr="00600414">
        <w:t xml:space="preserve"> propose</w:t>
      </w:r>
      <w:r>
        <w:t xml:space="preserve"> un nouveau </w:t>
      </w:r>
      <w:r w:rsidRPr="00CB4AE7">
        <w:t>concept de systèmes nationaux</w:t>
      </w:r>
      <w:r w:rsidRPr="00600414">
        <w:t xml:space="preserve"> de sécurité routière</w:t>
      </w:r>
      <w:r>
        <w:t xml:space="preserve"> susceptible d</w:t>
      </w:r>
      <w:r w:rsidR="00616FE4">
        <w:t>’</w:t>
      </w:r>
      <w:r>
        <w:t>aider à affronter la crise mondiale de la sécurité routière au cours de la décennie débutant en 2020 en réponse à l</w:t>
      </w:r>
      <w:r w:rsidR="00616FE4">
        <w:t>’</w:t>
      </w:r>
      <w:r>
        <w:t>inquiétude de l</w:t>
      </w:r>
      <w:r w:rsidR="00616FE4">
        <w:t>’</w:t>
      </w:r>
      <w:r>
        <w:t>Assemblée générale concernant la non</w:t>
      </w:r>
      <w:r w:rsidR="00150610">
        <w:t>-</w:t>
      </w:r>
      <w:r>
        <w:t xml:space="preserve">atteinte de la cible </w:t>
      </w:r>
      <w:r w:rsidRPr="00CB4AE7">
        <w:t>3.6 des O</w:t>
      </w:r>
      <w:r>
        <w:t>D</w:t>
      </w:r>
      <w:r w:rsidRPr="00CB4AE7">
        <w:t>D</w:t>
      </w:r>
      <w:r>
        <w:t xml:space="preserve"> en </w:t>
      </w:r>
      <w:r w:rsidRPr="00CB4AE7">
        <w:t>2020</w:t>
      </w:r>
      <w:r w:rsidR="00150610" w:rsidRPr="00150610">
        <w:rPr>
          <w:rStyle w:val="FootnoteReference"/>
        </w:rPr>
        <w:footnoteReference w:id="3"/>
      </w:r>
      <w:r w:rsidR="00150610" w:rsidRPr="00CB4AE7">
        <w:t>.</w:t>
      </w:r>
      <w:r w:rsidRPr="00CB4AE7">
        <w:t xml:space="preserve"> </w:t>
      </w:r>
    </w:p>
    <w:p w14:paraId="3B15AC94" w14:textId="77777777" w:rsidR="001E6D3C" w:rsidRPr="005F611B" w:rsidRDefault="001E6D3C" w:rsidP="007B3A5A">
      <w:pPr>
        <w:pStyle w:val="SingleTxtG"/>
      </w:pPr>
      <w:r w:rsidRPr="00257363">
        <w:t>18.</w:t>
      </w:r>
      <w:r w:rsidRPr="00257363">
        <w:tab/>
        <w:t>Elle présente l</w:t>
      </w:r>
      <w:r w:rsidR="00616FE4">
        <w:t>’</w:t>
      </w:r>
      <w:r w:rsidRPr="00257363">
        <w:t>expérience de pays ayant obtenu de bons résultats en matière de sécurité routière</w:t>
      </w:r>
      <w:r>
        <w:t xml:space="preserve"> ainsi que les succès relatifs de la gestion de la sécurité dans les domaines du transport maritime et de l</w:t>
      </w:r>
      <w:r w:rsidR="00616FE4">
        <w:t>’</w:t>
      </w:r>
      <w:r>
        <w:t>aviation civile comparés aux efforts déployés pour améliorer la sécurité routière mondiale. On obtient ainsi une image complète des systèmes de sécurité routière susceptibles d</w:t>
      </w:r>
      <w:r w:rsidR="00616FE4">
        <w:t>’</w:t>
      </w:r>
      <w:r>
        <w:t>éviter des accidents de la route, de protéger les gens et de leur porter secours en cas d</w:t>
      </w:r>
      <w:r w:rsidR="00616FE4">
        <w:t>’</w:t>
      </w:r>
      <w:r>
        <w:t xml:space="preserve">accident, ainsi que de tirer tous les enseignements de ces accidents. </w:t>
      </w:r>
      <w:r w:rsidRPr="005F611B">
        <w:t xml:space="preserve">Ces systèmes comportent tous les éléments nécessaires au niveau national ainsi que </w:t>
      </w:r>
      <w:r>
        <w:t>des m</w:t>
      </w:r>
      <w:r w:rsidRPr="005F611B">
        <w:t>esures de soutien réglementaires</w:t>
      </w:r>
      <w:r>
        <w:t xml:space="preserve"> de la part du CTI et de ses organes subsidiaires. </w:t>
      </w:r>
    </w:p>
    <w:p w14:paraId="498A7106" w14:textId="77777777" w:rsidR="001E6D3C" w:rsidRPr="008E3FF9" w:rsidRDefault="001E6D3C" w:rsidP="007B3A5A">
      <w:pPr>
        <w:pStyle w:val="H1G"/>
        <w:rPr>
          <w:lang w:eastAsia="fr-FR"/>
        </w:rPr>
      </w:pPr>
      <w:r w:rsidRPr="00CD13CD">
        <w:rPr>
          <w:lang w:eastAsia="fr-FR"/>
        </w:rPr>
        <w:tab/>
      </w:r>
      <w:r w:rsidRPr="008E3FF9">
        <w:rPr>
          <w:lang w:eastAsia="fr-FR"/>
        </w:rPr>
        <w:t>C.</w:t>
      </w:r>
      <w:r w:rsidRPr="008E3FF9">
        <w:rPr>
          <w:lang w:eastAsia="fr-FR"/>
        </w:rPr>
        <w:tab/>
        <w:t>Transports routiers</w:t>
      </w:r>
    </w:p>
    <w:p w14:paraId="5F1EC30D" w14:textId="77777777" w:rsidR="001E6D3C" w:rsidRPr="008E3FF9" w:rsidRDefault="001E6D3C" w:rsidP="007B3A5A">
      <w:pPr>
        <w:pStyle w:val="H23G"/>
        <w:rPr>
          <w:lang w:eastAsia="fr-FR"/>
        </w:rPr>
      </w:pPr>
      <w:bookmarkStart w:id="4" w:name="_Hlk24617861"/>
      <w:bookmarkStart w:id="5" w:name="_Hlk24536599"/>
      <w:r w:rsidRPr="008E3FF9">
        <w:rPr>
          <w:lang w:eastAsia="fr-FR"/>
        </w:rPr>
        <w:tab/>
      </w:r>
      <w:r w:rsidRPr="008E3FF9">
        <w:rPr>
          <w:lang w:eastAsia="fr-FR"/>
        </w:rPr>
        <w:tab/>
      </w:r>
      <w:r w:rsidRPr="005F611B">
        <w:rPr>
          <w:lang w:eastAsia="fr-FR"/>
        </w:rPr>
        <w:t xml:space="preserve">Groupe de travail des transports routiers </w:t>
      </w:r>
      <w:r w:rsidRPr="008E3FF9">
        <w:rPr>
          <w:lang w:eastAsia="fr-FR"/>
        </w:rPr>
        <w:t>(SC.1)</w:t>
      </w:r>
    </w:p>
    <w:bookmarkEnd w:id="4"/>
    <w:p w14:paraId="3A2DBBB0" w14:textId="77777777" w:rsidR="001E6D3C" w:rsidRPr="00CD13CD" w:rsidRDefault="001E6D3C" w:rsidP="007B3A5A">
      <w:pPr>
        <w:pStyle w:val="SingleTxtG"/>
        <w:rPr>
          <w:lang w:eastAsia="fr-FR"/>
        </w:rPr>
      </w:pPr>
      <w:r w:rsidRPr="00D84D3C">
        <w:rPr>
          <w:lang w:eastAsia="fr-FR"/>
        </w:rPr>
        <w:t>19.</w:t>
      </w:r>
      <w:r w:rsidRPr="00D84D3C">
        <w:rPr>
          <w:lang w:eastAsia="fr-FR"/>
        </w:rPr>
        <w:tab/>
        <w:t>En 2019, il y a eu six adhésions au</w:t>
      </w:r>
      <w:r w:rsidRPr="00D84D3C">
        <w:rPr>
          <w:rFonts w:ascii="Segoe UI" w:hAnsi="Segoe UI" w:cs="Segoe UI"/>
        </w:rPr>
        <w:t xml:space="preserve"> </w:t>
      </w:r>
      <w:r w:rsidRPr="00D84D3C">
        <w:rPr>
          <w:lang w:eastAsia="fr-FR"/>
        </w:rPr>
        <w:t xml:space="preserve">Protocole additionnel à la Convention relative au contrat de transport international </w:t>
      </w:r>
      <w:r>
        <w:rPr>
          <w:lang w:eastAsia="fr-FR"/>
        </w:rPr>
        <w:t xml:space="preserve">de marchandises par route </w:t>
      </w:r>
      <w:r w:rsidRPr="00D84D3C">
        <w:rPr>
          <w:lang w:eastAsia="fr-FR"/>
        </w:rPr>
        <w:t>concernant la</w:t>
      </w:r>
      <w:r>
        <w:rPr>
          <w:lang w:eastAsia="fr-FR"/>
        </w:rPr>
        <w:t xml:space="preserve"> lettre de voiture électronique</w:t>
      </w:r>
      <w:r w:rsidRPr="00D84D3C">
        <w:rPr>
          <w:lang w:eastAsia="fr-FR"/>
        </w:rPr>
        <w:t xml:space="preserve"> (e-CMR). Cela porte à 23 le nombre total des </w:t>
      </w:r>
      <w:r w:rsidR="005C504A" w:rsidRPr="00D84D3C">
        <w:rPr>
          <w:lang w:eastAsia="fr-FR"/>
        </w:rPr>
        <w:t>P</w:t>
      </w:r>
      <w:r w:rsidRPr="00D84D3C">
        <w:rPr>
          <w:lang w:eastAsia="fr-FR"/>
        </w:rPr>
        <w:t>arties contractantes à cet instrument juridique, nombre qui a doubl</w:t>
      </w:r>
      <w:r>
        <w:rPr>
          <w:lang w:eastAsia="fr-FR"/>
        </w:rPr>
        <w:t>é au cours des deux dernières années, illustrant une tendance croissante en faveur du remplacement des documents sur papier par des documents électroniques.</w:t>
      </w:r>
    </w:p>
    <w:p w14:paraId="07863358" w14:textId="77777777" w:rsidR="001E6D3C" w:rsidRPr="000C4F0C" w:rsidRDefault="001E6D3C" w:rsidP="007B3A5A">
      <w:pPr>
        <w:pStyle w:val="SingleTxtG"/>
        <w:rPr>
          <w:lang w:eastAsia="fr-FR"/>
        </w:rPr>
      </w:pPr>
      <w:bookmarkStart w:id="6" w:name="_Hlk24539063"/>
      <w:r w:rsidRPr="000C4F0C">
        <w:rPr>
          <w:lang w:eastAsia="fr-FR"/>
        </w:rPr>
        <w:t>20.</w:t>
      </w:r>
      <w:r w:rsidRPr="000C4F0C">
        <w:rPr>
          <w:lang w:eastAsia="fr-FR"/>
        </w:rPr>
        <w:tab/>
        <w:t>Le SC.1</w:t>
      </w:r>
      <w:bookmarkEnd w:id="6"/>
      <w:r w:rsidRPr="000C4F0C">
        <w:rPr>
          <w:lang w:eastAsia="fr-FR"/>
        </w:rPr>
        <w:t xml:space="preserve"> a mis sur pied un groupe informel d</w:t>
      </w:r>
      <w:r w:rsidR="00616FE4">
        <w:rPr>
          <w:lang w:eastAsia="fr-FR"/>
        </w:rPr>
        <w:t>’</w:t>
      </w:r>
      <w:r w:rsidRPr="000C4F0C">
        <w:rPr>
          <w:lang w:eastAsia="fr-FR"/>
        </w:rPr>
        <w:t>experts chargés d</w:t>
      </w:r>
      <w:r w:rsidR="00616FE4">
        <w:rPr>
          <w:lang w:eastAsia="fr-FR"/>
        </w:rPr>
        <w:t>’</w:t>
      </w:r>
      <w:r>
        <w:rPr>
          <w:lang w:eastAsia="fr-FR"/>
        </w:rPr>
        <w:t>établ</w:t>
      </w:r>
      <w:r w:rsidRPr="000C4F0C">
        <w:rPr>
          <w:lang w:eastAsia="fr-FR"/>
        </w:rPr>
        <w:t xml:space="preserve">ir un document </w:t>
      </w:r>
      <w:r>
        <w:rPr>
          <w:lang w:eastAsia="fr-FR"/>
        </w:rPr>
        <w:t>faisant le point sur le recherche et d</w:t>
      </w:r>
      <w:r w:rsidR="00616FE4">
        <w:rPr>
          <w:lang w:eastAsia="fr-FR"/>
        </w:rPr>
        <w:t>’</w:t>
      </w:r>
      <w:r>
        <w:rPr>
          <w:lang w:eastAsia="fr-FR"/>
        </w:rPr>
        <w:t xml:space="preserve">autres actions recommandées pour rendre opérationnelle la </w:t>
      </w:r>
      <w:r w:rsidRPr="000C4F0C">
        <w:rPr>
          <w:lang w:eastAsia="fr-FR"/>
        </w:rPr>
        <w:t xml:space="preserve">lettre de voiture électronique e-CMR, qui sera présenté à une future session du Comité. </w:t>
      </w:r>
    </w:p>
    <w:p w14:paraId="426C79BB" w14:textId="77777777" w:rsidR="001E6D3C" w:rsidRPr="000C4F0C" w:rsidRDefault="001E6D3C" w:rsidP="007B3A5A">
      <w:pPr>
        <w:pStyle w:val="SingleTxtG"/>
        <w:rPr>
          <w:lang w:eastAsia="fr-FR"/>
        </w:rPr>
      </w:pPr>
      <w:r w:rsidRPr="000C4F0C">
        <w:rPr>
          <w:lang w:eastAsia="fr-FR"/>
        </w:rPr>
        <w:t>21.</w:t>
      </w:r>
      <w:r w:rsidRPr="000C4F0C">
        <w:rPr>
          <w:lang w:eastAsia="fr-FR"/>
        </w:rPr>
        <w:tab/>
        <w:t xml:space="preserve">Le SC.1 a </w:t>
      </w:r>
      <w:r>
        <w:rPr>
          <w:lang w:eastAsia="fr-FR"/>
        </w:rPr>
        <w:t>révisé s</w:t>
      </w:r>
      <w:r w:rsidRPr="000C4F0C">
        <w:rPr>
          <w:lang w:eastAsia="fr-FR"/>
        </w:rPr>
        <w:t xml:space="preserve">es activités dans le contexte de la </w:t>
      </w:r>
      <w:r w:rsidR="000C58F1" w:rsidRPr="000C4F0C">
        <w:rPr>
          <w:lang w:eastAsia="fr-FR"/>
        </w:rPr>
        <w:t>S</w:t>
      </w:r>
      <w:r w:rsidRPr="000C4F0C">
        <w:rPr>
          <w:lang w:eastAsia="fr-FR"/>
        </w:rPr>
        <w:t>tratégie du CTI</w:t>
      </w:r>
      <w:r>
        <w:rPr>
          <w:lang w:eastAsia="fr-FR"/>
        </w:rPr>
        <w:t xml:space="preserve"> et décidé d</w:t>
      </w:r>
      <w:r w:rsidR="00616FE4">
        <w:rPr>
          <w:lang w:eastAsia="fr-FR"/>
        </w:rPr>
        <w:t>’</w:t>
      </w:r>
      <w:r>
        <w:rPr>
          <w:lang w:eastAsia="fr-FR"/>
        </w:rPr>
        <w:t xml:space="preserve">inclure désormais </w:t>
      </w:r>
      <w:r w:rsidRPr="000C4F0C">
        <w:rPr>
          <w:lang w:eastAsia="fr-FR"/>
        </w:rPr>
        <w:t>la question de la sécurité et de la durabilité des infrastructures routières à l</w:t>
      </w:r>
      <w:r w:rsidR="00616FE4">
        <w:rPr>
          <w:lang w:eastAsia="fr-FR"/>
        </w:rPr>
        <w:t>’</w:t>
      </w:r>
      <w:r w:rsidRPr="000C4F0C">
        <w:rPr>
          <w:lang w:eastAsia="fr-FR"/>
        </w:rPr>
        <w:t>ordre du jour de ses futures sessions</w:t>
      </w:r>
      <w:r>
        <w:rPr>
          <w:lang w:eastAsia="fr-FR"/>
        </w:rPr>
        <w:t xml:space="preserve">. </w:t>
      </w:r>
      <w:r w:rsidRPr="000C4F0C">
        <w:rPr>
          <w:lang w:eastAsia="fr-FR"/>
        </w:rPr>
        <w:t xml:space="preserve">Il </w:t>
      </w:r>
      <w:r>
        <w:rPr>
          <w:lang w:eastAsia="fr-FR"/>
        </w:rPr>
        <w:t xml:space="preserve">a aussi </w:t>
      </w:r>
      <w:r w:rsidRPr="000C4F0C">
        <w:rPr>
          <w:lang w:eastAsia="fr-FR"/>
        </w:rPr>
        <w:t>affirmé son rôle d</w:t>
      </w:r>
      <w:r w:rsidR="00616FE4">
        <w:rPr>
          <w:lang w:eastAsia="fr-FR"/>
        </w:rPr>
        <w:t>’</w:t>
      </w:r>
      <w:r w:rsidRPr="000C4F0C">
        <w:rPr>
          <w:lang w:eastAsia="fr-FR"/>
        </w:rPr>
        <w:t>instance régionale de partage d</w:t>
      </w:r>
      <w:r w:rsidR="00616FE4">
        <w:rPr>
          <w:lang w:eastAsia="fr-FR"/>
        </w:rPr>
        <w:t>’</w:t>
      </w:r>
      <w:r w:rsidRPr="000C4F0C">
        <w:rPr>
          <w:lang w:eastAsia="fr-FR"/>
        </w:rPr>
        <w:t>informations sur les routes intelligentes et d</w:t>
      </w:r>
      <w:r w:rsidR="00616FE4">
        <w:rPr>
          <w:lang w:eastAsia="fr-FR"/>
        </w:rPr>
        <w:t>’</w:t>
      </w:r>
      <w:r w:rsidRPr="000C4F0C">
        <w:rPr>
          <w:lang w:eastAsia="fr-FR"/>
        </w:rPr>
        <w:t xml:space="preserve">autres aspects de la numérisation, notamment ceux liés aux services et documents de transport routier.  </w:t>
      </w:r>
    </w:p>
    <w:bookmarkEnd w:id="5"/>
    <w:p w14:paraId="5686CEB4" w14:textId="77777777" w:rsidR="001E6D3C" w:rsidRPr="00CD13CD" w:rsidRDefault="001E6D3C" w:rsidP="007B3A5A">
      <w:pPr>
        <w:pStyle w:val="H1G"/>
        <w:rPr>
          <w:lang w:eastAsia="fr-FR"/>
        </w:rPr>
      </w:pPr>
      <w:r w:rsidRPr="000C4F0C">
        <w:rPr>
          <w:lang w:eastAsia="fr-FR"/>
        </w:rPr>
        <w:lastRenderedPageBreak/>
        <w:tab/>
      </w:r>
      <w:r w:rsidRPr="00CD13CD">
        <w:rPr>
          <w:lang w:eastAsia="fr-FR"/>
        </w:rPr>
        <w:t>D.</w:t>
      </w:r>
      <w:r w:rsidRPr="00CD13CD">
        <w:rPr>
          <w:lang w:eastAsia="fr-FR"/>
        </w:rPr>
        <w:tab/>
        <w:t>Transport</w:t>
      </w:r>
      <w:r w:rsidRPr="001E1017">
        <w:rPr>
          <w:lang w:eastAsia="fr-FR"/>
        </w:rPr>
        <w:t>s par chemin de fer</w:t>
      </w:r>
      <w:r w:rsidRPr="00CD13CD">
        <w:rPr>
          <w:lang w:eastAsia="fr-FR"/>
        </w:rPr>
        <w:t xml:space="preserve"> </w:t>
      </w:r>
    </w:p>
    <w:p w14:paraId="0CB4AC15" w14:textId="77777777" w:rsidR="001E6D3C" w:rsidRPr="000C4F0C" w:rsidRDefault="001E6D3C" w:rsidP="007B3A5A">
      <w:pPr>
        <w:pStyle w:val="H23G"/>
        <w:rPr>
          <w:lang w:eastAsia="zh-CN"/>
        </w:rPr>
      </w:pPr>
      <w:bookmarkStart w:id="7" w:name="_Hlk24617890"/>
      <w:r w:rsidRPr="00CD13CD">
        <w:rPr>
          <w:lang w:eastAsia="zh-CN"/>
        </w:rPr>
        <w:tab/>
      </w:r>
      <w:r w:rsidRPr="00CD13CD">
        <w:rPr>
          <w:lang w:eastAsia="zh-CN"/>
        </w:rPr>
        <w:tab/>
      </w:r>
      <w:r w:rsidRPr="001E1017">
        <w:rPr>
          <w:lang w:eastAsia="zh-CN"/>
        </w:rPr>
        <w:t>Transports par chemin de fer</w:t>
      </w:r>
    </w:p>
    <w:bookmarkEnd w:id="7"/>
    <w:p w14:paraId="0A3A4932" w14:textId="77777777" w:rsidR="001E6D3C" w:rsidRDefault="001E6D3C" w:rsidP="007B3A5A">
      <w:pPr>
        <w:pStyle w:val="SingleTxtG"/>
        <w:rPr>
          <w:lang w:eastAsia="zh-CN"/>
        </w:rPr>
      </w:pPr>
      <w:r w:rsidRPr="000C4F0C">
        <w:rPr>
          <w:lang w:eastAsia="zh-CN"/>
        </w:rPr>
        <w:t>22.</w:t>
      </w:r>
      <w:r w:rsidRPr="000C4F0C">
        <w:rPr>
          <w:lang w:eastAsia="zh-CN"/>
        </w:rPr>
        <w:tab/>
        <w:t>S</w:t>
      </w:r>
      <w:r w:rsidR="00616FE4">
        <w:rPr>
          <w:lang w:eastAsia="zh-CN"/>
        </w:rPr>
        <w:t>’</w:t>
      </w:r>
      <w:r w:rsidRPr="000C4F0C">
        <w:rPr>
          <w:lang w:eastAsia="zh-CN"/>
        </w:rPr>
        <w:t>appuyant sur le</w:t>
      </w:r>
      <w:r>
        <w:rPr>
          <w:lang w:eastAsia="zh-CN"/>
        </w:rPr>
        <w:t>s</w:t>
      </w:r>
      <w:r w:rsidRPr="000C4F0C">
        <w:rPr>
          <w:lang w:eastAsia="zh-CN"/>
        </w:rPr>
        <w:t xml:space="preserve"> succès </w:t>
      </w:r>
      <w:r>
        <w:rPr>
          <w:lang w:eastAsia="zh-CN"/>
        </w:rPr>
        <w:t>des années précédentes</w:t>
      </w:r>
      <w:r w:rsidRPr="000C4F0C">
        <w:rPr>
          <w:lang w:eastAsia="zh-CN"/>
        </w:rPr>
        <w:t>, le Groupe de travail des transports par chemin de fer</w:t>
      </w:r>
      <w:r>
        <w:rPr>
          <w:lang w:eastAsia="zh-CN"/>
        </w:rPr>
        <w:t xml:space="preserve"> a continué à </w:t>
      </w:r>
      <w:r w:rsidRPr="00C10005">
        <w:rPr>
          <w:lang w:eastAsia="zh-CN"/>
        </w:rPr>
        <w:t>fournir une analyse très pointue</w:t>
      </w:r>
      <w:r>
        <w:rPr>
          <w:lang w:eastAsia="zh-CN"/>
        </w:rPr>
        <w:t xml:space="preserve"> et des contributions réglementaires au secteur. En marge de la session de Groupe de travail s</w:t>
      </w:r>
      <w:r w:rsidR="00616FE4">
        <w:rPr>
          <w:lang w:eastAsia="zh-CN"/>
        </w:rPr>
        <w:t>’</w:t>
      </w:r>
      <w:r>
        <w:rPr>
          <w:lang w:eastAsia="zh-CN"/>
        </w:rPr>
        <w:t xml:space="preserve">est tenu un atelier </w:t>
      </w:r>
      <w:r w:rsidRPr="00C10005">
        <w:rPr>
          <w:lang w:eastAsia="zh-CN"/>
        </w:rPr>
        <w:t xml:space="preserve">sur le thème </w:t>
      </w:r>
      <w:r w:rsidR="006230B1">
        <w:rPr>
          <w:lang w:eastAsia="zh-CN"/>
        </w:rPr>
        <w:t>« </w:t>
      </w:r>
      <w:r w:rsidRPr="00C10005">
        <w:rPr>
          <w:lang w:eastAsia="zh-CN"/>
        </w:rPr>
        <w:t>Rendre le fret ferroviaire plus compétitif et coordonner le développement du réseau ferroviaire en mettant l</w:t>
      </w:r>
      <w:r w:rsidR="00616FE4">
        <w:rPr>
          <w:lang w:eastAsia="zh-CN"/>
        </w:rPr>
        <w:t>’</w:t>
      </w:r>
      <w:r w:rsidRPr="00C10005">
        <w:rPr>
          <w:lang w:eastAsia="zh-CN"/>
        </w:rPr>
        <w:t>accent sur les moyens de coopérer aux niveaux gouvernemental et sectoriel dans le domaine des liaisons de transport Europe</w:t>
      </w:r>
      <w:r w:rsidR="006230B1">
        <w:rPr>
          <w:lang w:eastAsia="zh-CN"/>
        </w:rPr>
        <w:noBreakHyphen/>
      </w:r>
      <w:r w:rsidRPr="00C10005">
        <w:rPr>
          <w:lang w:eastAsia="zh-CN"/>
        </w:rPr>
        <w:t>Asie</w:t>
      </w:r>
      <w:r w:rsidR="006230B1">
        <w:rPr>
          <w:lang w:eastAsia="zh-CN"/>
        </w:rPr>
        <w:t> »</w:t>
      </w:r>
      <w:r>
        <w:rPr>
          <w:lang w:eastAsia="zh-CN"/>
        </w:rPr>
        <w:t>. Plus de 60 délégués ont procédé à un échange de vues, de meilleures pratiques et d</w:t>
      </w:r>
      <w:r w:rsidR="00616FE4">
        <w:rPr>
          <w:lang w:eastAsia="zh-CN"/>
        </w:rPr>
        <w:t>’</w:t>
      </w:r>
      <w:r>
        <w:rPr>
          <w:lang w:eastAsia="zh-CN"/>
        </w:rPr>
        <w:t>exemples concrets sur la meilleure manière d</w:t>
      </w:r>
      <w:r w:rsidR="00616FE4">
        <w:rPr>
          <w:lang w:eastAsia="zh-CN"/>
        </w:rPr>
        <w:t>’</w:t>
      </w:r>
      <w:r>
        <w:rPr>
          <w:lang w:eastAsia="zh-CN"/>
        </w:rPr>
        <w:t>améliorer la compétitivité du fret et d</w:t>
      </w:r>
      <w:r w:rsidR="00616FE4">
        <w:rPr>
          <w:lang w:eastAsia="zh-CN"/>
        </w:rPr>
        <w:t>’</w:t>
      </w:r>
      <w:r>
        <w:rPr>
          <w:lang w:eastAsia="zh-CN"/>
        </w:rPr>
        <w:t xml:space="preserve">accroître la part de marché du chemin de fer dans le </w:t>
      </w:r>
      <w:r w:rsidRPr="00C10005">
        <w:rPr>
          <w:lang w:eastAsia="zh-CN"/>
        </w:rPr>
        <w:t xml:space="preserve">transport </w:t>
      </w:r>
      <w:r>
        <w:rPr>
          <w:lang w:eastAsia="zh-CN"/>
        </w:rPr>
        <w:t xml:space="preserve">est-ouest, en particulier dans les </w:t>
      </w:r>
      <w:r w:rsidRPr="00C10005">
        <w:rPr>
          <w:lang w:eastAsia="zh-CN"/>
        </w:rPr>
        <w:t>pays sans littoral</w:t>
      </w:r>
      <w:r>
        <w:rPr>
          <w:lang w:eastAsia="zh-CN"/>
        </w:rPr>
        <w:t>. Les travaux se sont aussi poursuivis pour mettre la dernière main à un instrument juridique</w:t>
      </w:r>
      <w:r w:rsidRPr="003D118B">
        <w:rPr>
          <w:rFonts w:ascii="Segoe UI" w:hAnsi="Segoe UI" w:cs="Segoe UI"/>
        </w:rPr>
        <w:t xml:space="preserve"> </w:t>
      </w:r>
      <w:r w:rsidRPr="003D118B">
        <w:rPr>
          <w:lang w:eastAsia="zh-CN"/>
        </w:rPr>
        <w:t>visant à unifier le droit ferroviaire</w:t>
      </w:r>
      <w:r>
        <w:rPr>
          <w:lang w:eastAsia="zh-CN"/>
        </w:rPr>
        <w:t xml:space="preserve"> dans le but de rendre le transport par chemin de fer plus compétitif; le texte d</w:t>
      </w:r>
      <w:r w:rsidR="00616FE4">
        <w:rPr>
          <w:lang w:eastAsia="zh-CN"/>
        </w:rPr>
        <w:t>’</w:t>
      </w:r>
      <w:r>
        <w:rPr>
          <w:lang w:eastAsia="zh-CN"/>
        </w:rPr>
        <w:t xml:space="preserve">une </w:t>
      </w:r>
      <w:r w:rsidRPr="003D118B">
        <w:rPr>
          <w:lang w:eastAsia="zh-CN"/>
        </w:rPr>
        <w:t>convention relative au contrat de transport</w:t>
      </w:r>
      <w:r>
        <w:rPr>
          <w:lang w:eastAsia="zh-CN"/>
        </w:rPr>
        <w:t xml:space="preserve"> est en cours de négociation. </w:t>
      </w:r>
    </w:p>
    <w:p w14:paraId="7916B30A" w14:textId="77777777" w:rsidR="001E6D3C" w:rsidRDefault="001E6D3C" w:rsidP="007B3A5A">
      <w:pPr>
        <w:pStyle w:val="SingleTxtG"/>
        <w:rPr>
          <w:lang w:eastAsia="zh-CN"/>
        </w:rPr>
      </w:pPr>
      <w:r>
        <w:rPr>
          <w:lang w:eastAsia="zh-CN"/>
        </w:rPr>
        <w:t>2</w:t>
      </w:r>
      <w:r w:rsidRPr="00124F98">
        <w:rPr>
          <w:lang w:eastAsia="zh-CN"/>
        </w:rPr>
        <w:t>3.</w:t>
      </w:r>
      <w:r w:rsidRPr="00124F98">
        <w:rPr>
          <w:lang w:eastAsia="zh-CN"/>
        </w:rPr>
        <w:tab/>
        <w:t>L</w:t>
      </w:r>
      <w:r w:rsidR="00616FE4">
        <w:rPr>
          <w:lang w:eastAsia="zh-CN"/>
        </w:rPr>
        <w:t>’</w:t>
      </w:r>
      <w:r w:rsidRPr="00124F98">
        <w:rPr>
          <w:lang w:eastAsia="zh-CN"/>
        </w:rPr>
        <w:t>Accord européen sur les grandes lignes internationales de chemin de fer (AGC)</w:t>
      </w:r>
      <w:r>
        <w:rPr>
          <w:lang w:eastAsia="zh-CN"/>
        </w:rPr>
        <w:t xml:space="preserve"> est en cours d</w:t>
      </w:r>
      <w:r w:rsidR="00616FE4">
        <w:rPr>
          <w:lang w:eastAsia="zh-CN"/>
        </w:rPr>
        <w:t>’</w:t>
      </w:r>
      <w:r>
        <w:rPr>
          <w:lang w:eastAsia="zh-CN"/>
        </w:rPr>
        <w:t>actualisation pour faciliter son utilisation par les États membres et pour susciter de nouvelles adhésions. Ce travail se poursuivra par la mise à jour de l</w:t>
      </w:r>
      <w:r w:rsidR="00616FE4">
        <w:rPr>
          <w:lang w:eastAsia="zh-CN"/>
        </w:rPr>
        <w:t>’</w:t>
      </w:r>
      <w:r>
        <w:rPr>
          <w:lang w:eastAsia="zh-CN"/>
        </w:rPr>
        <w:t xml:space="preserve">outil de paramétrage en ligne commun </w:t>
      </w:r>
      <w:r w:rsidRPr="00124F98">
        <w:rPr>
          <w:lang w:eastAsia="zh-CN"/>
        </w:rPr>
        <w:t>AGC-AGTC</w:t>
      </w:r>
      <w:r>
        <w:rPr>
          <w:lang w:eastAsia="zh-CN"/>
        </w:rPr>
        <w:t xml:space="preserve">, qui rend les informations techniques liées au rail plus transparentes pour les opérateurs. </w:t>
      </w:r>
    </w:p>
    <w:p w14:paraId="76DF8974" w14:textId="77777777" w:rsidR="001E6D3C" w:rsidRPr="007B116F" w:rsidRDefault="001E6D3C" w:rsidP="007B3A5A">
      <w:pPr>
        <w:pStyle w:val="SingleTxtG"/>
        <w:rPr>
          <w:lang w:eastAsia="zh-CN"/>
        </w:rPr>
      </w:pPr>
      <w:r w:rsidRPr="007B116F">
        <w:rPr>
          <w:lang w:eastAsia="zh-CN"/>
        </w:rPr>
        <w:t>24.</w:t>
      </w:r>
      <w:r w:rsidRPr="007B116F">
        <w:rPr>
          <w:lang w:eastAsia="zh-CN"/>
        </w:rPr>
        <w:tab/>
        <w:t>Des discussions sur le financement de l</w:t>
      </w:r>
      <w:r w:rsidR="00616FE4">
        <w:rPr>
          <w:lang w:eastAsia="zh-CN"/>
        </w:rPr>
        <w:t>’</w:t>
      </w:r>
      <w:r w:rsidRPr="007B116F">
        <w:rPr>
          <w:lang w:eastAsia="zh-CN"/>
        </w:rPr>
        <w:t>infrastructure ferroviaire</w:t>
      </w:r>
      <w:r>
        <w:rPr>
          <w:lang w:eastAsia="zh-CN"/>
        </w:rPr>
        <w:t xml:space="preserve"> se sont tenues à propos du rôle actuel et futur du </w:t>
      </w:r>
      <w:r w:rsidRPr="007B116F">
        <w:rPr>
          <w:lang w:eastAsia="zh-CN"/>
        </w:rPr>
        <w:t xml:space="preserve">Protocole de Luxembourg à la Convention du Cap relative aux garanties internationales portant sur </w:t>
      </w:r>
      <w:r>
        <w:rPr>
          <w:lang w:eastAsia="zh-CN"/>
        </w:rPr>
        <w:t>l</w:t>
      </w:r>
      <w:r w:rsidRPr="007B116F">
        <w:rPr>
          <w:lang w:eastAsia="zh-CN"/>
        </w:rPr>
        <w:t>es matériels d</w:t>
      </w:r>
      <w:r w:rsidR="00616FE4">
        <w:rPr>
          <w:lang w:eastAsia="zh-CN"/>
        </w:rPr>
        <w:t>’</w:t>
      </w:r>
      <w:r w:rsidRPr="007B116F">
        <w:rPr>
          <w:lang w:eastAsia="zh-CN"/>
        </w:rPr>
        <w:t xml:space="preserve">équipement mobiles </w:t>
      </w:r>
      <w:r>
        <w:rPr>
          <w:lang w:eastAsia="zh-CN"/>
        </w:rPr>
        <w:t xml:space="preserve">et la manière dont les États membres peuvent faciliter le renouvellement de leurs parcs de matériel roulant. </w:t>
      </w:r>
    </w:p>
    <w:p w14:paraId="78A92D09" w14:textId="77777777" w:rsidR="001E6D3C" w:rsidRPr="00CD13CD" w:rsidRDefault="001E6D3C" w:rsidP="007B3A5A">
      <w:pPr>
        <w:pStyle w:val="SingleTxtG"/>
        <w:rPr>
          <w:lang w:eastAsia="zh-CN"/>
        </w:rPr>
      </w:pPr>
      <w:r w:rsidRPr="007B116F">
        <w:rPr>
          <w:lang w:eastAsia="zh-CN"/>
        </w:rPr>
        <w:t>25.</w:t>
      </w:r>
      <w:r w:rsidRPr="007B116F">
        <w:rPr>
          <w:lang w:eastAsia="zh-CN"/>
        </w:rPr>
        <w:tab/>
        <w:t>La Convention</w:t>
      </w:r>
      <w:r w:rsidRPr="007B116F">
        <w:t xml:space="preserve"> visant à faciliter le franchissement des frontières nationales </w:t>
      </w:r>
      <w:r w:rsidRPr="007B116F">
        <w:rPr>
          <w:lang w:eastAsia="zh-CN"/>
        </w:rPr>
        <w:t>par voie ferrée</w:t>
      </w:r>
      <w:r w:rsidRPr="007B116F">
        <w:rPr>
          <w:rFonts w:ascii="Segoe UI" w:hAnsi="Segoe UI" w:cs="Segoe UI"/>
        </w:rPr>
        <w:t xml:space="preserve"> </w:t>
      </w:r>
      <w:r w:rsidRPr="007B116F">
        <w:rPr>
          <w:lang w:eastAsia="zh-CN"/>
        </w:rPr>
        <w:t>pour les voyageurs et leurs bagages</w:t>
      </w:r>
      <w:r>
        <w:rPr>
          <w:lang w:eastAsia="zh-CN"/>
        </w:rPr>
        <w:t xml:space="preserve"> a été finalisée et ouvert aux signatures. Cette </w:t>
      </w:r>
      <w:r w:rsidR="0005728F">
        <w:rPr>
          <w:lang w:eastAsia="zh-CN"/>
        </w:rPr>
        <w:t>cinquante-neuvième</w:t>
      </w:r>
      <w:r>
        <w:rPr>
          <w:lang w:eastAsia="zh-CN"/>
        </w:rPr>
        <w:t xml:space="preserve"> </w:t>
      </w:r>
      <w:r w:rsidR="0005728F">
        <w:rPr>
          <w:lang w:eastAsia="zh-CN"/>
        </w:rPr>
        <w:t>C</w:t>
      </w:r>
      <w:r>
        <w:rPr>
          <w:lang w:eastAsia="zh-CN"/>
        </w:rPr>
        <w:t>onvention de la CEE facilitera le déplacement international des passagers sur le réseau, permettant d</w:t>
      </w:r>
      <w:r w:rsidR="00616FE4">
        <w:rPr>
          <w:lang w:eastAsia="zh-CN"/>
        </w:rPr>
        <w:t>’</w:t>
      </w:r>
      <w:r>
        <w:rPr>
          <w:lang w:eastAsia="zh-CN"/>
        </w:rPr>
        <w:t>accroître la part de marché du secteur et de faciliter la réduction ultérieure des émissions de CO</w:t>
      </w:r>
      <w:r w:rsidRPr="001A58B8">
        <w:rPr>
          <w:vertAlign w:val="subscript"/>
          <w:lang w:eastAsia="zh-CN"/>
        </w:rPr>
        <w:t>2</w:t>
      </w:r>
      <w:r>
        <w:rPr>
          <w:lang w:eastAsia="zh-CN"/>
        </w:rPr>
        <w:t xml:space="preserve"> ainsi que la réalisation des objectifs du programme de développement durable.</w:t>
      </w:r>
    </w:p>
    <w:p w14:paraId="0D31A2E4" w14:textId="77777777" w:rsidR="001E6D3C" w:rsidRDefault="001E6D3C" w:rsidP="007B3A5A">
      <w:pPr>
        <w:pStyle w:val="SingleTxtG"/>
        <w:rPr>
          <w:lang w:eastAsia="fr-FR"/>
        </w:rPr>
      </w:pPr>
      <w:r w:rsidRPr="001A58B8">
        <w:rPr>
          <w:lang w:eastAsia="fr-FR"/>
        </w:rPr>
        <w:t>26.</w:t>
      </w:r>
      <w:r w:rsidRPr="001A58B8">
        <w:rPr>
          <w:lang w:eastAsia="fr-FR"/>
        </w:rPr>
        <w:tab/>
        <w:t xml:space="preserve">Le Groupe de travail des transports par chemin de fer (SC.2) a poursuivi ses </w:t>
      </w:r>
      <w:r>
        <w:rPr>
          <w:lang w:eastAsia="fr-FR"/>
        </w:rPr>
        <w:t xml:space="preserve">efforts </w:t>
      </w:r>
      <w:r w:rsidRPr="001A58B8">
        <w:rPr>
          <w:lang w:eastAsia="fr-FR"/>
        </w:rPr>
        <w:t>pour uniformiser le droit ferroviaire</w:t>
      </w:r>
      <w:r>
        <w:rPr>
          <w:lang w:eastAsia="fr-FR"/>
        </w:rPr>
        <w:t xml:space="preserve"> par l</w:t>
      </w:r>
      <w:r w:rsidR="00616FE4">
        <w:rPr>
          <w:lang w:eastAsia="fr-FR"/>
        </w:rPr>
        <w:t>’</w:t>
      </w:r>
      <w:r>
        <w:rPr>
          <w:lang w:eastAsia="fr-FR"/>
        </w:rPr>
        <w:t>intermédiaire de son groupe d</w:t>
      </w:r>
      <w:r w:rsidR="00616FE4">
        <w:rPr>
          <w:lang w:eastAsia="fr-FR"/>
        </w:rPr>
        <w:t>’</w:t>
      </w:r>
      <w:r>
        <w:rPr>
          <w:lang w:eastAsia="fr-FR"/>
        </w:rPr>
        <w:t>experts comprenant des représentants de gouvernements, d</w:t>
      </w:r>
      <w:r w:rsidR="00616FE4">
        <w:rPr>
          <w:lang w:eastAsia="fr-FR"/>
        </w:rPr>
        <w:t>’</w:t>
      </w:r>
      <w:r>
        <w:rPr>
          <w:lang w:eastAsia="fr-FR"/>
        </w:rPr>
        <w:t>organisations internationales et du secteur des transports.</w:t>
      </w:r>
      <w:r w:rsidRPr="001A58B8">
        <w:rPr>
          <w:lang w:eastAsia="fr-FR"/>
        </w:rPr>
        <w:t xml:space="preserve"> </w:t>
      </w:r>
      <w:r>
        <w:rPr>
          <w:lang w:eastAsia="fr-FR"/>
        </w:rPr>
        <w:t xml:space="preserve">Le </w:t>
      </w:r>
      <w:r w:rsidRPr="001A58B8">
        <w:rPr>
          <w:lang w:eastAsia="fr-FR"/>
        </w:rPr>
        <w:t>groupe d</w:t>
      </w:r>
      <w:r w:rsidR="00616FE4">
        <w:rPr>
          <w:lang w:eastAsia="fr-FR"/>
        </w:rPr>
        <w:t>’</w:t>
      </w:r>
      <w:r w:rsidRPr="001A58B8">
        <w:rPr>
          <w:lang w:eastAsia="fr-FR"/>
        </w:rPr>
        <w:t>experts</w:t>
      </w:r>
      <w:r>
        <w:rPr>
          <w:lang w:eastAsia="fr-FR"/>
        </w:rPr>
        <w:t xml:space="preserve"> a discuté du champ d</w:t>
      </w:r>
      <w:r w:rsidR="00616FE4">
        <w:rPr>
          <w:lang w:eastAsia="fr-FR"/>
        </w:rPr>
        <w:t>’</w:t>
      </w:r>
      <w:r>
        <w:rPr>
          <w:lang w:eastAsia="fr-FR"/>
        </w:rPr>
        <w:t>application d</w:t>
      </w:r>
      <w:r w:rsidR="00616FE4">
        <w:rPr>
          <w:lang w:eastAsia="fr-FR"/>
        </w:rPr>
        <w:t>’</w:t>
      </w:r>
      <w:r>
        <w:rPr>
          <w:lang w:eastAsia="fr-FR"/>
        </w:rPr>
        <w:t>un régime ferroviaire unique et de sa transformation en instrument juridiquement contraignant. Un essai pilote de contrat de transport relevant d</w:t>
      </w:r>
      <w:r w:rsidR="00616FE4">
        <w:rPr>
          <w:lang w:eastAsia="fr-FR"/>
        </w:rPr>
        <w:t>’</w:t>
      </w:r>
      <w:r>
        <w:rPr>
          <w:lang w:eastAsia="fr-FR"/>
        </w:rPr>
        <w:t xml:space="preserve">un régime juridique unifié a été mené en avril 2019 </w:t>
      </w:r>
      <w:r w:rsidRPr="00DC275B">
        <w:rPr>
          <w:lang w:eastAsia="fr-FR"/>
        </w:rPr>
        <w:t>dans le couloir Azerbaïdjan-Géorgie-Turquie</w:t>
      </w:r>
      <w:r>
        <w:rPr>
          <w:lang w:eastAsia="fr-FR"/>
        </w:rPr>
        <w:t>. Les marchandises</w:t>
      </w:r>
      <w:r w:rsidR="00264826">
        <w:rPr>
          <w:lang w:eastAsia="fr-FR"/>
        </w:rPr>
        <w:t xml:space="preserve"> </w:t>
      </w:r>
      <w:r>
        <w:rPr>
          <w:lang w:eastAsia="fr-FR"/>
        </w:rPr>
        <w:t xml:space="preserve">ont été transportées à travers ce couloir en vertu de ce </w:t>
      </w:r>
      <w:r w:rsidRPr="00DC275B">
        <w:rPr>
          <w:lang w:eastAsia="fr-FR"/>
        </w:rPr>
        <w:t>contrat de transport</w:t>
      </w:r>
      <w:r>
        <w:rPr>
          <w:lang w:eastAsia="fr-FR"/>
        </w:rPr>
        <w:t xml:space="preserve"> ainsi que des documents juridiques en vigueur. </w:t>
      </w:r>
    </w:p>
    <w:p w14:paraId="4442B89B" w14:textId="77777777" w:rsidR="001E6D3C" w:rsidRPr="00004C1B" w:rsidRDefault="001E6D3C" w:rsidP="009605AB">
      <w:pPr>
        <w:pStyle w:val="SingleTxtG"/>
        <w:rPr>
          <w:lang w:eastAsia="fr-FR"/>
        </w:rPr>
      </w:pPr>
      <w:r w:rsidRPr="001A58B8">
        <w:rPr>
          <w:lang w:eastAsia="fr-FR"/>
        </w:rPr>
        <w:t>27.</w:t>
      </w:r>
      <w:r w:rsidRPr="001A58B8">
        <w:rPr>
          <w:lang w:eastAsia="fr-FR"/>
        </w:rPr>
        <w:tab/>
        <w:t>Des progr</w:t>
      </w:r>
      <w:r>
        <w:rPr>
          <w:lang w:eastAsia="fr-FR"/>
        </w:rPr>
        <w:t>è</w:t>
      </w:r>
      <w:r w:rsidRPr="001A58B8">
        <w:rPr>
          <w:lang w:eastAsia="fr-FR"/>
        </w:rPr>
        <w:t>s importants ont été</w:t>
      </w:r>
      <w:r>
        <w:rPr>
          <w:lang w:eastAsia="fr-FR"/>
        </w:rPr>
        <w:t xml:space="preserve"> réalisés dans le cadre des travaux du projet </w:t>
      </w:r>
      <w:r w:rsidRPr="00DC275B">
        <w:rPr>
          <w:lang w:eastAsia="fr-FR"/>
        </w:rPr>
        <w:t>de chemin de fer transeuropéen</w:t>
      </w:r>
      <w:r>
        <w:rPr>
          <w:lang w:eastAsia="fr-FR"/>
        </w:rPr>
        <w:t>. L</w:t>
      </w:r>
      <w:r w:rsidRPr="00DC275B">
        <w:rPr>
          <w:lang w:eastAsia="fr-FR"/>
        </w:rPr>
        <w:t>a phase II du plan directeur du TER pour le réseau ferroviaire à grande vitesse</w:t>
      </w:r>
      <w:r>
        <w:rPr>
          <w:lang w:eastAsia="fr-FR"/>
        </w:rPr>
        <w:t xml:space="preserve"> arrive à son terme et donnera à la région un instrument concret pour aider les États membres à déterminer les domaine</w:t>
      </w:r>
      <w:r w:rsidR="00A217BF">
        <w:rPr>
          <w:lang w:eastAsia="fr-FR"/>
        </w:rPr>
        <w:t>s</w:t>
      </w:r>
      <w:r>
        <w:rPr>
          <w:lang w:eastAsia="fr-FR"/>
        </w:rPr>
        <w:t xml:space="preserve"> d</w:t>
      </w:r>
      <w:r w:rsidR="00616FE4">
        <w:rPr>
          <w:lang w:eastAsia="fr-FR"/>
        </w:rPr>
        <w:t>’</w:t>
      </w:r>
      <w:r>
        <w:rPr>
          <w:lang w:eastAsia="fr-FR"/>
        </w:rPr>
        <w:t xml:space="preserve">investissement les plus appropriés en faveur des </w:t>
      </w:r>
      <w:r w:rsidRPr="00004C1B">
        <w:rPr>
          <w:lang w:eastAsia="fr-FR"/>
        </w:rPr>
        <w:t xml:space="preserve">trains à grande vitesse. </w:t>
      </w:r>
    </w:p>
    <w:p w14:paraId="4EB0D97D" w14:textId="77777777" w:rsidR="001E6D3C" w:rsidRPr="008E3FF9" w:rsidRDefault="001E6D3C" w:rsidP="007B3A5A">
      <w:pPr>
        <w:pStyle w:val="H1G"/>
        <w:rPr>
          <w:lang w:eastAsia="fr-FR"/>
        </w:rPr>
      </w:pPr>
      <w:r w:rsidRPr="00004C1B">
        <w:rPr>
          <w:lang w:eastAsia="fr-FR"/>
        </w:rPr>
        <w:tab/>
      </w:r>
      <w:r w:rsidRPr="008E3FF9">
        <w:rPr>
          <w:lang w:eastAsia="fr-FR"/>
        </w:rPr>
        <w:t>E</w:t>
      </w:r>
      <w:r>
        <w:rPr>
          <w:lang w:eastAsia="fr-FR"/>
        </w:rPr>
        <w:t>.</w:t>
      </w:r>
      <w:r>
        <w:rPr>
          <w:lang w:eastAsia="fr-FR"/>
        </w:rPr>
        <w:tab/>
      </w:r>
      <w:r w:rsidRPr="008E3FF9">
        <w:rPr>
          <w:lang w:eastAsia="fr-FR"/>
        </w:rPr>
        <w:t>Tendances et économie des transports</w:t>
      </w:r>
    </w:p>
    <w:p w14:paraId="71947FAD" w14:textId="77777777" w:rsidR="001E6D3C" w:rsidRPr="00377074" w:rsidRDefault="001E6D3C" w:rsidP="007B3A5A">
      <w:pPr>
        <w:pStyle w:val="H23G"/>
        <w:rPr>
          <w:lang w:eastAsia="fr-FR"/>
        </w:rPr>
      </w:pPr>
      <w:r w:rsidRPr="008E3FF9">
        <w:rPr>
          <w:lang w:eastAsia="fr-FR"/>
        </w:rPr>
        <w:tab/>
      </w:r>
      <w:r w:rsidRPr="00377074">
        <w:rPr>
          <w:lang w:eastAsia="fr-FR"/>
        </w:rPr>
        <w:t>1.</w:t>
      </w:r>
      <w:r w:rsidRPr="00377074">
        <w:rPr>
          <w:lang w:eastAsia="fr-FR"/>
        </w:rPr>
        <w:tab/>
        <w:t xml:space="preserve">Tendances et économie des transports </w:t>
      </w:r>
    </w:p>
    <w:p w14:paraId="68F305EF" w14:textId="77777777" w:rsidR="001E6D3C" w:rsidRPr="00CD13CD" w:rsidRDefault="001E6D3C" w:rsidP="007B3A5A">
      <w:pPr>
        <w:pStyle w:val="SingleTxtG"/>
        <w:rPr>
          <w:lang w:eastAsia="fr-FR"/>
        </w:rPr>
      </w:pPr>
      <w:r w:rsidRPr="00CD13CD">
        <w:rPr>
          <w:lang w:eastAsia="fr-FR"/>
        </w:rPr>
        <w:t>28.</w:t>
      </w:r>
      <w:r w:rsidRPr="00CD13CD">
        <w:rPr>
          <w:lang w:eastAsia="fr-FR"/>
        </w:rPr>
        <w:tab/>
        <w:t xml:space="preserve">Les 3 et 4 septembre </w:t>
      </w:r>
      <w:r w:rsidRPr="00D15986">
        <w:rPr>
          <w:lang w:eastAsia="fr-FR"/>
        </w:rPr>
        <w:t>2019,</w:t>
      </w:r>
      <w:r w:rsidRPr="00D15986">
        <w:t xml:space="preserve"> le </w:t>
      </w:r>
      <w:r w:rsidRPr="00D15986">
        <w:rPr>
          <w:lang w:eastAsia="fr-FR"/>
        </w:rPr>
        <w:t>Groupe de travail chargé d</w:t>
      </w:r>
      <w:r w:rsidR="00616FE4">
        <w:rPr>
          <w:lang w:eastAsia="fr-FR"/>
        </w:rPr>
        <w:t>’</w:t>
      </w:r>
      <w:r w:rsidRPr="00D15986">
        <w:rPr>
          <w:lang w:eastAsia="fr-FR"/>
        </w:rPr>
        <w:t xml:space="preserve">examiner les tendances et </w:t>
      </w:r>
      <w:r w:rsidRPr="00CD13CD">
        <w:rPr>
          <w:lang w:eastAsia="fr-FR"/>
        </w:rPr>
        <w:t>l</w:t>
      </w:r>
      <w:r w:rsidR="00616FE4">
        <w:rPr>
          <w:lang w:eastAsia="fr-FR"/>
        </w:rPr>
        <w:t>’</w:t>
      </w:r>
      <w:r w:rsidRPr="00CD13CD">
        <w:rPr>
          <w:lang w:eastAsia="fr-FR"/>
        </w:rPr>
        <w:t>économie des transports (WP.5), l</w:t>
      </w:r>
      <w:r w:rsidR="00616FE4">
        <w:rPr>
          <w:lang w:eastAsia="fr-FR"/>
        </w:rPr>
        <w:t>’</w:t>
      </w:r>
      <w:r w:rsidRPr="00CD13CD">
        <w:rPr>
          <w:lang w:eastAsia="fr-FR"/>
        </w:rPr>
        <w:t xml:space="preserve">Organisation pour la sécurité et la coopération en Europe (OSCE) </w:t>
      </w:r>
      <w:r>
        <w:rPr>
          <w:lang w:eastAsia="fr-FR"/>
        </w:rPr>
        <w:t>et d</w:t>
      </w:r>
      <w:r w:rsidR="00616FE4">
        <w:rPr>
          <w:lang w:eastAsia="fr-FR"/>
        </w:rPr>
        <w:t>’</w:t>
      </w:r>
      <w:r>
        <w:rPr>
          <w:lang w:eastAsia="fr-FR"/>
        </w:rPr>
        <w:t xml:space="preserve">autres partenaire ont organisé </w:t>
      </w:r>
      <w:r w:rsidRPr="00CD13CD">
        <w:rPr>
          <w:lang w:eastAsia="fr-FR"/>
        </w:rPr>
        <w:t xml:space="preserve">à Genève </w:t>
      </w:r>
      <w:r>
        <w:rPr>
          <w:lang w:eastAsia="fr-FR"/>
        </w:rPr>
        <w:t>un atelier</w:t>
      </w:r>
      <w:r w:rsidRPr="00CD13CD">
        <w:rPr>
          <w:rFonts w:ascii="Segoe UI" w:hAnsi="Segoe UI" w:cs="Segoe UI"/>
        </w:rPr>
        <w:t xml:space="preserve"> </w:t>
      </w:r>
      <w:r w:rsidRPr="00CD13CD">
        <w:rPr>
          <w:lang w:eastAsia="fr-FR"/>
        </w:rPr>
        <w:t>sur le renforcement de la sécurité sur les routes commerciales intérieures.</w:t>
      </w:r>
      <w:r>
        <w:rPr>
          <w:lang w:eastAsia="fr-FR"/>
        </w:rPr>
        <w:t xml:space="preserve"> Une cinquantaine d</w:t>
      </w:r>
      <w:r w:rsidR="00616FE4">
        <w:rPr>
          <w:lang w:eastAsia="fr-FR"/>
        </w:rPr>
        <w:t>’</w:t>
      </w:r>
      <w:r>
        <w:rPr>
          <w:lang w:eastAsia="fr-FR"/>
        </w:rPr>
        <w:t>experts en sécurité et de responsables des transports ont parlé de la criminalité et des risques qui menacent la sécurité, de l</w:t>
      </w:r>
      <w:r w:rsidR="00616FE4">
        <w:rPr>
          <w:lang w:eastAsia="fr-FR"/>
        </w:rPr>
        <w:t>’</w:t>
      </w:r>
      <w:r>
        <w:rPr>
          <w:lang w:eastAsia="fr-FR"/>
        </w:rPr>
        <w:t xml:space="preserve">utilisation de la Convention TIR et de projets pilotes </w:t>
      </w:r>
      <w:r w:rsidRPr="00A52B7D">
        <w:rPr>
          <w:lang w:eastAsia="fr-FR"/>
        </w:rPr>
        <w:t xml:space="preserve">eTIR </w:t>
      </w:r>
      <w:r w:rsidRPr="00A52B7D">
        <w:rPr>
          <w:lang w:eastAsia="fr-FR"/>
        </w:rPr>
        <w:lastRenderedPageBreak/>
        <w:t>destin</w:t>
      </w:r>
      <w:r>
        <w:rPr>
          <w:lang w:eastAsia="fr-FR"/>
        </w:rPr>
        <w:t>é</w:t>
      </w:r>
      <w:r w:rsidRPr="00A52B7D">
        <w:rPr>
          <w:lang w:eastAsia="fr-FR"/>
        </w:rPr>
        <w:t xml:space="preserve">s à atténuer </w:t>
      </w:r>
      <w:r>
        <w:rPr>
          <w:lang w:eastAsia="fr-FR"/>
        </w:rPr>
        <w:t>ces risques, ainsi que de l</w:t>
      </w:r>
      <w:r w:rsidR="00616FE4">
        <w:rPr>
          <w:lang w:eastAsia="fr-FR"/>
        </w:rPr>
        <w:t>’</w:t>
      </w:r>
      <w:r>
        <w:rPr>
          <w:lang w:eastAsia="fr-FR"/>
        </w:rPr>
        <w:t xml:space="preserve">importance du </w:t>
      </w:r>
      <w:r w:rsidRPr="00A52B7D">
        <w:rPr>
          <w:lang w:eastAsia="fr-FR"/>
        </w:rPr>
        <w:t>WP.5</w:t>
      </w:r>
      <w:r>
        <w:rPr>
          <w:lang w:eastAsia="fr-FR"/>
        </w:rPr>
        <w:t xml:space="preserve"> et du</w:t>
      </w:r>
      <w:r w:rsidRPr="00A52B7D">
        <w:t xml:space="preserve"> </w:t>
      </w:r>
      <w:r w:rsidRPr="00A52B7D">
        <w:rPr>
          <w:lang w:eastAsia="fr-FR"/>
        </w:rPr>
        <w:t>Forum de discussion sur la sécurité des transports intérieurs</w:t>
      </w:r>
      <w:r>
        <w:rPr>
          <w:lang w:eastAsia="fr-FR"/>
        </w:rPr>
        <w:t xml:space="preserve"> de la CEE en tant que plateforme consacrée aux questions de sécurité dans les transports. De plus amples informations sur cet atelier sont disponibles sur le </w:t>
      </w:r>
      <w:hyperlink r:id="rId11" w:history="1">
        <w:r>
          <w:rPr>
            <w:rFonts w:asciiTheme="majorBidi" w:hAnsiTheme="majorBidi" w:cstheme="majorBidi"/>
            <w:color w:val="0000FF"/>
            <w:lang w:eastAsia="fr-FR"/>
          </w:rPr>
          <w:t>site W</w:t>
        </w:r>
        <w:r w:rsidRPr="00A52B7D">
          <w:rPr>
            <w:rFonts w:asciiTheme="majorBidi" w:hAnsiTheme="majorBidi" w:cstheme="majorBidi"/>
            <w:color w:val="0000FF"/>
            <w:lang w:eastAsia="fr-FR"/>
          </w:rPr>
          <w:t>eb</w:t>
        </w:r>
        <w:r>
          <w:rPr>
            <w:rFonts w:asciiTheme="majorBidi" w:hAnsiTheme="majorBidi" w:cstheme="majorBidi"/>
            <w:color w:val="0000FF"/>
            <w:lang w:eastAsia="fr-FR"/>
          </w:rPr>
          <w:t xml:space="preserve"> de la CEE</w:t>
        </w:r>
      </w:hyperlink>
      <w:r w:rsidRPr="00A52B7D">
        <w:rPr>
          <w:lang w:eastAsia="fr-FR"/>
        </w:rPr>
        <w:t>.</w:t>
      </w:r>
    </w:p>
    <w:p w14:paraId="4E3785DA" w14:textId="77777777" w:rsidR="001E6D3C" w:rsidRPr="00F953FD" w:rsidRDefault="001E6D3C" w:rsidP="007B3A5A">
      <w:pPr>
        <w:pStyle w:val="SingleTxtG"/>
        <w:rPr>
          <w:lang w:eastAsia="fr-FR"/>
        </w:rPr>
      </w:pPr>
      <w:r w:rsidRPr="002122F9">
        <w:rPr>
          <w:lang w:eastAsia="fr-FR"/>
        </w:rPr>
        <w:t>29.</w:t>
      </w:r>
      <w:r w:rsidRPr="002122F9">
        <w:rPr>
          <w:lang w:eastAsia="fr-FR"/>
        </w:rPr>
        <w:tab/>
        <w:t xml:space="preserve">Le 2 septembre 2019, à Genève, le WP.5 </w:t>
      </w:r>
      <w:r>
        <w:rPr>
          <w:lang w:eastAsia="fr-FR"/>
        </w:rPr>
        <w:t xml:space="preserve">et le </w:t>
      </w:r>
      <w:r w:rsidRPr="002122F9">
        <w:rPr>
          <w:lang w:eastAsia="fr-FR"/>
        </w:rPr>
        <w:t>Bureau du Haut</w:t>
      </w:r>
      <w:r w:rsidR="003C654C">
        <w:rPr>
          <w:lang w:eastAsia="fr-FR"/>
        </w:rPr>
        <w:t>-</w:t>
      </w:r>
      <w:r w:rsidRPr="002122F9">
        <w:rPr>
          <w:lang w:eastAsia="fr-FR"/>
        </w:rPr>
        <w:t>Représentant pour les pays les moins avancés, les pays en développement sans littoral et les petits États insulaires en développement</w:t>
      </w:r>
      <w:r>
        <w:rPr>
          <w:lang w:eastAsia="fr-FR"/>
        </w:rPr>
        <w:t xml:space="preserve"> ont organisé un atelier à l</w:t>
      </w:r>
      <w:r w:rsidR="00616FE4">
        <w:rPr>
          <w:lang w:eastAsia="fr-FR"/>
        </w:rPr>
        <w:t>’</w:t>
      </w:r>
      <w:r>
        <w:rPr>
          <w:lang w:eastAsia="fr-FR"/>
        </w:rPr>
        <w:t xml:space="preserve">intention de représentants de ces pays. Il a été noté lors de cet atelier que les coûts des transports étaient plus élevés dans les </w:t>
      </w:r>
      <w:r w:rsidRPr="00D244EE">
        <w:rPr>
          <w:lang w:eastAsia="fr-FR"/>
        </w:rPr>
        <w:t>pays en développement sans littoral</w:t>
      </w:r>
      <w:r>
        <w:rPr>
          <w:lang w:eastAsia="fr-FR"/>
        </w:rPr>
        <w:t xml:space="preserve"> et que leurs exportations étaient moins compétitives que celles des pays ayant un accès à la mer. Les participants ont recommandé au WP.5 de se pencher sur les </w:t>
      </w:r>
      <w:r w:rsidRPr="00D244EE">
        <w:rPr>
          <w:lang w:eastAsia="fr-FR"/>
        </w:rPr>
        <w:t>pratiques et méthodologies existantes</w:t>
      </w:r>
      <w:r>
        <w:rPr>
          <w:lang w:eastAsia="fr-FR"/>
        </w:rPr>
        <w:t xml:space="preserve"> en matière de mesure de la valeur économique des </w:t>
      </w:r>
      <w:r w:rsidRPr="00D244EE">
        <w:rPr>
          <w:lang w:eastAsia="fr-FR"/>
        </w:rPr>
        <w:t>cou</w:t>
      </w:r>
      <w:r>
        <w:rPr>
          <w:lang w:eastAsia="fr-FR"/>
        </w:rPr>
        <w:t xml:space="preserve">loirs de transport international afin de transformer </w:t>
      </w:r>
      <w:r w:rsidRPr="00D244EE">
        <w:rPr>
          <w:lang w:eastAsia="fr-FR"/>
        </w:rPr>
        <w:t>les pays sans littoral en pays connectés par voie terrestre</w:t>
      </w:r>
      <w:r>
        <w:rPr>
          <w:lang w:eastAsia="fr-FR"/>
        </w:rPr>
        <w:t>.</w:t>
      </w:r>
      <w:r w:rsidRPr="00D244EE">
        <w:t xml:space="preserve"> </w:t>
      </w:r>
      <w:r w:rsidRPr="00D244EE">
        <w:rPr>
          <w:lang w:eastAsia="fr-FR"/>
        </w:rPr>
        <w:t xml:space="preserve">De plus amples informations sur cet atelier sont disponibles sur le </w:t>
      </w:r>
      <w:hyperlink r:id="rId12" w:history="1">
        <w:r w:rsidRPr="00F953FD">
          <w:rPr>
            <w:rFonts w:asciiTheme="majorBidi" w:hAnsiTheme="majorBidi" w:cstheme="majorBidi"/>
            <w:color w:val="0000FF"/>
            <w:lang w:eastAsia="fr-FR"/>
          </w:rPr>
          <w:t>site Web de la CEE</w:t>
        </w:r>
      </w:hyperlink>
      <w:r w:rsidRPr="00F953FD">
        <w:rPr>
          <w:lang w:eastAsia="fr-FR"/>
        </w:rPr>
        <w:t xml:space="preserve">. </w:t>
      </w:r>
    </w:p>
    <w:p w14:paraId="4316E8D7" w14:textId="77777777" w:rsidR="001E6D3C" w:rsidRPr="008E3FF9" w:rsidRDefault="001E6D3C" w:rsidP="007B3A5A">
      <w:pPr>
        <w:pStyle w:val="H23G"/>
        <w:rPr>
          <w:lang w:eastAsia="fr-FR"/>
        </w:rPr>
      </w:pPr>
      <w:r w:rsidRPr="00F953FD">
        <w:rPr>
          <w:lang w:eastAsia="fr-FR"/>
        </w:rPr>
        <w:tab/>
      </w:r>
      <w:r w:rsidRPr="008E3FF9">
        <w:rPr>
          <w:lang w:eastAsia="fr-FR"/>
        </w:rPr>
        <w:t>2.</w:t>
      </w:r>
      <w:r w:rsidRPr="008E3FF9">
        <w:rPr>
          <w:lang w:eastAsia="fr-FR"/>
        </w:rPr>
        <w:tab/>
        <w:t>Programme paneuropéen sur les transports, la santé et l</w:t>
      </w:r>
      <w:r w:rsidR="00616FE4">
        <w:rPr>
          <w:lang w:eastAsia="fr-FR"/>
        </w:rPr>
        <w:t>’</w:t>
      </w:r>
      <w:r w:rsidRPr="008E3FF9">
        <w:rPr>
          <w:lang w:eastAsia="fr-FR"/>
        </w:rPr>
        <w:t>environnement</w:t>
      </w:r>
    </w:p>
    <w:p w14:paraId="60EF687B" w14:textId="77777777" w:rsidR="001E6D3C" w:rsidRDefault="001E6D3C" w:rsidP="007B3A5A">
      <w:pPr>
        <w:pStyle w:val="SingleTxtG"/>
        <w:rPr>
          <w:lang w:eastAsia="zh-CN"/>
        </w:rPr>
      </w:pPr>
      <w:bookmarkStart w:id="8" w:name="_Hlk25591379"/>
      <w:r w:rsidRPr="00F953FD">
        <w:rPr>
          <w:lang w:eastAsia="zh-CN"/>
        </w:rPr>
        <w:t>30.</w:t>
      </w:r>
      <w:r w:rsidRPr="00F953FD">
        <w:rPr>
          <w:lang w:eastAsia="zh-CN"/>
        </w:rPr>
        <w:tab/>
        <w:t>En 2019, alors qu</w:t>
      </w:r>
      <w:r w:rsidR="00616FE4">
        <w:rPr>
          <w:lang w:eastAsia="zh-CN"/>
        </w:rPr>
        <w:t>’</w:t>
      </w:r>
      <w:r w:rsidRPr="00F953FD">
        <w:rPr>
          <w:lang w:eastAsia="zh-CN"/>
        </w:rPr>
        <w:t>une grande partie du travail du secrétariat portait sur</w:t>
      </w:r>
      <w:r>
        <w:rPr>
          <w:lang w:eastAsia="zh-CN"/>
        </w:rPr>
        <w:t xml:space="preserve"> les préparatifs de la</w:t>
      </w:r>
      <w:r w:rsidRPr="00F953FD">
        <w:t xml:space="preserve"> </w:t>
      </w:r>
      <w:r w:rsidRPr="00F953FD">
        <w:rPr>
          <w:lang w:eastAsia="zh-CN"/>
        </w:rPr>
        <w:t>cinquième Réunion de haut niveau sur les transports, la santé et l</w:t>
      </w:r>
      <w:r w:rsidR="00616FE4">
        <w:rPr>
          <w:lang w:eastAsia="zh-CN"/>
        </w:rPr>
        <w:t>’</w:t>
      </w:r>
      <w:r w:rsidRPr="00F953FD">
        <w:rPr>
          <w:lang w:eastAsia="zh-CN"/>
        </w:rPr>
        <w:t>environnement</w:t>
      </w:r>
      <w:r>
        <w:rPr>
          <w:lang w:eastAsia="zh-CN"/>
        </w:rPr>
        <w:t>, plusieurs études clefs étaient également réalisées qui auront des répercussions directes sur le développement de la mobilité durable. L</w:t>
      </w:r>
      <w:r w:rsidR="00616FE4">
        <w:rPr>
          <w:lang w:eastAsia="zh-CN"/>
        </w:rPr>
        <w:t>’</w:t>
      </w:r>
      <w:r>
        <w:rPr>
          <w:lang w:eastAsia="zh-CN"/>
        </w:rPr>
        <w:t xml:space="preserve">étude </w:t>
      </w:r>
      <w:r w:rsidRPr="00420B52">
        <w:rPr>
          <w:lang w:eastAsia="zh-CN"/>
        </w:rPr>
        <w:t xml:space="preserve">sur </w:t>
      </w:r>
      <w:r w:rsidRPr="009B5A8B">
        <w:rPr>
          <w:i/>
          <w:lang w:eastAsia="zh-CN"/>
        </w:rPr>
        <w:t>les emplois verts dans le secteur des transports</w:t>
      </w:r>
      <w:r w:rsidRPr="00420B52">
        <w:rPr>
          <w:lang w:eastAsia="zh-CN"/>
        </w:rPr>
        <w:t xml:space="preserve"> </w:t>
      </w:r>
      <w:r>
        <w:rPr>
          <w:lang w:eastAsia="zh-CN"/>
        </w:rPr>
        <w:t>a déterminé les changements dans le nombre total de personnes employées qui résulteraient d</w:t>
      </w:r>
      <w:r w:rsidR="00616FE4">
        <w:rPr>
          <w:lang w:eastAsia="zh-CN"/>
        </w:rPr>
        <w:t>’</w:t>
      </w:r>
      <w:r>
        <w:rPr>
          <w:lang w:eastAsia="zh-CN"/>
        </w:rPr>
        <w:t xml:space="preserve">un accroissement des </w:t>
      </w:r>
      <w:r w:rsidRPr="009B5A8B">
        <w:rPr>
          <w:lang w:eastAsia="zh-CN"/>
        </w:rPr>
        <w:t>investissements dans le domaine des transports publics et de l</w:t>
      </w:r>
      <w:r w:rsidR="00616FE4">
        <w:rPr>
          <w:lang w:eastAsia="zh-CN"/>
        </w:rPr>
        <w:t>’</w:t>
      </w:r>
      <w:r w:rsidRPr="009B5A8B">
        <w:rPr>
          <w:lang w:eastAsia="zh-CN"/>
        </w:rPr>
        <w:t>électrification continue des véhicules de transport privés.</w:t>
      </w:r>
      <w:r w:rsidRPr="009B5A8B">
        <w:t xml:space="preserve"> Le </w:t>
      </w:r>
      <w:r w:rsidRPr="009B5A8B">
        <w:rPr>
          <w:i/>
        </w:rPr>
        <w:t>P</w:t>
      </w:r>
      <w:r w:rsidRPr="009B5A8B">
        <w:rPr>
          <w:i/>
          <w:lang w:eastAsia="zh-CN"/>
        </w:rPr>
        <w:t>lan directeur de promotion du cyclisme </w:t>
      </w:r>
      <w:r>
        <w:rPr>
          <w:lang w:eastAsia="zh-CN"/>
        </w:rPr>
        <w:t xml:space="preserve">propose pour sa part au secteur et aux États membres une stratégie complète de développement du cyclisme dans toute la région. </w:t>
      </w:r>
    </w:p>
    <w:p w14:paraId="5B88117F" w14:textId="77777777" w:rsidR="001E6D3C" w:rsidRPr="00377074" w:rsidRDefault="001E6D3C" w:rsidP="007B3A5A">
      <w:pPr>
        <w:pStyle w:val="SingleTxtG"/>
        <w:rPr>
          <w:lang w:eastAsia="fr-FR"/>
        </w:rPr>
      </w:pPr>
      <w:r w:rsidRPr="00721EE4">
        <w:rPr>
          <w:lang w:eastAsia="fr-FR"/>
        </w:rPr>
        <w:t>31.</w:t>
      </w:r>
      <w:r w:rsidRPr="00721EE4">
        <w:rPr>
          <w:lang w:eastAsia="fr-FR"/>
        </w:rPr>
        <w:tab/>
        <w:t>Un Manuel de mobilité urbaine et d</w:t>
      </w:r>
      <w:r w:rsidR="00616FE4">
        <w:rPr>
          <w:lang w:eastAsia="fr-FR"/>
        </w:rPr>
        <w:t>’</w:t>
      </w:r>
      <w:r w:rsidRPr="00721EE4">
        <w:rPr>
          <w:lang w:eastAsia="fr-FR"/>
        </w:rPr>
        <w:t>urbanisme durables a été publié en 2019</w:t>
      </w:r>
      <w:r>
        <w:rPr>
          <w:lang w:eastAsia="fr-FR"/>
        </w:rPr>
        <w:t xml:space="preserve"> dans le cadre du </w:t>
      </w:r>
      <w:r w:rsidRPr="00721EE4">
        <w:rPr>
          <w:lang w:val="fr-FR" w:eastAsia="fr-FR"/>
        </w:rPr>
        <w:t>Programme paneuropéen sur les transports, la santé et l</w:t>
      </w:r>
      <w:r w:rsidR="00616FE4">
        <w:rPr>
          <w:lang w:val="fr-FR" w:eastAsia="fr-FR"/>
        </w:rPr>
        <w:t>’</w:t>
      </w:r>
      <w:r w:rsidRPr="00721EE4">
        <w:rPr>
          <w:lang w:val="fr-FR" w:eastAsia="fr-FR"/>
        </w:rPr>
        <w:t>environnement</w:t>
      </w:r>
      <w:r w:rsidRPr="00721EE4">
        <w:rPr>
          <w:lang w:eastAsia="fr-FR"/>
        </w:rPr>
        <w:t xml:space="preserve"> (</w:t>
      </w:r>
      <w:r>
        <w:rPr>
          <w:lang w:eastAsia="fr-FR"/>
        </w:rPr>
        <w:t>PPE-TSE</w:t>
      </w:r>
      <w:r w:rsidRPr="00721EE4">
        <w:rPr>
          <w:lang w:eastAsia="fr-FR"/>
        </w:rPr>
        <w:t xml:space="preserve">) </w:t>
      </w:r>
      <w:r>
        <w:rPr>
          <w:lang w:eastAsia="fr-FR"/>
        </w:rPr>
        <w:t xml:space="preserve">et du WP.5. </w:t>
      </w:r>
      <w:r w:rsidRPr="00721EE4">
        <w:rPr>
          <w:lang w:eastAsia="fr-FR"/>
        </w:rPr>
        <w:t>Ce Manuel est le fruit d</w:t>
      </w:r>
      <w:r w:rsidR="00616FE4">
        <w:rPr>
          <w:lang w:eastAsia="fr-FR"/>
        </w:rPr>
        <w:t>’</w:t>
      </w:r>
      <w:r w:rsidRPr="00721EE4">
        <w:rPr>
          <w:lang w:eastAsia="fr-FR"/>
        </w:rPr>
        <w:t>une décision prise par le</w:t>
      </w:r>
      <w:r w:rsidRPr="00721EE4">
        <w:t xml:space="preserve"> </w:t>
      </w:r>
      <w:r w:rsidRPr="00721EE4">
        <w:rPr>
          <w:lang w:eastAsia="fr-FR"/>
        </w:rPr>
        <w:t>Comité directeur du Programme paneuropéen</w:t>
      </w:r>
      <w:r>
        <w:rPr>
          <w:lang w:eastAsia="fr-FR"/>
        </w:rPr>
        <w:t xml:space="preserve"> à sa </w:t>
      </w:r>
      <w:r w:rsidR="00A55AFA">
        <w:rPr>
          <w:lang w:eastAsia="fr-FR"/>
        </w:rPr>
        <w:t>quinzième</w:t>
      </w:r>
      <w:r>
        <w:rPr>
          <w:lang w:eastAsia="fr-FR"/>
        </w:rPr>
        <w:t xml:space="preserve"> session (novembre 2017) et du CTI à sa </w:t>
      </w:r>
      <w:r w:rsidR="00A55AFA">
        <w:rPr>
          <w:lang w:eastAsia="fr-FR"/>
        </w:rPr>
        <w:t>quatre</w:t>
      </w:r>
      <w:r w:rsidR="00A55AFA">
        <w:rPr>
          <w:lang w:eastAsia="fr-FR"/>
        </w:rPr>
        <w:noBreakHyphen/>
        <w:t>vingtième</w:t>
      </w:r>
      <w:r>
        <w:rPr>
          <w:lang w:eastAsia="fr-FR"/>
        </w:rPr>
        <w:t xml:space="preserve"> session (février 2018) et a été soutenu par un financement extrabudgétaire de la part de la Fédération du Russie. Cette publication a été conçue pour aider les États membres de la CEE à intégrer le transport, la santé, la qualité de vie et des objectifs environnementaux dans les politiques </w:t>
      </w:r>
      <w:r w:rsidRPr="00B623F9">
        <w:rPr>
          <w:lang w:eastAsia="fr-FR"/>
        </w:rPr>
        <w:t>de mobilité urbaine et d</w:t>
      </w:r>
      <w:r w:rsidR="00616FE4">
        <w:rPr>
          <w:lang w:eastAsia="fr-FR"/>
        </w:rPr>
        <w:t>’</w:t>
      </w:r>
      <w:r>
        <w:rPr>
          <w:lang w:eastAsia="fr-FR"/>
        </w:rPr>
        <w:t xml:space="preserve">aménagement urbain </w:t>
      </w:r>
      <w:r w:rsidRPr="00B623F9">
        <w:rPr>
          <w:lang w:eastAsia="fr-FR"/>
        </w:rPr>
        <w:t>durables</w:t>
      </w:r>
      <w:r>
        <w:rPr>
          <w:lang w:eastAsia="fr-FR"/>
        </w:rPr>
        <w:t>. Elle devrait être lancée à l</w:t>
      </w:r>
      <w:r w:rsidR="00616FE4">
        <w:rPr>
          <w:lang w:eastAsia="fr-FR"/>
        </w:rPr>
        <w:t>’</w:t>
      </w:r>
      <w:r>
        <w:rPr>
          <w:lang w:eastAsia="fr-FR"/>
        </w:rPr>
        <w:t xml:space="preserve">occasion de la </w:t>
      </w:r>
      <w:r w:rsidRPr="00B623F9">
        <w:rPr>
          <w:lang w:eastAsia="fr-FR"/>
        </w:rPr>
        <w:t>Réunion de haut niveau du PPE-TSE qui se tiendra en 2020.</w:t>
      </w:r>
      <w:r>
        <w:rPr>
          <w:lang w:eastAsia="fr-FR"/>
        </w:rPr>
        <w:t xml:space="preserve"> </w:t>
      </w:r>
    </w:p>
    <w:bookmarkEnd w:id="8"/>
    <w:p w14:paraId="0E1414AC" w14:textId="77777777" w:rsidR="001E6D3C" w:rsidRDefault="001E6D3C" w:rsidP="007B3A5A">
      <w:pPr>
        <w:pStyle w:val="H23G"/>
        <w:rPr>
          <w:lang w:eastAsia="fr-FR"/>
        </w:rPr>
      </w:pPr>
      <w:r w:rsidRPr="00377074">
        <w:rPr>
          <w:lang w:eastAsia="fr-FR"/>
        </w:rPr>
        <w:tab/>
      </w:r>
      <w:r w:rsidRPr="008E3FF9">
        <w:rPr>
          <w:lang w:eastAsia="fr-FR"/>
        </w:rPr>
        <w:t>3.</w:t>
      </w:r>
      <w:r w:rsidRPr="008E3FF9">
        <w:rPr>
          <w:lang w:eastAsia="fr-FR"/>
        </w:rPr>
        <w:tab/>
      </w:r>
      <w:r>
        <w:rPr>
          <w:lang w:eastAsia="fr-FR"/>
        </w:rPr>
        <w:t>LTEA</w:t>
      </w:r>
      <w:r w:rsidRPr="008E3FF9">
        <w:rPr>
          <w:lang w:eastAsia="fr-FR"/>
        </w:rPr>
        <w:t xml:space="preserve"> </w:t>
      </w:r>
      <w:r w:rsidR="004A27D1">
        <w:rPr>
          <w:lang w:eastAsia="fr-FR"/>
        </w:rPr>
        <w:t>−</w:t>
      </w:r>
      <w:r w:rsidRPr="008E3FF9">
        <w:rPr>
          <w:lang w:eastAsia="fr-FR"/>
        </w:rPr>
        <w:t xml:space="preserve"> Observatoire international des infrastructures de transport </w:t>
      </w:r>
    </w:p>
    <w:p w14:paraId="3369D4AA" w14:textId="77777777" w:rsidR="001E6D3C" w:rsidRDefault="001E6D3C" w:rsidP="007B3A5A">
      <w:pPr>
        <w:pStyle w:val="SingleTxtG"/>
        <w:rPr>
          <w:lang w:eastAsia="fr-FR"/>
        </w:rPr>
      </w:pPr>
      <w:r w:rsidRPr="00597216">
        <w:rPr>
          <w:lang w:eastAsia="fr-FR"/>
        </w:rPr>
        <w:t>32.</w:t>
      </w:r>
      <w:r w:rsidRPr="00597216">
        <w:rPr>
          <w:lang w:eastAsia="fr-FR"/>
        </w:rPr>
        <w:tab/>
      </w:r>
      <w:r>
        <w:rPr>
          <w:lang w:eastAsia="fr-FR"/>
        </w:rPr>
        <w:t xml:space="preserve">Consciente que le </w:t>
      </w:r>
      <w:r w:rsidRPr="00597216">
        <w:rPr>
          <w:lang w:eastAsia="fr-FR"/>
        </w:rPr>
        <w:t>financement des liaisons de transport Europe-Asie</w:t>
      </w:r>
      <w:r w:rsidRPr="00597216">
        <w:rPr>
          <w:b/>
          <w:lang w:eastAsia="fr-FR"/>
        </w:rPr>
        <w:t xml:space="preserve"> </w:t>
      </w:r>
      <w:r w:rsidRPr="00597216">
        <w:rPr>
          <w:lang w:eastAsia="fr-FR"/>
        </w:rPr>
        <w:t>reste un obstacle majeur</w:t>
      </w:r>
      <w:r>
        <w:rPr>
          <w:lang w:eastAsia="fr-FR"/>
        </w:rPr>
        <w:t>, la CEE a pris l</w:t>
      </w:r>
      <w:r w:rsidR="00616FE4">
        <w:rPr>
          <w:lang w:eastAsia="fr-FR"/>
        </w:rPr>
        <w:t>’</w:t>
      </w:r>
      <w:r>
        <w:rPr>
          <w:lang w:eastAsia="fr-FR"/>
        </w:rPr>
        <w:t xml:space="preserve">initiative de mettre sur pied un </w:t>
      </w:r>
      <w:r w:rsidRPr="00597216">
        <w:rPr>
          <w:lang w:eastAsia="fr-FR"/>
        </w:rPr>
        <w:t>Observatoire international des infrastructures de transport</w:t>
      </w:r>
      <w:r>
        <w:rPr>
          <w:lang w:eastAsia="fr-FR"/>
        </w:rPr>
        <w:t>. Élaboré dans le cadre d</w:t>
      </w:r>
      <w:r w:rsidR="00616FE4">
        <w:rPr>
          <w:lang w:eastAsia="fr-FR"/>
        </w:rPr>
        <w:t>’</w:t>
      </w:r>
      <w:r>
        <w:rPr>
          <w:lang w:eastAsia="fr-FR"/>
        </w:rPr>
        <w:t xml:space="preserve">un projet </w:t>
      </w:r>
      <w:r w:rsidRPr="00597216">
        <w:rPr>
          <w:lang w:eastAsia="fr-FR"/>
        </w:rPr>
        <w:t>extrabudgétaire</w:t>
      </w:r>
      <w:r>
        <w:rPr>
          <w:lang w:eastAsia="fr-FR"/>
        </w:rPr>
        <w:t xml:space="preserve"> entièrement financé par la </w:t>
      </w:r>
      <w:r w:rsidRPr="00597216">
        <w:rPr>
          <w:lang w:eastAsia="fr-FR"/>
        </w:rPr>
        <w:t>Banque islamique de développement</w:t>
      </w:r>
      <w:r>
        <w:rPr>
          <w:lang w:eastAsia="fr-FR"/>
        </w:rPr>
        <w:t>, cet observatoire profitera aux pays de l</w:t>
      </w:r>
      <w:r w:rsidR="00616FE4">
        <w:rPr>
          <w:lang w:eastAsia="fr-FR"/>
        </w:rPr>
        <w:t>’</w:t>
      </w:r>
      <w:r w:rsidRPr="00597216">
        <w:rPr>
          <w:lang w:eastAsia="fr-FR"/>
        </w:rPr>
        <w:t>Organisation de coopération économique</w:t>
      </w:r>
      <w:r>
        <w:rPr>
          <w:lang w:eastAsia="fr-FR"/>
        </w:rPr>
        <w:t xml:space="preserve"> en Asie centrale et dans le Caucase du Sud.</w:t>
      </w:r>
    </w:p>
    <w:p w14:paraId="7E1050DA" w14:textId="77777777" w:rsidR="001E6D3C" w:rsidRPr="00377074" w:rsidRDefault="001E6D3C" w:rsidP="007B3A5A">
      <w:pPr>
        <w:pStyle w:val="SingleTxtG"/>
        <w:rPr>
          <w:lang w:eastAsia="fr-FR"/>
        </w:rPr>
      </w:pPr>
      <w:r w:rsidRPr="001A281B">
        <w:rPr>
          <w:lang w:eastAsia="fr-FR"/>
        </w:rPr>
        <w:t>33.</w:t>
      </w:r>
      <w:r w:rsidRPr="001A281B">
        <w:rPr>
          <w:lang w:eastAsia="fr-FR"/>
        </w:rPr>
        <w:tab/>
        <w:t>L</w:t>
      </w:r>
      <w:r w:rsidR="00616FE4">
        <w:rPr>
          <w:lang w:eastAsia="fr-FR"/>
        </w:rPr>
        <w:t>’</w:t>
      </w:r>
      <w:r w:rsidRPr="001A281B">
        <w:rPr>
          <w:lang w:eastAsia="fr-FR"/>
        </w:rPr>
        <w:t>observat</w:t>
      </w:r>
      <w:r>
        <w:rPr>
          <w:lang w:eastAsia="fr-FR"/>
        </w:rPr>
        <w:t xml:space="preserve">oire </w:t>
      </w:r>
      <w:r w:rsidRPr="001A281B">
        <w:rPr>
          <w:lang w:eastAsia="fr-FR"/>
        </w:rPr>
        <w:t>est conçu comme une plateforme</w:t>
      </w:r>
      <w:r>
        <w:rPr>
          <w:lang w:eastAsia="fr-FR"/>
        </w:rPr>
        <w:t xml:space="preserve"> en ligne dans un environnement de </w:t>
      </w:r>
      <w:r w:rsidRPr="001A281B">
        <w:rPr>
          <w:lang w:eastAsia="fr-FR"/>
        </w:rPr>
        <w:t>Système d</w:t>
      </w:r>
      <w:r w:rsidR="00616FE4">
        <w:rPr>
          <w:lang w:eastAsia="fr-FR"/>
        </w:rPr>
        <w:t>’</w:t>
      </w:r>
      <w:r w:rsidRPr="001A281B">
        <w:rPr>
          <w:lang w:eastAsia="fr-FR"/>
        </w:rPr>
        <w:t>information géographique</w:t>
      </w:r>
      <w:r>
        <w:rPr>
          <w:lang w:eastAsia="fr-FR"/>
        </w:rPr>
        <w:t xml:space="preserve"> (SIG) où les gouvernements peuvent établir leur projets d</w:t>
      </w:r>
      <w:r w:rsidR="00616FE4">
        <w:rPr>
          <w:lang w:eastAsia="fr-FR"/>
        </w:rPr>
        <w:t>’</w:t>
      </w:r>
      <w:r w:rsidRPr="0057233A">
        <w:rPr>
          <w:lang w:eastAsia="fr-FR"/>
        </w:rPr>
        <w:t>infrastructures de transport</w:t>
      </w:r>
      <w:r>
        <w:rPr>
          <w:lang w:eastAsia="fr-FR"/>
        </w:rPr>
        <w:t xml:space="preserve"> et où les </w:t>
      </w:r>
      <w:r w:rsidRPr="0057233A">
        <w:rPr>
          <w:lang w:eastAsia="fr-FR"/>
        </w:rPr>
        <w:t>institutions financières internationales</w:t>
      </w:r>
      <w:r>
        <w:rPr>
          <w:lang w:eastAsia="fr-FR"/>
        </w:rPr>
        <w:t xml:space="preserve"> peuvent déterminer les projets qu</w:t>
      </w:r>
      <w:r w:rsidR="00616FE4">
        <w:rPr>
          <w:lang w:eastAsia="fr-FR"/>
        </w:rPr>
        <w:t>’</w:t>
      </w:r>
      <w:r>
        <w:rPr>
          <w:lang w:eastAsia="fr-FR"/>
        </w:rPr>
        <w:t xml:space="preserve">elles désirent financer. </w:t>
      </w:r>
      <w:r w:rsidRPr="0057233A">
        <w:rPr>
          <w:lang w:eastAsia="fr-FR"/>
        </w:rPr>
        <w:t>Depuis son lancement en 2017, des sous-secteurs de transport ont été identifiés pour</w:t>
      </w:r>
      <w:r>
        <w:rPr>
          <w:lang w:eastAsia="fr-FR"/>
        </w:rPr>
        <w:t xml:space="preserve"> </w:t>
      </w:r>
      <w:r w:rsidRPr="0057233A">
        <w:rPr>
          <w:lang w:eastAsia="fr-FR"/>
        </w:rPr>
        <w:t>faire l</w:t>
      </w:r>
      <w:r w:rsidR="00616FE4">
        <w:rPr>
          <w:lang w:eastAsia="fr-FR"/>
        </w:rPr>
        <w:t>’</w:t>
      </w:r>
      <w:r w:rsidRPr="0057233A">
        <w:rPr>
          <w:lang w:eastAsia="fr-FR"/>
        </w:rPr>
        <w:t xml:space="preserve">objet de collecte de données </w:t>
      </w:r>
      <w:r>
        <w:rPr>
          <w:lang w:eastAsia="fr-FR"/>
        </w:rPr>
        <w:t>et des outils ont été conçus pour cela à l</w:t>
      </w:r>
      <w:r w:rsidR="00616FE4">
        <w:rPr>
          <w:lang w:eastAsia="fr-FR"/>
        </w:rPr>
        <w:t>’</w:t>
      </w:r>
      <w:r>
        <w:rPr>
          <w:lang w:eastAsia="fr-FR"/>
        </w:rPr>
        <w:t xml:space="preserve">intention des projets bénéficiaires. La clôture du projet a été repoussée à mars 2021. De plus amples information sont disponibles </w:t>
      </w:r>
      <w:hyperlink r:id="rId13" w:history="1">
        <w:r w:rsidRPr="00377074">
          <w:rPr>
            <w:color w:val="0000FF"/>
            <w:lang w:eastAsia="fr-FR"/>
          </w:rPr>
          <w:t>ici</w:t>
        </w:r>
      </w:hyperlink>
      <w:r w:rsidRPr="00377074">
        <w:rPr>
          <w:lang w:eastAsia="fr-FR"/>
        </w:rPr>
        <w:t>.</w:t>
      </w:r>
    </w:p>
    <w:p w14:paraId="52FAA5E4" w14:textId="77777777" w:rsidR="001E6D3C" w:rsidRPr="008E3FF9" w:rsidRDefault="001E6D3C" w:rsidP="007B3A5A">
      <w:pPr>
        <w:pStyle w:val="H23G"/>
        <w:rPr>
          <w:lang w:eastAsia="fr-FR"/>
        </w:rPr>
      </w:pPr>
      <w:r w:rsidRPr="00377074">
        <w:rPr>
          <w:lang w:eastAsia="fr-FR"/>
        </w:rPr>
        <w:tab/>
      </w:r>
      <w:r w:rsidRPr="008E3FF9">
        <w:rPr>
          <w:lang w:eastAsia="fr-FR"/>
        </w:rPr>
        <w:t>4.</w:t>
      </w:r>
      <w:r w:rsidRPr="008E3FF9">
        <w:rPr>
          <w:lang w:eastAsia="fr-FR"/>
        </w:rPr>
        <w:tab/>
      </w:r>
      <w:r>
        <w:rPr>
          <w:lang w:eastAsia="fr-FR"/>
        </w:rPr>
        <w:t>I</w:t>
      </w:r>
      <w:r w:rsidRPr="008E3FF9">
        <w:rPr>
          <w:lang w:eastAsia="fr-FR"/>
        </w:rPr>
        <w:t>ndicateurs de connectivité pour des transports intérieurs durables</w:t>
      </w:r>
    </w:p>
    <w:p w14:paraId="74BB0ED7" w14:textId="77777777" w:rsidR="001E6D3C" w:rsidRDefault="001E6D3C" w:rsidP="007B3A5A">
      <w:pPr>
        <w:pStyle w:val="SingleTxtG"/>
        <w:rPr>
          <w:lang w:eastAsia="fr-FR"/>
        </w:rPr>
      </w:pPr>
      <w:r w:rsidRPr="0057233A">
        <w:rPr>
          <w:lang w:eastAsia="fr-FR"/>
        </w:rPr>
        <w:t>34.</w:t>
      </w:r>
      <w:r w:rsidRPr="0057233A">
        <w:rPr>
          <w:lang w:eastAsia="fr-FR"/>
        </w:rPr>
        <w:tab/>
      </w:r>
      <w:r>
        <w:rPr>
          <w:lang w:eastAsia="fr-FR"/>
        </w:rPr>
        <w:t xml:space="preserve">Un </w:t>
      </w:r>
      <w:r w:rsidRPr="0057233A">
        <w:rPr>
          <w:lang w:eastAsia="fr-FR"/>
        </w:rPr>
        <w:t>projet, financé par le Compte de l</w:t>
      </w:r>
      <w:r w:rsidR="00616FE4">
        <w:rPr>
          <w:lang w:eastAsia="fr-FR"/>
        </w:rPr>
        <w:t>’</w:t>
      </w:r>
      <w:r w:rsidRPr="0057233A">
        <w:rPr>
          <w:lang w:eastAsia="fr-FR"/>
        </w:rPr>
        <w:t xml:space="preserve">ONU pour le développement, intitulé </w:t>
      </w:r>
      <w:r w:rsidR="0046280F">
        <w:rPr>
          <w:lang w:eastAsia="fr-FR"/>
        </w:rPr>
        <w:t>« </w:t>
      </w:r>
      <w:r w:rsidRPr="0057233A">
        <w:rPr>
          <w:lang w:eastAsia="fr-FR"/>
        </w:rPr>
        <w:t>Connectivité durable des transports et réalisation des objectifs de développement durable relatifs aux transports dans des pays sans littoral et des pays relais ou de transit</w:t>
      </w:r>
      <w:r w:rsidR="0046280F">
        <w:rPr>
          <w:lang w:eastAsia="fr-FR"/>
        </w:rPr>
        <w:t> »</w:t>
      </w:r>
      <w:r w:rsidRPr="0057233A">
        <w:rPr>
          <w:lang w:eastAsia="fr-FR"/>
        </w:rPr>
        <w:t xml:space="preserve"> </w:t>
      </w:r>
      <w:r>
        <w:rPr>
          <w:lang w:eastAsia="fr-FR"/>
        </w:rPr>
        <w:t xml:space="preserve">est en cours de réalisation. Mis en œuvre sous la direction </w:t>
      </w:r>
      <w:r w:rsidRPr="007550C1">
        <w:rPr>
          <w:lang w:eastAsia="fr-FR"/>
        </w:rPr>
        <w:t>de la Division des transports durables</w:t>
      </w:r>
      <w:r>
        <w:rPr>
          <w:lang w:eastAsia="fr-FR"/>
        </w:rPr>
        <w:t xml:space="preserve"> et </w:t>
      </w:r>
      <w:r>
        <w:rPr>
          <w:lang w:eastAsia="fr-FR"/>
        </w:rPr>
        <w:lastRenderedPageBreak/>
        <w:t xml:space="preserve">avec le soutien de </w:t>
      </w:r>
      <w:r w:rsidRPr="007550C1">
        <w:rPr>
          <w:lang w:eastAsia="fr-FR"/>
        </w:rPr>
        <w:t>la Commission économique et sociale pour l</w:t>
      </w:r>
      <w:r w:rsidR="00616FE4">
        <w:rPr>
          <w:lang w:eastAsia="fr-FR"/>
        </w:rPr>
        <w:t>’</w:t>
      </w:r>
      <w:r w:rsidRPr="007550C1">
        <w:rPr>
          <w:lang w:eastAsia="fr-FR"/>
        </w:rPr>
        <w:t>Asie occidentale ainsi que de</w:t>
      </w:r>
      <w:r w:rsidRPr="007550C1">
        <w:t xml:space="preserve"> la </w:t>
      </w:r>
      <w:r w:rsidRPr="007550C1">
        <w:rPr>
          <w:lang w:eastAsia="fr-FR"/>
        </w:rPr>
        <w:t>Commission économique pour l</w:t>
      </w:r>
      <w:r w:rsidR="00616FE4">
        <w:rPr>
          <w:lang w:eastAsia="fr-FR"/>
        </w:rPr>
        <w:t>’</w:t>
      </w:r>
      <w:r w:rsidRPr="007550C1">
        <w:rPr>
          <w:lang w:eastAsia="fr-FR"/>
        </w:rPr>
        <w:t>Amérique latine et les Caraïbes</w:t>
      </w:r>
      <w:r>
        <w:rPr>
          <w:lang w:eastAsia="fr-FR"/>
        </w:rPr>
        <w:t xml:space="preserve">, ce projet vise à élaborer </w:t>
      </w:r>
      <w:r w:rsidRPr="007550C1">
        <w:rPr>
          <w:lang w:eastAsia="fr-FR"/>
        </w:rPr>
        <w:t>un ensemble d</w:t>
      </w:r>
      <w:r w:rsidR="00616FE4">
        <w:rPr>
          <w:lang w:eastAsia="fr-FR"/>
        </w:rPr>
        <w:t>’</w:t>
      </w:r>
      <w:r w:rsidRPr="007550C1">
        <w:rPr>
          <w:lang w:eastAsia="fr-FR"/>
        </w:rPr>
        <w:t>indicateurs de connectivité pour des transports intérieurs durables</w:t>
      </w:r>
      <w:r>
        <w:rPr>
          <w:lang w:eastAsia="fr-FR"/>
        </w:rPr>
        <w:t xml:space="preserve">. Ces indicateurs sont actuellement structurés selon </w:t>
      </w:r>
      <w:r w:rsidRPr="007550C1">
        <w:rPr>
          <w:lang w:eastAsia="fr-FR"/>
        </w:rPr>
        <w:t>trois piliers du développement durable</w:t>
      </w:r>
      <w:r>
        <w:rPr>
          <w:lang w:eastAsia="fr-FR"/>
        </w:rPr>
        <w:t xml:space="preserve"> </w:t>
      </w:r>
      <w:r w:rsidRPr="007550C1">
        <w:rPr>
          <w:lang w:eastAsia="fr-FR"/>
        </w:rPr>
        <w:t>(</w:t>
      </w:r>
      <w:r w:rsidRPr="000965D0">
        <w:rPr>
          <w:lang w:eastAsia="fr-FR"/>
        </w:rPr>
        <w:t>économique, social et environnemental</w:t>
      </w:r>
      <w:r>
        <w:rPr>
          <w:lang w:eastAsia="fr-FR"/>
        </w:rPr>
        <w:t xml:space="preserve">) et appliqués dans les quatre </w:t>
      </w:r>
      <w:r w:rsidRPr="000965D0">
        <w:rPr>
          <w:lang w:eastAsia="fr-FR"/>
        </w:rPr>
        <w:t>secteur</w:t>
      </w:r>
      <w:r>
        <w:rPr>
          <w:lang w:eastAsia="fr-FR"/>
        </w:rPr>
        <w:t>s</w:t>
      </w:r>
      <w:r w:rsidRPr="000965D0">
        <w:rPr>
          <w:lang w:eastAsia="fr-FR"/>
        </w:rPr>
        <w:t xml:space="preserve"> des transports intérieurs</w:t>
      </w:r>
      <w:r w:rsidR="00226AED">
        <w:rPr>
          <w:lang w:eastAsia="fr-FR"/>
        </w:rPr>
        <w:t> </w:t>
      </w:r>
      <w:r w:rsidRPr="000965D0">
        <w:rPr>
          <w:lang w:eastAsia="fr-FR"/>
        </w:rPr>
        <w:t xml:space="preserve">: </w:t>
      </w:r>
      <w:r w:rsidRPr="004D4451">
        <w:rPr>
          <w:lang w:eastAsia="fr-FR"/>
        </w:rPr>
        <w:t>routiers, ferroviaires, fluviaux et intermodaux</w:t>
      </w:r>
      <w:r>
        <w:rPr>
          <w:lang w:eastAsia="fr-FR"/>
        </w:rPr>
        <w:t xml:space="preserve">. Le projet pilote se déroulera en </w:t>
      </w:r>
      <w:r w:rsidRPr="000965D0">
        <w:rPr>
          <w:lang w:eastAsia="fr-FR"/>
        </w:rPr>
        <w:t xml:space="preserve">Géorgie, au Kazakhstan, </w:t>
      </w:r>
      <w:r>
        <w:rPr>
          <w:lang w:eastAsia="fr-FR"/>
        </w:rPr>
        <w:t xml:space="preserve">en </w:t>
      </w:r>
      <w:r w:rsidRPr="000965D0">
        <w:rPr>
          <w:lang w:eastAsia="fr-FR"/>
        </w:rPr>
        <w:t xml:space="preserve">Serbie, </w:t>
      </w:r>
      <w:r>
        <w:rPr>
          <w:lang w:eastAsia="fr-FR"/>
        </w:rPr>
        <w:t xml:space="preserve">en </w:t>
      </w:r>
      <w:r w:rsidRPr="000965D0">
        <w:rPr>
          <w:lang w:eastAsia="fr-FR"/>
        </w:rPr>
        <w:t>Jordan</w:t>
      </w:r>
      <w:r>
        <w:rPr>
          <w:lang w:eastAsia="fr-FR"/>
        </w:rPr>
        <w:t xml:space="preserve">ie et au </w:t>
      </w:r>
      <w:r w:rsidRPr="000965D0">
        <w:rPr>
          <w:lang w:eastAsia="fr-FR"/>
        </w:rPr>
        <w:t xml:space="preserve">Paraguay </w:t>
      </w:r>
      <w:r>
        <w:rPr>
          <w:lang w:eastAsia="fr-FR"/>
        </w:rPr>
        <w:t>pendant la première phase.</w:t>
      </w:r>
    </w:p>
    <w:p w14:paraId="47354757" w14:textId="77777777" w:rsidR="001E6D3C" w:rsidRDefault="001E6D3C" w:rsidP="007B3A5A">
      <w:pPr>
        <w:pStyle w:val="SingleTxtG"/>
        <w:rPr>
          <w:lang w:eastAsia="fr-FR"/>
        </w:rPr>
      </w:pPr>
      <w:r w:rsidRPr="000965D0">
        <w:rPr>
          <w:lang w:eastAsia="fr-FR"/>
        </w:rPr>
        <w:t>35.</w:t>
      </w:r>
      <w:r w:rsidRPr="000965D0">
        <w:rPr>
          <w:lang w:eastAsia="fr-FR"/>
        </w:rPr>
        <w:tab/>
        <w:t>Le principal objectif visé est la mise au point d</w:t>
      </w:r>
      <w:r w:rsidR="00616FE4">
        <w:rPr>
          <w:lang w:eastAsia="fr-FR"/>
        </w:rPr>
        <w:t>’</w:t>
      </w:r>
      <w:r w:rsidRPr="000965D0">
        <w:rPr>
          <w:lang w:eastAsia="fr-FR"/>
        </w:rPr>
        <w:t>un outil qui permette aux pays de mesurer le degré de connectivité tant au niveau national</w:t>
      </w:r>
      <w:r>
        <w:rPr>
          <w:lang w:eastAsia="fr-FR"/>
        </w:rPr>
        <w:t xml:space="preserve"> que bilatéral et sous-régional ainsi qu</w:t>
      </w:r>
      <w:r w:rsidR="00616FE4">
        <w:rPr>
          <w:lang w:eastAsia="fr-FR"/>
        </w:rPr>
        <w:t>’</w:t>
      </w:r>
      <w:r>
        <w:rPr>
          <w:lang w:eastAsia="fr-FR"/>
        </w:rPr>
        <w:t>en termes d</w:t>
      </w:r>
      <w:r w:rsidR="00616FE4">
        <w:rPr>
          <w:lang w:eastAsia="fr-FR"/>
        </w:rPr>
        <w:t>’</w:t>
      </w:r>
      <w:r w:rsidRPr="000965D0">
        <w:rPr>
          <w:lang w:eastAsia="fr-FR"/>
        </w:rPr>
        <w:t xml:space="preserve">infrastructures matérielles </w:t>
      </w:r>
      <w:r>
        <w:rPr>
          <w:lang w:eastAsia="fr-FR"/>
        </w:rPr>
        <w:t xml:space="preserve">et </w:t>
      </w:r>
      <w:r w:rsidRPr="000965D0">
        <w:rPr>
          <w:lang w:eastAsia="fr-FR"/>
        </w:rPr>
        <w:t>immatérielles</w:t>
      </w:r>
      <w:r>
        <w:rPr>
          <w:lang w:eastAsia="fr-FR"/>
        </w:rPr>
        <w:t>. Cela permettra aux décideurs d</w:t>
      </w:r>
      <w:r w:rsidR="00616FE4">
        <w:rPr>
          <w:lang w:eastAsia="fr-FR"/>
        </w:rPr>
        <w:t>’</w:t>
      </w:r>
      <w:r>
        <w:rPr>
          <w:lang w:eastAsia="fr-FR"/>
        </w:rPr>
        <w:t>évaluer le degré de connectivité économique extérieure de leur pays en ce qui concerne les transports terrestres, la logistique, le commerce, les douanes et le franchissement des frontières.</w:t>
      </w:r>
    </w:p>
    <w:p w14:paraId="61FEAA8C" w14:textId="77777777" w:rsidR="001E6D3C" w:rsidRPr="000B42BA" w:rsidRDefault="001E6D3C" w:rsidP="007B3A5A">
      <w:pPr>
        <w:pStyle w:val="H1G"/>
        <w:rPr>
          <w:lang w:eastAsia="fr-FR"/>
        </w:rPr>
      </w:pPr>
      <w:r w:rsidRPr="00377074">
        <w:rPr>
          <w:lang w:eastAsia="fr-FR"/>
        </w:rPr>
        <w:tab/>
      </w:r>
      <w:r w:rsidRPr="000B42BA">
        <w:rPr>
          <w:lang w:eastAsia="fr-FR"/>
        </w:rPr>
        <w:t>F.</w:t>
      </w:r>
      <w:r w:rsidRPr="000B42BA">
        <w:rPr>
          <w:lang w:eastAsia="fr-FR"/>
        </w:rPr>
        <w:tab/>
        <w:t>Transport p</w:t>
      </w:r>
      <w:r>
        <w:rPr>
          <w:lang w:eastAsia="fr-FR"/>
        </w:rPr>
        <w:t>ar voies navigables</w:t>
      </w:r>
    </w:p>
    <w:p w14:paraId="01E1A3D1" w14:textId="77777777" w:rsidR="001E6D3C" w:rsidRPr="00CD13CD" w:rsidRDefault="001E6D3C" w:rsidP="007B3A5A">
      <w:pPr>
        <w:pStyle w:val="H23G"/>
        <w:rPr>
          <w:lang w:eastAsia="fr-FR"/>
        </w:rPr>
      </w:pPr>
      <w:r w:rsidRPr="000B42BA">
        <w:rPr>
          <w:lang w:eastAsia="fr-FR"/>
        </w:rPr>
        <w:tab/>
      </w:r>
      <w:r w:rsidRPr="00CD13CD">
        <w:rPr>
          <w:lang w:eastAsia="fr-FR"/>
        </w:rPr>
        <w:t>1.</w:t>
      </w:r>
      <w:r w:rsidRPr="00CD13CD">
        <w:rPr>
          <w:lang w:eastAsia="fr-FR"/>
        </w:rPr>
        <w:tab/>
        <w:t>Documents stratégiques</w:t>
      </w:r>
    </w:p>
    <w:p w14:paraId="48562C11" w14:textId="77777777" w:rsidR="001E6D3C" w:rsidRPr="000B42BA" w:rsidRDefault="001E6D3C" w:rsidP="007B3A5A">
      <w:pPr>
        <w:pStyle w:val="H23G"/>
        <w:rPr>
          <w:lang w:eastAsia="fr-FR"/>
        </w:rPr>
      </w:pPr>
      <w:r w:rsidRPr="00CD13CD">
        <w:rPr>
          <w:lang w:eastAsia="fr-FR"/>
        </w:rPr>
        <w:tab/>
      </w:r>
      <w:r w:rsidRPr="000B42BA">
        <w:rPr>
          <w:lang w:eastAsia="fr-FR"/>
        </w:rPr>
        <w:t>a)</w:t>
      </w:r>
      <w:r w:rsidRPr="000B42BA">
        <w:rPr>
          <w:lang w:eastAsia="fr-FR"/>
        </w:rPr>
        <w:tab/>
        <w:t>Livre blanc sur l</w:t>
      </w:r>
      <w:r w:rsidR="00616FE4">
        <w:rPr>
          <w:lang w:eastAsia="fr-FR"/>
        </w:rPr>
        <w:t>’</w:t>
      </w:r>
      <w:r w:rsidRPr="000B42BA">
        <w:rPr>
          <w:lang w:eastAsia="fr-FR"/>
        </w:rPr>
        <w:t xml:space="preserve">efficacité et la viabilité des transports par voie navigable en Europe </w:t>
      </w:r>
    </w:p>
    <w:p w14:paraId="2CE56949" w14:textId="77777777" w:rsidR="001E6D3C" w:rsidRPr="00430888" w:rsidRDefault="001E6D3C" w:rsidP="007B3A5A">
      <w:pPr>
        <w:pStyle w:val="SingleTxtG"/>
        <w:rPr>
          <w:lang w:eastAsia="fr-FR"/>
        </w:rPr>
      </w:pPr>
      <w:r w:rsidRPr="000B42BA">
        <w:rPr>
          <w:lang w:eastAsia="fr-FR"/>
        </w:rPr>
        <w:t>36.</w:t>
      </w:r>
      <w:r w:rsidRPr="000B42BA">
        <w:rPr>
          <w:lang w:eastAsia="fr-FR"/>
        </w:rPr>
        <w:tab/>
        <w:t xml:space="preserve">Lors de sa soixante-troisième session, le SC.3 a adopté son nouveau </w:t>
      </w:r>
      <w:r>
        <w:rPr>
          <w:lang w:eastAsia="fr-FR"/>
        </w:rPr>
        <w:t>L</w:t>
      </w:r>
      <w:r w:rsidRPr="000B42BA">
        <w:rPr>
          <w:lang w:eastAsia="fr-FR"/>
        </w:rPr>
        <w:t>ivre blanc</w:t>
      </w:r>
      <w:r w:rsidRPr="00430888">
        <w:t xml:space="preserve"> </w:t>
      </w:r>
      <w:r w:rsidRPr="00430888">
        <w:rPr>
          <w:lang w:eastAsia="fr-FR"/>
        </w:rPr>
        <w:t>sur l</w:t>
      </w:r>
      <w:r w:rsidR="00616FE4">
        <w:rPr>
          <w:lang w:eastAsia="fr-FR"/>
        </w:rPr>
        <w:t>’</w:t>
      </w:r>
      <w:r w:rsidRPr="00430888">
        <w:rPr>
          <w:lang w:eastAsia="fr-FR"/>
        </w:rPr>
        <w:t>efficacité et la viabilité des transports par voie navigable en Europe</w:t>
      </w:r>
      <w:r>
        <w:rPr>
          <w:lang w:eastAsia="fr-FR"/>
        </w:rPr>
        <w:t>, le troisième du genre à couvrir la région de la CEE. Cette édition donne une vue d</w:t>
      </w:r>
      <w:r w:rsidR="00616FE4">
        <w:rPr>
          <w:lang w:eastAsia="fr-FR"/>
        </w:rPr>
        <w:t>’</w:t>
      </w:r>
      <w:r>
        <w:rPr>
          <w:lang w:eastAsia="fr-FR"/>
        </w:rPr>
        <w:t xml:space="preserve">ensemble des performances du secteur depuis la publication du premier </w:t>
      </w:r>
      <w:r w:rsidR="00226AED">
        <w:rPr>
          <w:lang w:eastAsia="fr-FR"/>
        </w:rPr>
        <w:t>L</w:t>
      </w:r>
      <w:r>
        <w:rPr>
          <w:lang w:eastAsia="fr-FR"/>
        </w:rPr>
        <w:t xml:space="preserve">ivre blanc en </w:t>
      </w:r>
      <w:r w:rsidRPr="00430888">
        <w:rPr>
          <w:lang w:eastAsia="fr-FR"/>
        </w:rPr>
        <w:t xml:space="preserve">2011. </w:t>
      </w:r>
    </w:p>
    <w:p w14:paraId="7804EF95" w14:textId="77777777" w:rsidR="001E6D3C" w:rsidRPr="00571D77" w:rsidRDefault="001E6D3C" w:rsidP="007B3A5A">
      <w:pPr>
        <w:pStyle w:val="SingleTxtG"/>
        <w:rPr>
          <w:rFonts w:eastAsiaTheme="minorEastAsia"/>
          <w:lang w:eastAsia="fr-FR"/>
        </w:rPr>
      </w:pPr>
      <w:r w:rsidRPr="00430888">
        <w:rPr>
          <w:lang w:eastAsia="fr-FR"/>
        </w:rPr>
        <w:t>37.</w:t>
      </w:r>
      <w:r w:rsidRPr="00430888">
        <w:rPr>
          <w:lang w:eastAsia="fr-FR"/>
        </w:rPr>
        <w:tab/>
        <w:t>Le Livre blanc de la CEE</w:t>
      </w:r>
      <w:r>
        <w:rPr>
          <w:lang w:eastAsia="fr-FR"/>
        </w:rPr>
        <w:t xml:space="preserve"> fait le point sur </w:t>
      </w:r>
      <w:r w:rsidRPr="00571D77">
        <w:rPr>
          <w:lang w:eastAsia="fr-FR"/>
        </w:rPr>
        <w:t>l</w:t>
      </w:r>
      <w:r w:rsidR="00616FE4">
        <w:rPr>
          <w:lang w:eastAsia="fr-FR"/>
        </w:rPr>
        <w:t>’</w:t>
      </w:r>
      <w:r w:rsidRPr="00571D77">
        <w:rPr>
          <w:lang w:eastAsia="fr-FR"/>
        </w:rPr>
        <w:t>état actuel du réseau de voies navigables</w:t>
      </w:r>
      <w:r w:rsidR="00226AED">
        <w:rPr>
          <w:lang w:eastAsia="fr-FR"/>
        </w:rPr>
        <w:t> </w:t>
      </w:r>
      <w:r w:rsidRPr="00571D77">
        <w:rPr>
          <w:lang w:eastAsia="fr-FR"/>
        </w:rPr>
        <w:t>E conformément à l</w:t>
      </w:r>
      <w:r w:rsidR="00616FE4">
        <w:rPr>
          <w:lang w:eastAsia="fr-FR"/>
        </w:rPr>
        <w:t>’</w:t>
      </w:r>
      <w:r w:rsidRPr="00571D77">
        <w:rPr>
          <w:lang w:eastAsia="fr-FR"/>
        </w:rPr>
        <w:t>Accord européen sur les grandes voies de navigation intérieure d</w:t>
      </w:r>
      <w:r w:rsidR="00616FE4">
        <w:rPr>
          <w:lang w:eastAsia="fr-FR"/>
        </w:rPr>
        <w:t>’</w:t>
      </w:r>
      <w:r w:rsidRPr="00571D77">
        <w:rPr>
          <w:lang w:eastAsia="fr-FR"/>
        </w:rPr>
        <w:t>importance internationale (AGN)</w:t>
      </w:r>
      <w:r>
        <w:rPr>
          <w:lang w:eastAsia="fr-FR"/>
        </w:rPr>
        <w:t xml:space="preserve"> et</w:t>
      </w:r>
      <w:r w:rsidRPr="00571D77">
        <w:rPr>
          <w:lang w:eastAsia="fr-FR"/>
        </w:rPr>
        <w:t xml:space="preserve"> </w:t>
      </w:r>
      <w:r>
        <w:rPr>
          <w:lang w:eastAsia="fr-FR"/>
        </w:rPr>
        <w:t xml:space="preserve">sur </w:t>
      </w:r>
      <w:r w:rsidRPr="00571D77">
        <w:rPr>
          <w:lang w:eastAsia="fr-FR"/>
        </w:rPr>
        <w:t>les progrès réalisés</w:t>
      </w:r>
      <w:r>
        <w:rPr>
          <w:lang w:eastAsia="fr-FR"/>
        </w:rPr>
        <w:t xml:space="preserve">, </w:t>
      </w:r>
      <w:r w:rsidRPr="00571D77">
        <w:rPr>
          <w:lang w:eastAsia="fr-FR"/>
        </w:rPr>
        <w:t>met</w:t>
      </w:r>
      <w:r>
        <w:rPr>
          <w:lang w:eastAsia="fr-FR"/>
        </w:rPr>
        <w:t>tant</w:t>
      </w:r>
      <w:r w:rsidRPr="00571D77">
        <w:rPr>
          <w:lang w:eastAsia="fr-FR"/>
        </w:rPr>
        <w:t xml:space="preserve"> en exergue les grands projets d</w:t>
      </w:r>
      <w:r w:rsidR="00616FE4">
        <w:rPr>
          <w:lang w:eastAsia="fr-FR"/>
        </w:rPr>
        <w:t>’</w:t>
      </w:r>
      <w:r w:rsidRPr="00571D77">
        <w:rPr>
          <w:lang w:eastAsia="fr-FR"/>
        </w:rPr>
        <w:t xml:space="preserve">infrastructure en cours et prévus. </w:t>
      </w:r>
      <w:r>
        <w:rPr>
          <w:lang w:eastAsia="fr-FR"/>
        </w:rPr>
        <w:t>Il décrit l</w:t>
      </w:r>
      <w:r w:rsidR="00616FE4">
        <w:rPr>
          <w:lang w:eastAsia="fr-FR"/>
        </w:rPr>
        <w:t>’</w:t>
      </w:r>
      <w:r>
        <w:rPr>
          <w:lang w:eastAsia="fr-FR"/>
        </w:rPr>
        <w:t xml:space="preserve">évolution du cadre institutionnel et </w:t>
      </w:r>
      <w:r w:rsidRPr="00571D77">
        <w:rPr>
          <w:lang w:eastAsia="fr-FR"/>
        </w:rPr>
        <w:t>réglementaire de la navigation intérieure</w:t>
      </w:r>
      <w:r>
        <w:rPr>
          <w:lang w:eastAsia="fr-FR"/>
        </w:rPr>
        <w:t xml:space="preserve"> depuis 2011, les récents programmes et activités de la CEE, de l</w:t>
      </w:r>
      <w:r w:rsidR="00616FE4">
        <w:rPr>
          <w:lang w:eastAsia="fr-FR"/>
        </w:rPr>
        <w:t>’</w:t>
      </w:r>
      <w:r>
        <w:rPr>
          <w:lang w:eastAsia="fr-FR"/>
        </w:rPr>
        <w:t>Union européenne, des commissions fluviales et du</w:t>
      </w:r>
      <w:r w:rsidRPr="00571D77">
        <w:t xml:space="preserve"> </w:t>
      </w:r>
      <w:r w:rsidRPr="00571D77">
        <w:rPr>
          <w:lang w:eastAsia="fr-FR"/>
        </w:rPr>
        <w:t>Comité européen pour l</w:t>
      </w:r>
      <w:r w:rsidR="00616FE4">
        <w:rPr>
          <w:lang w:eastAsia="fr-FR"/>
        </w:rPr>
        <w:t>’</w:t>
      </w:r>
      <w:r w:rsidRPr="00571D77">
        <w:rPr>
          <w:lang w:eastAsia="fr-FR"/>
        </w:rPr>
        <w:t>élaboration de standards dans le domaine de la navigation intérieure (CESNI)</w:t>
      </w:r>
      <w:r>
        <w:rPr>
          <w:lang w:eastAsia="fr-FR"/>
        </w:rPr>
        <w:t xml:space="preserve">. Il aborde en outre les travaux en cours et les priorités des prochaines années sur le plan international. Les réponses à ces défis sont étroitement liées à la mise en œuvre des </w:t>
      </w:r>
      <w:r w:rsidRPr="00571D77">
        <w:rPr>
          <w:lang w:eastAsia="fr-FR"/>
        </w:rPr>
        <w:t>objectifs de développement durable</w:t>
      </w:r>
      <w:r>
        <w:rPr>
          <w:lang w:eastAsia="fr-FR"/>
        </w:rPr>
        <w:t xml:space="preserve"> et de la déclaration ministérielle de </w:t>
      </w:r>
      <w:r w:rsidRPr="00571D77">
        <w:rPr>
          <w:lang w:eastAsia="fr-FR"/>
        </w:rPr>
        <w:t xml:space="preserve">Wroclaw. </w:t>
      </w:r>
    </w:p>
    <w:p w14:paraId="70680DB4" w14:textId="77777777" w:rsidR="001E6D3C" w:rsidRPr="000B42BA" w:rsidRDefault="001E6D3C" w:rsidP="007B3A5A">
      <w:pPr>
        <w:pStyle w:val="H23G"/>
        <w:rPr>
          <w:lang w:eastAsia="fr-FR"/>
        </w:rPr>
      </w:pPr>
      <w:r w:rsidRPr="00571D77">
        <w:rPr>
          <w:lang w:eastAsia="fr-FR"/>
        </w:rPr>
        <w:tab/>
      </w:r>
      <w:r w:rsidRPr="000B42BA">
        <w:rPr>
          <w:lang w:eastAsia="fr-FR"/>
        </w:rPr>
        <w:t>b)</w:t>
      </w:r>
      <w:r w:rsidRPr="000B42BA">
        <w:rPr>
          <w:lang w:eastAsia="fr-FR"/>
        </w:rPr>
        <w:tab/>
      </w:r>
      <w:bookmarkStart w:id="9" w:name="_Hlk24618037"/>
      <w:r w:rsidRPr="000B42BA">
        <w:rPr>
          <w:lang w:eastAsia="fr-FR"/>
        </w:rPr>
        <w:t xml:space="preserve">Suivi de la déclaration ministérielle de Wroclaw </w:t>
      </w:r>
    </w:p>
    <w:p w14:paraId="62E2A5DA" w14:textId="77777777" w:rsidR="001E6D3C" w:rsidRPr="00CD13CD" w:rsidRDefault="001E6D3C" w:rsidP="007B3A5A">
      <w:pPr>
        <w:pStyle w:val="SingleTxtG"/>
        <w:rPr>
          <w:lang w:eastAsia="fr-FR"/>
        </w:rPr>
      </w:pPr>
      <w:r w:rsidRPr="000B42BA">
        <w:rPr>
          <w:lang w:eastAsia="fr-FR"/>
        </w:rPr>
        <w:t>38.</w:t>
      </w:r>
      <w:r w:rsidRPr="000B42BA">
        <w:rPr>
          <w:lang w:eastAsia="fr-FR"/>
        </w:rPr>
        <w:tab/>
        <w:t xml:space="preserve">À la suite de la déclaration </w:t>
      </w:r>
      <w:r w:rsidRPr="009E7B11">
        <w:rPr>
          <w:lang w:eastAsia="fr-FR"/>
        </w:rPr>
        <w:t xml:space="preserve">ministérielle intitulée </w:t>
      </w:r>
      <w:r w:rsidR="006A2228">
        <w:rPr>
          <w:lang w:eastAsia="fr-FR"/>
        </w:rPr>
        <w:t>« </w:t>
      </w:r>
      <w:r w:rsidRPr="009E7B11">
        <w:rPr>
          <w:lang w:eastAsia="fr-FR"/>
        </w:rPr>
        <w:t>La navigation</w:t>
      </w:r>
      <w:r w:rsidRPr="000B42BA">
        <w:rPr>
          <w:lang w:eastAsia="fr-FR"/>
        </w:rPr>
        <w:t xml:space="preserve"> intérieure dans le contexte international</w:t>
      </w:r>
      <w:r w:rsidR="006A2228">
        <w:rPr>
          <w:lang w:eastAsia="fr-FR"/>
        </w:rPr>
        <w:t> »</w:t>
      </w:r>
      <w:r w:rsidRPr="000B42BA">
        <w:rPr>
          <w:lang w:eastAsia="fr-FR"/>
        </w:rPr>
        <w:t xml:space="preserve">, adoptée lors de la Conférence internationale sur le transport par voie navigable </w:t>
      </w:r>
      <w:r>
        <w:rPr>
          <w:lang w:eastAsia="fr-FR"/>
        </w:rPr>
        <w:t xml:space="preserve">(18 et 19 avril 2018) </w:t>
      </w:r>
      <w:r w:rsidRPr="000B42BA">
        <w:rPr>
          <w:lang w:eastAsia="fr-FR"/>
        </w:rPr>
        <w:t>à Wroclaw (Pologne)</w:t>
      </w:r>
      <w:r>
        <w:rPr>
          <w:lang w:eastAsia="fr-FR"/>
        </w:rPr>
        <w:t xml:space="preserve">, ainsi que de la résolution </w:t>
      </w:r>
      <w:r w:rsidR="006A2228" w:rsidRPr="006A2228">
        <w:rPr>
          <w:rFonts w:eastAsia="MS Mincho"/>
          <w:lang w:eastAsia="fr-FR"/>
        </w:rPr>
        <w:t>n</w:t>
      </w:r>
      <w:r w:rsidR="006A2228" w:rsidRPr="006A2228">
        <w:rPr>
          <w:rFonts w:eastAsia="MS Mincho"/>
          <w:vertAlign w:val="superscript"/>
          <w:lang w:eastAsia="fr-FR"/>
        </w:rPr>
        <w:t>o</w:t>
      </w:r>
      <w:r w:rsidR="006A2228">
        <w:rPr>
          <w:lang w:eastAsia="fr-FR"/>
        </w:rPr>
        <w:t> </w:t>
      </w:r>
      <w:r>
        <w:rPr>
          <w:lang w:eastAsia="fr-FR"/>
        </w:rPr>
        <w:t xml:space="preserve">265 du CTI  intitulée </w:t>
      </w:r>
      <w:r w:rsidR="006A2228">
        <w:rPr>
          <w:lang w:eastAsia="fr-FR"/>
        </w:rPr>
        <w:t>« </w:t>
      </w:r>
      <w:r w:rsidRPr="004D037A">
        <w:rPr>
          <w:lang w:eastAsia="fr-FR"/>
        </w:rPr>
        <w:t>Faciliter le développement des transports par voie navigable</w:t>
      </w:r>
      <w:r w:rsidR="006A2228">
        <w:rPr>
          <w:lang w:eastAsia="fr-FR"/>
        </w:rPr>
        <w:t> »</w:t>
      </w:r>
      <w:r w:rsidRPr="004D037A">
        <w:rPr>
          <w:lang w:eastAsia="fr-FR"/>
        </w:rPr>
        <w:t xml:space="preserve">, le SC.3 </w:t>
      </w:r>
      <w:r>
        <w:rPr>
          <w:lang w:eastAsia="fr-FR"/>
        </w:rPr>
        <w:t xml:space="preserve">a </w:t>
      </w:r>
      <w:r w:rsidRPr="004D037A">
        <w:rPr>
          <w:lang w:eastAsia="fr-FR"/>
        </w:rPr>
        <w:t>adopt</w:t>
      </w:r>
      <w:r>
        <w:rPr>
          <w:lang w:eastAsia="fr-FR"/>
        </w:rPr>
        <w:t>é des recommandations à l</w:t>
      </w:r>
      <w:r w:rsidR="00616FE4">
        <w:rPr>
          <w:lang w:eastAsia="fr-FR"/>
        </w:rPr>
        <w:t>’</w:t>
      </w:r>
      <w:r>
        <w:rPr>
          <w:lang w:eastAsia="fr-FR"/>
        </w:rPr>
        <w:t xml:space="preserve">intention des États membres concernant le suivi de la mise en œuvre de la déclaration afin de pouvoir rendre compte des progrès réalisés lors de futures sessions du Comité. </w:t>
      </w:r>
    </w:p>
    <w:bookmarkEnd w:id="9"/>
    <w:p w14:paraId="2C0198F4" w14:textId="77777777" w:rsidR="001E6D3C" w:rsidRPr="00B40931" w:rsidRDefault="001E6D3C" w:rsidP="007B3A5A">
      <w:pPr>
        <w:pStyle w:val="H23G"/>
        <w:rPr>
          <w:lang w:eastAsia="fr-FR"/>
        </w:rPr>
      </w:pPr>
      <w:r w:rsidRPr="00CD13CD">
        <w:rPr>
          <w:lang w:eastAsia="fr-FR"/>
        </w:rPr>
        <w:tab/>
      </w:r>
      <w:bookmarkStart w:id="10" w:name="_Hlk24618082"/>
      <w:r w:rsidRPr="00B40931">
        <w:rPr>
          <w:lang w:eastAsia="fr-FR"/>
        </w:rPr>
        <w:t>2.</w:t>
      </w:r>
      <w:r w:rsidRPr="00B40931">
        <w:rPr>
          <w:lang w:eastAsia="fr-FR"/>
        </w:rPr>
        <w:tab/>
        <w:t>É</w:t>
      </w:r>
      <w:r w:rsidRPr="0072639D">
        <w:rPr>
          <w:lang w:eastAsia="fr-FR"/>
        </w:rPr>
        <w:t>volutions de la réglementation</w:t>
      </w:r>
      <w:r w:rsidRPr="00B40931">
        <w:rPr>
          <w:lang w:eastAsia="fr-FR"/>
        </w:rPr>
        <w:t xml:space="preserve"> et résultats des travaux des group</w:t>
      </w:r>
      <w:r>
        <w:rPr>
          <w:lang w:eastAsia="fr-FR"/>
        </w:rPr>
        <w:t>e</w:t>
      </w:r>
      <w:r w:rsidRPr="00B40931">
        <w:rPr>
          <w:lang w:eastAsia="fr-FR"/>
        </w:rPr>
        <w:t>s d</w:t>
      </w:r>
      <w:r w:rsidR="00616FE4">
        <w:rPr>
          <w:lang w:eastAsia="fr-FR"/>
        </w:rPr>
        <w:t>’</w:t>
      </w:r>
      <w:r w:rsidRPr="00B40931">
        <w:rPr>
          <w:lang w:eastAsia="fr-FR"/>
        </w:rPr>
        <w:t>experts informels</w:t>
      </w:r>
    </w:p>
    <w:p w14:paraId="54558CAD" w14:textId="77777777" w:rsidR="001E6D3C" w:rsidRPr="006B5ECB" w:rsidRDefault="001E6D3C" w:rsidP="007B3A5A">
      <w:pPr>
        <w:pStyle w:val="SingleTxtG"/>
        <w:rPr>
          <w:lang w:eastAsia="fr-FR"/>
        </w:rPr>
      </w:pPr>
      <w:r w:rsidRPr="00B25B5C">
        <w:rPr>
          <w:lang w:eastAsia="fr-FR"/>
        </w:rPr>
        <w:t>39.</w:t>
      </w:r>
      <w:r w:rsidRPr="00B25B5C">
        <w:rPr>
          <w:lang w:eastAsia="fr-FR"/>
        </w:rPr>
        <w:tab/>
        <w:t>Lors de sa soixante-troisième session, le SC.3 a adopté</w:t>
      </w:r>
      <w:r>
        <w:rPr>
          <w:lang w:eastAsia="fr-FR"/>
        </w:rPr>
        <w:t xml:space="preserve"> le </w:t>
      </w:r>
      <w:r w:rsidRPr="00B25B5C">
        <w:rPr>
          <w:lang w:eastAsia="fr-FR"/>
        </w:rPr>
        <w:t>plan d</w:t>
      </w:r>
      <w:r w:rsidR="00616FE4">
        <w:rPr>
          <w:lang w:eastAsia="fr-FR"/>
        </w:rPr>
        <w:t>’</w:t>
      </w:r>
      <w:r w:rsidRPr="00B25B5C">
        <w:rPr>
          <w:lang w:eastAsia="fr-FR"/>
        </w:rPr>
        <w:t>action en vue de la ratification, l</w:t>
      </w:r>
      <w:r w:rsidR="00616FE4">
        <w:rPr>
          <w:lang w:eastAsia="fr-FR"/>
        </w:rPr>
        <w:t>’</w:t>
      </w:r>
      <w:r w:rsidRPr="00B25B5C">
        <w:rPr>
          <w:lang w:eastAsia="fr-FR"/>
        </w:rPr>
        <w:t>acceptation, l</w:t>
      </w:r>
      <w:r w:rsidR="00616FE4">
        <w:rPr>
          <w:lang w:eastAsia="fr-FR"/>
        </w:rPr>
        <w:t>’</w:t>
      </w:r>
      <w:r w:rsidRPr="00B25B5C">
        <w:rPr>
          <w:lang w:eastAsia="fr-FR"/>
        </w:rPr>
        <w:t>approbation et l</w:t>
      </w:r>
      <w:r w:rsidR="00616FE4">
        <w:rPr>
          <w:lang w:eastAsia="fr-FR"/>
        </w:rPr>
        <w:t>’</w:t>
      </w:r>
      <w:r w:rsidRPr="00B25B5C">
        <w:rPr>
          <w:lang w:eastAsia="fr-FR"/>
        </w:rPr>
        <w:t>adhésion</w:t>
      </w:r>
      <w:r>
        <w:rPr>
          <w:lang w:eastAsia="fr-FR"/>
        </w:rPr>
        <w:t xml:space="preserve"> à l</w:t>
      </w:r>
      <w:r w:rsidR="00616FE4">
        <w:rPr>
          <w:lang w:eastAsia="fr-FR"/>
        </w:rPr>
        <w:t>’</w:t>
      </w:r>
      <w:r w:rsidRPr="00B25B5C">
        <w:rPr>
          <w:lang w:eastAsia="fr-FR"/>
        </w:rPr>
        <w:t xml:space="preserve">AGN afin de faciliter sa mise en </w:t>
      </w:r>
      <w:r>
        <w:rPr>
          <w:lang w:eastAsia="fr-FR"/>
        </w:rPr>
        <w:t>œuvre, d</w:t>
      </w:r>
      <w:r w:rsidR="00616FE4">
        <w:rPr>
          <w:lang w:eastAsia="fr-FR"/>
        </w:rPr>
        <w:t>’</w:t>
      </w:r>
      <w:r>
        <w:rPr>
          <w:lang w:eastAsia="fr-FR"/>
        </w:rPr>
        <w:t xml:space="preserve">accroître le nombre des </w:t>
      </w:r>
      <w:r w:rsidR="006A2228">
        <w:rPr>
          <w:lang w:eastAsia="fr-FR"/>
        </w:rPr>
        <w:t>P</w:t>
      </w:r>
      <w:r>
        <w:rPr>
          <w:lang w:eastAsia="fr-FR"/>
        </w:rPr>
        <w:t>arties contractantes et d</w:t>
      </w:r>
      <w:r w:rsidR="00616FE4">
        <w:rPr>
          <w:lang w:eastAsia="fr-FR"/>
        </w:rPr>
        <w:t>’</w:t>
      </w:r>
      <w:r>
        <w:rPr>
          <w:lang w:eastAsia="fr-FR"/>
        </w:rPr>
        <w:t xml:space="preserve">appliquer la nouvelle </w:t>
      </w:r>
      <w:r w:rsidR="006A2228">
        <w:rPr>
          <w:lang w:eastAsia="fr-FR"/>
        </w:rPr>
        <w:t>S</w:t>
      </w:r>
      <w:r>
        <w:rPr>
          <w:lang w:eastAsia="fr-FR"/>
        </w:rPr>
        <w:t xml:space="preserve">tratégie du CTI visant à augmenter le nombre des adhésions aux </w:t>
      </w:r>
      <w:r w:rsidR="006A2228">
        <w:rPr>
          <w:lang w:eastAsia="fr-FR"/>
        </w:rPr>
        <w:t>C</w:t>
      </w:r>
      <w:r>
        <w:rPr>
          <w:lang w:eastAsia="fr-FR"/>
        </w:rPr>
        <w:t xml:space="preserve">onventions </w:t>
      </w:r>
      <w:r w:rsidRPr="006B5ECB">
        <w:rPr>
          <w:lang w:eastAsia="fr-FR"/>
        </w:rPr>
        <w:t>de l</w:t>
      </w:r>
      <w:r w:rsidR="00616FE4">
        <w:rPr>
          <w:lang w:eastAsia="fr-FR"/>
        </w:rPr>
        <w:t>’</w:t>
      </w:r>
      <w:r w:rsidRPr="006B5ECB">
        <w:rPr>
          <w:lang w:eastAsia="fr-FR"/>
        </w:rPr>
        <w:t>ONU relatives aux transports</w:t>
      </w:r>
      <w:r>
        <w:rPr>
          <w:lang w:eastAsia="fr-FR"/>
        </w:rPr>
        <w:t>. Le texte complet et actualisé de l</w:t>
      </w:r>
      <w:r w:rsidR="00616FE4">
        <w:rPr>
          <w:lang w:eastAsia="fr-FR"/>
        </w:rPr>
        <w:t>’</w:t>
      </w:r>
      <w:r w:rsidRPr="006B5ECB">
        <w:rPr>
          <w:lang w:eastAsia="fr-FR"/>
        </w:rPr>
        <w:t>AGN a été publié en tant que document ECE/TRANS/120/Rev.4</w:t>
      </w:r>
      <w:r>
        <w:rPr>
          <w:lang w:eastAsia="fr-FR"/>
        </w:rPr>
        <w:t xml:space="preserve"> et s</w:t>
      </w:r>
      <w:r w:rsidR="00616FE4">
        <w:rPr>
          <w:lang w:eastAsia="fr-FR"/>
        </w:rPr>
        <w:t>’</w:t>
      </w:r>
      <w:r>
        <w:rPr>
          <w:lang w:eastAsia="fr-FR"/>
        </w:rPr>
        <w:t>est accompagné de la publication d</w:t>
      </w:r>
      <w:r w:rsidR="00616FE4">
        <w:rPr>
          <w:lang w:eastAsia="fr-FR"/>
        </w:rPr>
        <w:t>’</w:t>
      </w:r>
      <w:r>
        <w:rPr>
          <w:lang w:eastAsia="fr-FR"/>
        </w:rPr>
        <w:t>une carte mise à jour</w:t>
      </w:r>
      <w:r w:rsidRPr="006B5ECB">
        <w:t xml:space="preserve"> </w:t>
      </w:r>
      <w:r w:rsidRPr="006B5ECB">
        <w:rPr>
          <w:lang w:eastAsia="fr-FR"/>
        </w:rPr>
        <w:t xml:space="preserve">du </w:t>
      </w:r>
      <w:r w:rsidR="009E255C" w:rsidRPr="006B5ECB">
        <w:rPr>
          <w:lang w:eastAsia="fr-FR"/>
        </w:rPr>
        <w:t>R</w:t>
      </w:r>
      <w:r w:rsidRPr="006B5ECB">
        <w:rPr>
          <w:lang w:eastAsia="fr-FR"/>
        </w:rPr>
        <w:t>éseau européen des voies navigables</w:t>
      </w:r>
      <w:r>
        <w:rPr>
          <w:lang w:eastAsia="fr-FR"/>
        </w:rPr>
        <w:t xml:space="preserve"> qui est disponible aussi bien en tant qu</w:t>
      </w:r>
      <w:r w:rsidR="00616FE4">
        <w:rPr>
          <w:lang w:eastAsia="fr-FR"/>
        </w:rPr>
        <w:t>’</w:t>
      </w:r>
      <w:r>
        <w:rPr>
          <w:lang w:eastAsia="fr-FR"/>
        </w:rPr>
        <w:t>application SIG qu</w:t>
      </w:r>
      <w:r w:rsidR="00616FE4">
        <w:rPr>
          <w:lang w:eastAsia="fr-FR"/>
        </w:rPr>
        <w:t>’</w:t>
      </w:r>
      <w:r>
        <w:rPr>
          <w:lang w:eastAsia="fr-FR"/>
        </w:rPr>
        <w:t xml:space="preserve">en format </w:t>
      </w:r>
      <w:r w:rsidRPr="006B5ECB">
        <w:rPr>
          <w:lang w:eastAsia="fr-FR"/>
        </w:rPr>
        <w:t xml:space="preserve">pdf imprimable sur la </w:t>
      </w:r>
      <w:hyperlink r:id="rId14" w:history="1">
        <w:r>
          <w:rPr>
            <w:color w:val="0000FF"/>
            <w:lang w:eastAsia="fr-FR"/>
          </w:rPr>
          <w:t>page W</w:t>
        </w:r>
        <w:r w:rsidRPr="006B5ECB">
          <w:rPr>
            <w:color w:val="0000FF"/>
            <w:lang w:eastAsia="fr-FR"/>
          </w:rPr>
          <w:t xml:space="preserve">eb </w:t>
        </w:r>
        <w:r>
          <w:rPr>
            <w:color w:val="0000FF"/>
            <w:lang w:eastAsia="fr-FR"/>
          </w:rPr>
          <w:t>du SC.3</w:t>
        </w:r>
      </w:hyperlink>
      <w:r w:rsidRPr="006B5ECB">
        <w:rPr>
          <w:lang w:eastAsia="fr-FR"/>
        </w:rPr>
        <w:t>.</w:t>
      </w:r>
    </w:p>
    <w:p w14:paraId="71029FFD" w14:textId="77777777" w:rsidR="001E6D3C" w:rsidRPr="00350582" w:rsidRDefault="001E6D3C" w:rsidP="007B3A5A">
      <w:pPr>
        <w:pStyle w:val="SingleTxtG"/>
        <w:rPr>
          <w:lang w:eastAsia="fr-FR"/>
        </w:rPr>
      </w:pPr>
      <w:r w:rsidRPr="00350582">
        <w:rPr>
          <w:lang w:eastAsia="en-GB"/>
        </w:rPr>
        <w:lastRenderedPageBreak/>
        <w:t>40.</w:t>
      </w:r>
      <w:r w:rsidRPr="00350582">
        <w:rPr>
          <w:lang w:eastAsia="en-GB"/>
        </w:rPr>
        <w:tab/>
        <w:t>En 2019, le Groupe de travail a adopté l</w:t>
      </w:r>
      <w:r w:rsidR="00616FE4">
        <w:rPr>
          <w:lang w:eastAsia="en-GB"/>
        </w:rPr>
        <w:t>’</w:t>
      </w:r>
      <w:r w:rsidRPr="00350582">
        <w:rPr>
          <w:lang w:eastAsia="en-GB"/>
        </w:rPr>
        <w:t xml:space="preserve">additif </w:t>
      </w:r>
      <w:r w:rsidR="00BA59B8" w:rsidRPr="00BA59B8">
        <w:rPr>
          <w:rFonts w:eastAsia="MS Mincho"/>
          <w:lang w:eastAsia="en-GB"/>
        </w:rPr>
        <w:t>n</w:t>
      </w:r>
      <w:r w:rsidR="00BA59B8" w:rsidRPr="00BA59B8">
        <w:rPr>
          <w:rFonts w:eastAsia="MS Mincho"/>
          <w:vertAlign w:val="superscript"/>
          <w:lang w:eastAsia="en-GB"/>
        </w:rPr>
        <w:t>o</w:t>
      </w:r>
      <w:r w:rsidR="00BA59B8">
        <w:rPr>
          <w:lang w:eastAsia="en-GB"/>
        </w:rPr>
        <w:t> </w:t>
      </w:r>
      <w:r w:rsidRPr="00350582">
        <w:rPr>
          <w:lang w:eastAsia="en-GB"/>
        </w:rPr>
        <w:t>2 à la troisième édition révisée de l</w:t>
      </w:r>
      <w:r w:rsidR="00616FE4">
        <w:rPr>
          <w:lang w:eastAsia="en-GB"/>
        </w:rPr>
        <w:t>’</w:t>
      </w:r>
      <w:r w:rsidRPr="00350582">
        <w:rPr>
          <w:lang w:eastAsia="en-GB"/>
        </w:rPr>
        <w:t>Inventaire des normes et paramètres principaux du réseau des voies navigables E (Livre</w:t>
      </w:r>
      <w:r w:rsidR="00BA59B8">
        <w:rPr>
          <w:lang w:eastAsia="en-GB"/>
        </w:rPr>
        <w:t> </w:t>
      </w:r>
      <w:r w:rsidRPr="00350582">
        <w:rPr>
          <w:lang w:eastAsia="en-GB"/>
        </w:rPr>
        <w:t>bleu). Les informations actualisées sont également disponibles dans la</w:t>
      </w:r>
      <w:hyperlink r:id="rId15" w:history="1">
        <w:r w:rsidRPr="00350582">
          <w:rPr>
            <w:color w:val="0000FF"/>
            <w:lang w:eastAsia="fr-FR"/>
          </w:rPr>
          <w:t xml:space="preserve"> base</w:t>
        </w:r>
      </w:hyperlink>
      <w:r w:rsidRPr="00350582">
        <w:rPr>
          <w:color w:val="0000FF"/>
          <w:lang w:eastAsia="fr-FR"/>
        </w:rPr>
        <w:t xml:space="preserve"> de données en ligne du Li</w:t>
      </w:r>
      <w:r>
        <w:rPr>
          <w:color w:val="0000FF"/>
          <w:lang w:eastAsia="fr-FR"/>
        </w:rPr>
        <w:t>vre bleu</w:t>
      </w:r>
      <w:r w:rsidRPr="00350582">
        <w:rPr>
          <w:lang w:eastAsia="fr-FR"/>
        </w:rPr>
        <w:t>.</w:t>
      </w:r>
    </w:p>
    <w:p w14:paraId="0CC09045" w14:textId="77777777" w:rsidR="001E6D3C" w:rsidRPr="009E7B11" w:rsidRDefault="001E6D3C" w:rsidP="007B3A5A">
      <w:pPr>
        <w:pStyle w:val="SingleTxtG"/>
        <w:rPr>
          <w:lang w:eastAsia="fr-FR"/>
        </w:rPr>
      </w:pPr>
      <w:r w:rsidRPr="00BC14A3">
        <w:rPr>
          <w:lang w:eastAsia="fr-FR"/>
        </w:rPr>
        <w:t>41.</w:t>
      </w:r>
      <w:r w:rsidRPr="00BC14A3">
        <w:rPr>
          <w:lang w:eastAsia="fr-FR"/>
        </w:rPr>
        <w:tab/>
        <w:t>Le SC.3 et ses organ</w:t>
      </w:r>
      <w:r>
        <w:rPr>
          <w:lang w:eastAsia="fr-FR"/>
        </w:rPr>
        <w:t>e</w:t>
      </w:r>
      <w:r w:rsidRPr="00BC14A3">
        <w:rPr>
          <w:lang w:eastAsia="fr-FR"/>
        </w:rPr>
        <w:t xml:space="preserve">s subsidiaires </w:t>
      </w:r>
      <w:r>
        <w:rPr>
          <w:lang w:eastAsia="fr-FR"/>
        </w:rPr>
        <w:t xml:space="preserve">ont </w:t>
      </w:r>
      <w:r w:rsidRPr="00BC14A3">
        <w:rPr>
          <w:lang w:eastAsia="fr-FR"/>
        </w:rPr>
        <w:t>poursuiv</w:t>
      </w:r>
      <w:r>
        <w:rPr>
          <w:lang w:eastAsia="fr-FR"/>
        </w:rPr>
        <w:t xml:space="preserve">i </w:t>
      </w:r>
      <w:r w:rsidRPr="00BC14A3">
        <w:rPr>
          <w:lang w:eastAsia="fr-FR"/>
        </w:rPr>
        <w:t>leurs efforts</w:t>
      </w:r>
      <w:r>
        <w:rPr>
          <w:lang w:eastAsia="fr-FR"/>
        </w:rPr>
        <w:t xml:space="preserve"> d</w:t>
      </w:r>
      <w:r w:rsidR="00616FE4">
        <w:rPr>
          <w:lang w:eastAsia="fr-FR"/>
        </w:rPr>
        <w:t>’</w:t>
      </w:r>
      <w:r>
        <w:rPr>
          <w:lang w:eastAsia="fr-FR"/>
        </w:rPr>
        <w:t xml:space="preserve">actualisation de la </w:t>
      </w:r>
      <w:r w:rsidRPr="009A1072">
        <w:rPr>
          <w:lang w:eastAsia="fr-FR"/>
        </w:rPr>
        <w:t>cinquième édition révisée du Code européen des voies de navigation intérieure (CEVNI)</w:t>
      </w:r>
      <w:r>
        <w:rPr>
          <w:lang w:eastAsia="fr-FR"/>
        </w:rPr>
        <w:t xml:space="preserve">. Le travail de mise à jour du </w:t>
      </w:r>
      <w:r w:rsidRPr="009E7B11">
        <w:rPr>
          <w:lang w:eastAsia="fr-FR"/>
        </w:rPr>
        <w:t>CEVNI 5 se poursuivra en 2020 en vue de préparer la proc</w:t>
      </w:r>
      <w:r>
        <w:rPr>
          <w:lang w:eastAsia="fr-FR"/>
        </w:rPr>
        <w:t xml:space="preserve">haine révision, la sixième, en </w:t>
      </w:r>
      <w:r w:rsidRPr="009E7B11">
        <w:rPr>
          <w:lang w:eastAsia="fr-FR"/>
        </w:rPr>
        <w:t>2021.</w:t>
      </w:r>
    </w:p>
    <w:p w14:paraId="526B5526" w14:textId="77777777" w:rsidR="001E6D3C" w:rsidRPr="00DB4C7B" w:rsidRDefault="001E6D3C" w:rsidP="007B3A5A">
      <w:pPr>
        <w:pStyle w:val="SingleTxtG"/>
        <w:rPr>
          <w:lang w:val="en-GB" w:eastAsia="fr-FR"/>
        </w:rPr>
      </w:pPr>
      <w:bookmarkStart w:id="11" w:name="_Hlk24618116"/>
      <w:bookmarkEnd w:id="10"/>
      <w:r w:rsidRPr="00DB4C7B">
        <w:rPr>
          <w:lang w:val="en-GB" w:eastAsia="fr-FR"/>
        </w:rPr>
        <w:t>42.</w:t>
      </w:r>
      <w:r w:rsidRPr="00DB4C7B">
        <w:rPr>
          <w:lang w:val="en-GB" w:eastAsia="fr-FR"/>
        </w:rPr>
        <w:tab/>
      </w:r>
      <w:r>
        <w:rPr>
          <w:lang w:val="en-GB" w:eastAsia="fr-FR"/>
        </w:rPr>
        <w:t>E</w:t>
      </w:r>
      <w:r w:rsidRPr="00DB4C7B">
        <w:rPr>
          <w:lang w:val="en-GB" w:eastAsia="fr-FR"/>
        </w:rPr>
        <w:t xml:space="preserve">n 2019, </w:t>
      </w:r>
      <w:r>
        <w:rPr>
          <w:lang w:val="en-GB" w:eastAsia="fr-FR"/>
        </w:rPr>
        <w:t xml:space="preserve">le </w:t>
      </w:r>
      <w:r w:rsidRPr="00DB4C7B">
        <w:rPr>
          <w:lang w:val="en-GB" w:eastAsia="fr-FR"/>
        </w:rPr>
        <w:t>SC.3</w:t>
      </w:r>
      <w:r>
        <w:rPr>
          <w:lang w:val="en-GB" w:eastAsia="fr-FR"/>
        </w:rPr>
        <w:t xml:space="preserve"> a</w:t>
      </w:r>
      <w:r w:rsidR="00BA59B8">
        <w:rPr>
          <w:lang w:val="en-GB" w:eastAsia="fr-FR"/>
        </w:rPr>
        <w:t> </w:t>
      </w:r>
      <w:r w:rsidRPr="00DB4C7B">
        <w:rPr>
          <w:lang w:val="en-GB" w:eastAsia="fr-FR"/>
        </w:rPr>
        <w:t xml:space="preserve">: </w:t>
      </w:r>
    </w:p>
    <w:p w14:paraId="7AAE617A" w14:textId="77777777" w:rsidR="001E6D3C" w:rsidRDefault="00BA59B8" w:rsidP="007B3A5A">
      <w:pPr>
        <w:pStyle w:val="Bullet1G"/>
        <w:rPr>
          <w:lang w:eastAsia="fr-FR"/>
        </w:rPr>
      </w:pPr>
      <w:r w:rsidRPr="009A1072">
        <w:rPr>
          <w:lang w:eastAsia="fr-FR"/>
        </w:rPr>
        <w:t>A</w:t>
      </w:r>
      <w:r w:rsidR="001E6D3C" w:rsidRPr="009A1072">
        <w:rPr>
          <w:lang w:eastAsia="fr-FR"/>
        </w:rPr>
        <w:t>dopté l</w:t>
      </w:r>
      <w:r w:rsidR="00616FE4">
        <w:rPr>
          <w:lang w:eastAsia="fr-FR"/>
        </w:rPr>
        <w:t>’</w:t>
      </w:r>
      <w:r w:rsidR="001E6D3C" w:rsidRPr="009A1072">
        <w:rPr>
          <w:lang w:eastAsia="fr-FR"/>
        </w:rPr>
        <w:t xml:space="preserve">amendement </w:t>
      </w:r>
      <w:r w:rsidRPr="00BA59B8">
        <w:rPr>
          <w:rFonts w:eastAsia="MS Mincho"/>
          <w:lang w:eastAsia="fr-FR"/>
        </w:rPr>
        <w:t>n</w:t>
      </w:r>
      <w:r w:rsidRPr="00BA59B8">
        <w:rPr>
          <w:rFonts w:eastAsia="MS Mincho"/>
          <w:vertAlign w:val="superscript"/>
          <w:lang w:eastAsia="fr-FR"/>
        </w:rPr>
        <w:t>o</w:t>
      </w:r>
      <w:r>
        <w:rPr>
          <w:lang w:eastAsia="fr-FR"/>
        </w:rPr>
        <w:t> </w:t>
      </w:r>
      <w:r w:rsidR="001E6D3C" w:rsidRPr="009A1072">
        <w:rPr>
          <w:lang w:eastAsia="fr-FR"/>
        </w:rPr>
        <w:t>1 aux Recommandations relatives à des prescriptions techniques harmonisées à l</w:t>
      </w:r>
      <w:r w:rsidR="00616FE4">
        <w:rPr>
          <w:lang w:eastAsia="fr-FR"/>
        </w:rPr>
        <w:t>’</w:t>
      </w:r>
      <w:r w:rsidR="001E6D3C" w:rsidRPr="009A1072">
        <w:rPr>
          <w:lang w:eastAsia="fr-FR"/>
        </w:rPr>
        <w:t xml:space="preserve">échelle européenne applicables aux bateaux de navigation intérieure (résolution </w:t>
      </w:r>
      <w:r w:rsidRPr="00BA59B8">
        <w:rPr>
          <w:rFonts w:eastAsia="MS Mincho"/>
          <w:lang w:eastAsia="fr-FR"/>
        </w:rPr>
        <w:t>n</w:t>
      </w:r>
      <w:r w:rsidRPr="00BA59B8">
        <w:rPr>
          <w:rFonts w:eastAsia="MS Mincho"/>
          <w:vertAlign w:val="superscript"/>
          <w:lang w:eastAsia="fr-FR"/>
        </w:rPr>
        <w:t>o</w:t>
      </w:r>
      <w:r>
        <w:rPr>
          <w:lang w:eastAsia="fr-FR"/>
        </w:rPr>
        <w:t> </w:t>
      </w:r>
      <w:r w:rsidR="001E6D3C" w:rsidRPr="009A1072">
        <w:rPr>
          <w:lang w:eastAsia="fr-FR"/>
        </w:rPr>
        <w:t>61, révision 2)</w:t>
      </w:r>
      <w:r w:rsidR="001E6D3C">
        <w:rPr>
          <w:lang w:eastAsia="fr-FR"/>
        </w:rPr>
        <w:t xml:space="preserve"> en tant que résolution </w:t>
      </w:r>
      <w:r w:rsidRPr="00BA59B8">
        <w:rPr>
          <w:rFonts w:eastAsia="MS Mincho"/>
          <w:lang w:eastAsia="fr-FR"/>
        </w:rPr>
        <w:t>n</w:t>
      </w:r>
      <w:r w:rsidRPr="00BA59B8">
        <w:rPr>
          <w:rFonts w:eastAsia="MS Mincho"/>
          <w:vertAlign w:val="superscript"/>
          <w:lang w:eastAsia="fr-FR"/>
        </w:rPr>
        <w:t>o</w:t>
      </w:r>
      <w:r>
        <w:rPr>
          <w:lang w:eastAsia="fr-FR"/>
        </w:rPr>
        <w:t> </w:t>
      </w:r>
      <w:r w:rsidR="001E6D3C">
        <w:rPr>
          <w:lang w:eastAsia="fr-FR"/>
        </w:rPr>
        <w:t>93</w:t>
      </w:r>
      <w:r>
        <w:rPr>
          <w:lang w:eastAsia="fr-FR"/>
        </w:rPr>
        <w:t> ;</w:t>
      </w:r>
      <w:r w:rsidR="001E6D3C" w:rsidRPr="009A1072">
        <w:rPr>
          <w:lang w:eastAsia="fr-FR"/>
        </w:rPr>
        <w:t xml:space="preserve"> </w:t>
      </w:r>
    </w:p>
    <w:p w14:paraId="0EDE7AE3" w14:textId="77777777" w:rsidR="001E6D3C" w:rsidRPr="006507A0" w:rsidRDefault="00BA59B8" w:rsidP="007B3A5A">
      <w:pPr>
        <w:pStyle w:val="Bullet1G"/>
        <w:rPr>
          <w:lang w:eastAsia="fr-FR"/>
        </w:rPr>
      </w:pPr>
      <w:r w:rsidRPr="006507A0">
        <w:rPr>
          <w:lang w:eastAsia="fr-FR"/>
        </w:rPr>
        <w:t>R</w:t>
      </w:r>
      <w:r w:rsidR="001E6D3C" w:rsidRPr="006507A0">
        <w:rPr>
          <w:lang w:eastAsia="fr-FR"/>
        </w:rPr>
        <w:t xml:space="preserve">évisé la résolution </w:t>
      </w:r>
      <w:r w:rsidRPr="00BA59B8">
        <w:rPr>
          <w:rFonts w:eastAsia="MS Mincho"/>
          <w:lang w:eastAsia="fr-FR"/>
        </w:rPr>
        <w:t>n</w:t>
      </w:r>
      <w:r w:rsidRPr="00BA59B8">
        <w:rPr>
          <w:rFonts w:eastAsia="MS Mincho"/>
          <w:vertAlign w:val="superscript"/>
          <w:lang w:eastAsia="fr-FR"/>
        </w:rPr>
        <w:t>o</w:t>
      </w:r>
      <w:r>
        <w:rPr>
          <w:lang w:eastAsia="fr-FR"/>
        </w:rPr>
        <w:t> </w:t>
      </w:r>
      <w:r w:rsidR="001E6D3C" w:rsidRPr="006507A0">
        <w:rPr>
          <w:lang w:eastAsia="fr-FR"/>
        </w:rPr>
        <w:t xml:space="preserve">21 </w:t>
      </w:r>
      <w:r>
        <w:rPr>
          <w:lang w:eastAsia="fr-FR"/>
        </w:rPr>
        <w:t>« </w:t>
      </w:r>
      <w:r w:rsidR="001E6D3C" w:rsidRPr="009A1072">
        <w:rPr>
          <w:lang w:eastAsia="fr-FR"/>
        </w:rPr>
        <w:t>Prévention de la pollution des eaux par les bateaux</w:t>
      </w:r>
      <w:r>
        <w:rPr>
          <w:lang w:eastAsia="fr-FR"/>
        </w:rPr>
        <w:t> »</w:t>
      </w:r>
      <w:r w:rsidR="001E6D3C" w:rsidRPr="006507A0">
        <w:rPr>
          <w:lang w:eastAsia="fr-FR"/>
        </w:rPr>
        <w:t xml:space="preserve"> et l</w:t>
      </w:r>
      <w:r w:rsidR="00616FE4">
        <w:rPr>
          <w:lang w:eastAsia="fr-FR"/>
        </w:rPr>
        <w:t>’</w:t>
      </w:r>
      <w:r w:rsidR="001E6D3C" w:rsidRPr="006507A0">
        <w:rPr>
          <w:lang w:eastAsia="fr-FR"/>
        </w:rPr>
        <w:t xml:space="preserve">a adoptée en tant que résolution </w:t>
      </w:r>
      <w:r w:rsidRPr="00BA59B8">
        <w:rPr>
          <w:rFonts w:eastAsia="MS Mincho"/>
          <w:lang w:eastAsia="fr-FR"/>
        </w:rPr>
        <w:t>n</w:t>
      </w:r>
      <w:r w:rsidRPr="00BA59B8">
        <w:rPr>
          <w:rFonts w:eastAsia="MS Mincho"/>
          <w:vertAlign w:val="superscript"/>
          <w:lang w:eastAsia="fr-FR"/>
        </w:rPr>
        <w:t>o</w:t>
      </w:r>
      <w:r>
        <w:rPr>
          <w:lang w:eastAsia="fr-FR"/>
        </w:rPr>
        <w:t> </w:t>
      </w:r>
      <w:r w:rsidR="001E6D3C" w:rsidRPr="006507A0">
        <w:rPr>
          <w:lang w:eastAsia="fr-FR"/>
        </w:rPr>
        <w:t>94</w:t>
      </w:r>
      <w:r>
        <w:rPr>
          <w:lang w:eastAsia="fr-FR"/>
        </w:rPr>
        <w:t> ;</w:t>
      </w:r>
      <w:r w:rsidR="001E6D3C" w:rsidRPr="006507A0">
        <w:rPr>
          <w:lang w:eastAsia="fr-FR"/>
        </w:rPr>
        <w:t xml:space="preserve"> </w:t>
      </w:r>
    </w:p>
    <w:p w14:paraId="081D09CB" w14:textId="77777777" w:rsidR="001E6D3C" w:rsidRPr="006507A0" w:rsidRDefault="00BA59B8" w:rsidP="007B3A5A">
      <w:pPr>
        <w:pStyle w:val="Bullet1G"/>
        <w:rPr>
          <w:lang w:eastAsia="fr-FR"/>
        </w:rPr>
      </w:pPr>
      <w:r>
        <w:rPr>
          <w:lang w:eastAsia="fr-FR"/>
        </w:rPr>
        <w:t>P</w:t>
      </w:r>
      <w:r w:rsidR="001E6D3C">
        <w:rPr>
          <w:lang w:eastAsia="fr-FR"/>
        </w:rPr>
        <w:t xml:space="preserve">oursuivi les travaux visant à promouvoir la navigation de plaisance. La version actualisée du </w:t>
      </w:r>
      <w:r w:rsidRPr="009E255C">
        <w:rPr>
          <w:lang w:eastAsia="fr-FR"/>
        </w:rPr>
        <w:t>R</w:t>
      </w:r>
      <w:r w:rsidR="001E6D3C" w:rsidRPr="009E255C">
        <w:rPr>
          <w:lang w:eastAsia="fr-FR"/>
        </w:rPr>
        <w:t>éseau</w:t>
      </w:r>
      <w:r w:rsidR="001E6D3C" w:rsidRPr="006507A0">
        <w:rPr>
          <w:lang w:eastAsia="fr-FR"/>
        </w:rPr>
        <w:t xml:space="preserve"> européen de navigation de plaisance (AGNP)</w:t>
      </w:r>
      <w:r w:rsidR="001E6D3C">
        <w:rPr>
          <w:lang w:eastAsia="fr-FR"/>
        </w:rPr>
        <w:t xml:space="preserve"> a été finalisée et téléchargée sur la page Web du SC.3. </w:t>
      </w:r>
      <w:r w:rsidR="001E6D3C" w:rsidRPr="006507A0">
        <w:rPr>
          <w:lang w:eastAsia="fr-FR"/>
        </w:rPr>
        <w:t>La</w:t>
      </w:r>
      <w:hyperlink r:id="rId16" w:history="1">
        <w:r w:rsidR="001E6D3C">
          <w:rPr>
            <w:color w:val="0000FF"/>
            <w:lang w:eastAsia="fr-FR"/>
          </w:rPr>
          <w:t xml:space="preserve"> </w:t>
        </w:r>
        <w:r w:rsidR="001E6D3C" w:rsidRPr="006507A0">
          <w:rPr>
            <w:color w:val="0000FF"/>
            <w:lang w:eastAsia="fr-FR"/>
          </w:rPr>
          <w:t xml:space="preserve">base de données de spécimens de certificat ICC </w:t>
        </w:r>
      </w:hyperlink>
      <w:r w:rsidR="001E6D3C" w:rsidRPr="006507A0">
        <w:rPr>
          <w:lang w:eastAsia="fr-FR"/>
        </w:rPr>
        <w:t xml:space="preserve">a été complétée </w:t>
      </w:r>
      <w:r w:rsidR="001E6D3C">
        <w:rPr>
          <w:lang w:eastAsia="fr-FR"/>
        </w:rPr>
        <w:t xml:space="preserve">par des spécimens transmis par la </w:t>
      </w:r>
      <w:r w:rsidR="001E6D3C" w:rsidRPr="006507A0">
        <w:rPr>
          <w:lang w:eastAsia="fr-FR"/>
        </w:rPr>
        <w:t>Croati</w:t>
      </w:r>
      <w:r w:rsidR="001E6D3C">
        <w:rPr>
          <w:lang w:eastAsia="fr-FR"/>
        </w:rPr>
        <w:t>e</w:t>
      </w:r>
      <w:r w:rsidR="001E6D3C" w:rsidRPr="006507A0">
        <w:rPr>
          <w:lang w:eastAsia="fr-FR"/>
        </w:rPr>
        <w:t xml:space="preserve">, </w:t>
      </w:r>
      <w:r w:rsidR="001E6D3C">
        <w:rPr>
          <w:lang w:eastAsia="fr-FR"/>
        </w:rPr>
        <w:t>l</w:t>
      </w:r>
      <w:r w:rsidR="00616FE4">
        <w:rPr>
          <w:lang w:eastAsia="fr-FR"/>
        </w:rPr>
        <w:t>’</w:t>
      </w:r>
      <w:r w:rsidR="001E6D3C" w:rsidRPr="006507A0">
        <w:rPr>
          <w:lang w:eastAsia="fr-FR"/>
        </w:rPr>
        <w:t>Irland</w:t>
      </w:r>
      <w:r w:rsidR="001E6D3C">
        <w:rPr>
          <w:lang w:eastAsia="fr-FR"/>
        </w:rPr>
        <w:t>e</w:t>
      </w:r>
      <w:r w:rsidR="001E6D3C" w:rsidRPr="006507A0">
        <w:rPr>
          <w:lang w:eastAsia="fr-FR"/>
        </w:rPr>
        <w:t xml:space="preserve">, </w:t>
      </w:r>
      <w:r w:rsidR="001E6D3C">
        <w:rPr>
          <w:lang w:eastAsia="fr-FR"/>
        </w:rPr>
        <w:t xml:space="preserve">la </w:t>
      </w:r>
      <w:r w:rsidR="001E6D3C" w:rsidRPr="006507A0">
        <w:rPr>
          <w:lang w:eastAsia="fr-FR"/>
        </w:rPr>
        <w:t>Lituani</w:t>
      </w:r>
      <w:r w:rsidR="001E6D3C">
        <w:rPr>
          <w:lang w:eastAsia="fr-FR"/>
        </w:rPr>
        <w:t>e et l</w:t>
      </w:r>
      <w:r w:rsidR="00616FE4">
        <w:rPr>
          <w:lang w:eastAsia="fr-FR"/>
        </w:rPr>
        <w:t>’</w:t>
      </w:r>
      <w:r w:rsidR="001E6D3C" w:rsidRPr="006507A0">
        <w:rPr>
          <w:lang w:eastAsia="fr-FR"/>
        </w:rPr>
        <w:t>Afri</w:t>
      </w:r>
      <w:r w:rsidR="001E6D3C">
        <w:rPr>
          <w:lang w:eastAsia="fr-FR"/>
        </w:rPr>
        <w:t>que du Sud.</w:t>
      </w:r>
    </w:p>
    <w:bookmarkEnd w:id="11"/>
    <w:p w14:paraId="5D0D747B" w14:textId="77777777" w:rsidR="001E6D3C" w:rsidRPr="00212539" w:rsidRDefault="001E6D3C" w:rsidP="007B3A5A">
      <w:pPr>
        <w:pStyle w:val="H23G"/>
        <w:rPr>
          <w:lang w:eastAsia="fr-FR"/>
        </w:rPr>
      </w:pPr>
      <w:r w:rsidRPr="006507A0">
        <w:rPr>
          <w:lang w:eastAsia="fr-FR"/>
        </w:rPr>
        <w:tab/>
      </w:r>
      <w:r w:rsidRPr="00212539">
        <w:rPr>
          <w:lang w:eastAsia="fr-FR"/>
        </w:rPr>
        <w:t>3.</w:t>
      </w:r>
      <w:r w:rsidRPr="00212539">
        <w:rPr>
          <w:lang w:eastAsia="fr-FR"/>
        </w:rPr>
        <w:tab/>
        <w:t>S</w:t>
      </w:r>
      <w:r w:rsidRPr="00B40931">
        <w:rPr>
          <w:lang w:eastAsia="fr-FR"/>
        </w:rPr>
        <w:t xml:space="preserve">ujets importants </w:t>
      </w:r>
      <w:r>
        <w:rPr>
          <w:lang w:eastAsia="fr-FR"/>
        </w:rPr>
        <w:t>pour les t</w:t>
      </w:r>
      <w:r w:rsidRPr="00B40931">
        <w:rPr>
          <w:lang w:eastAsia="fr-FR"/>
        </w:rPr>
        <w:t>ransports par voies navigables</w:t>
      </w:r>
      <w:r w:rsidRPr="00212539">
        <w:rPr>
          <w:lang w:eastAsia="fr-FR"/>
        </w:rPr>
        <w:t xml:space="preserve"> en 2019</w:t>
      </w:r>
    </w:p>
    <w:p w14:paraId="683A7450" w14:textId="77777777" w:rsidR="001E6D3C" w:rsidRPr="006507A0" w:rsidRDefault="001E6D3C" w:rsidP="007B3A5A">
      <w:pPr>
        <w:pStyle w:val="H23G"/>
        <w:rPr>
          <w:lang w:eastAsia="fr-FR"/>
        </w:rPr>
      </w:pPr>
      <w:r w:rsidRPr="00212539">
        <w:rPr>
          <w:lang w:eastAsia="fr-FR"/>
        </w:rPr>
        <w:tab/>
      </w:r>
      <w:r w:rsidRPr="006507A0">
        <w:rPr>
          <w:lang w:eastAsia="fr-FR"/>
        </w:rPr>
        <w:t>a)</w:t>
      </w:r>
      <w:r w:rsidRPr="006507A0">
        <w:rPr>
          <w:lang w:eastAsia="fr-FR"/>
        </w:rPr>
        <w:tab/>
      </w:r>
      <w:bookmarkStart w:id="12" w:name="_Hlk24618187"/>
      <w:r w:rsidRPr="006507A0">
        <w:rPr>
          <w:lang w:eastAsia="fr-FR"/>
        </w:rPr>
        <w:t>Innovations dans le domaine des transports par voie navigable</w:t>
      </w:r>
      <w:r w:rsidR="00BA59B8">
        <w:rPr>
          <w:lang w:eastAsia="fr-FR"/>
        </w:rPr>
        <w:t> </w:t>
      </w:r>
      <w:r w:rsidRPr="006507A0">
        <w:rPr>
          <w:lang w:eastAsia="fr-FR"/>
        </w:rPr>
        <w:t>: technologies concernant les services d</w:t>
      </w:r>
      <w:r w:rsidR="00616FE4">
        <w:rPr>
          <w:lang w:eastAsia="fr-FR"/>
        </w:rPr>
        <w:t>’</w:t>
      </w:r>
      <w:r w:rsidRPr="006507A0">
        <w:rPr>
          <w:lang w:eastAsia="fr-FR"/>
        </w:rPr>
        <w:t>information fluviale</w:t>
      </w:r>
      <w:r w:rsidRPr="00BA59B8">
        <w:rPr>
          <w:rStyle w:val="FootnoteReference"/>
          <w:b w:val="0"/>
          <w:bCs/>
        </w:rPr>
        <w:footnoteReference w:id="4"/>
      </w:r>
      <w:r w:rsidRPr="006507A0">
        <w:rPr>
          <w:lang w:eastAsia="fr-FR"/>
        </w:rPr>
        <w:t xml:space="preserve">, navigation automatisée </w:t>
      </w:r>
      <w:r w:rsidR="00125956">
        <w:rPr>
          <w:lang w:eastAsia="fr-FR"/>
        </w:rPr>
        <w:br/>
      </w:r>
      <w:r w:rsidRPr="006507A0">
        <w:rPr>
          <w:lang w:eastAsia="fr-FR"/>
        </w:rPr>
        <w:t>et navigation intelligente</w:t>
      </w:r>
    </w:p>
    <w:p w14:paraId="258D14E7" w14:textId="77777777" w:rsidR="001E6D3C" w:rsidRDefault="001E6D3C" w:rsidP="007B3A5A">
      <w:pPr>
        <w:pStyle w:val="SingleTxtG"/>
        <w:rPr>
          <w:lang w:eastAsia="fr-FR"/>
        </w:rPr>
      </w:pPr>
      <w:r w:rsidRPr="00D629A2">
        <w:rPr>
          <w:lang w:eastAsia="fr-FR"/>
        </w:rPr>
        <w:t>43.</w:t>
      </w:r>
      <w:r w:rsidRPr="00D629A2">
        <w:rPr>
          <w:lang w:eastAsia="fr-FR"/>
        </w:rPr>
        <w:tab/>
        <w:t>Les innovations dans le domaine des transports par voie navigable constituent actuellement</w:t>
      </w:r>
      <w:r>
        <w:rPr>
          <w:lang w:eastAsia="fr-FR"/>
        </w:rPr>
        <w:t xml:space="preserve"> le thème principal pour ce mode de transport, notamment en raison de leur potentiel en matière de réduction des émissions des bateaux et d</w:t>
      </w:r>
      <w:r w:rsidR="00616FE4">
        <w:rPr>
          <w:lang w:eastAsia="fr-FR"/>
        </w:rPr>
        <w:t>’</w:t>
      </w:r>
      <w:r>
        <w:rPr>
          <w:lang w:eastAsia="fr-FR"/>
        </w:rPr>
        <w:t>augmentation de l</w:t>
      </w:r>
      <w:r w:rsidR="00616FE4">
        <w:rPr>
          <w:lang w:eastAsia="fr-FR"/>
        </w:rPr>
        <w:t>’</w:t>
      </w:r>
      <w:r>
        <w:rPr>
          <w:lang w:eastAsia="fr-FR"/>
        </w:rPr>
        <w:t>efficacité énergétique de la flotte.</w:t>
      </w:r>
    </w:p>
    <w:bookmarkEnd w:id="12"/>
    <w:p w14:paraId="3067B4B7" w14:textId="77777777" w:rsidR="001E6D3C" w:rsidRPr="00377074" w:rsidRDefault="001E6D3C" w:rsidP="007B3A5A">
      <w:pPr>
        <w:pStyle w:val="H23G"/>
        <w:rPr>
          <w:lang w:eastAsia="fr-FR"/>
        </w:rPr>
      </w:pPr>
      <w:r w:rsidRPr="00D629A2">
        <w:rPr>
          <w:lang w:eastAsia="fr-FR"/>
        </w:rPr>
        <w:tab/>
      </w:r>
      <w:r w:rsidRPr="00377074">
        <w:rPr>
          <w:lang w:eastAsia="fr-FR"/>
        </w:rPr>
        <w:t>b)</w:t>
      </w:r>
      <w:r w:rsidRPr="00377074">
        <w:rPr>
          <w:lang w:eastAsia="fr-FR"/>
        </w:rPr>
        <w:tab/>
        <w:t>Services d</w:t>
      </w:r>
      <w:r w:rsidR="00616FE4">
        <w:rPr>
          <w:lang w:eastAsia="fr-FR"/>
        </w:rPr>
        <w:t>’</w:t>
      </w:r>
      <w:r w:rsidRPr="00377074">
        <w:rPr>
          <w:lang w:eastAsia="fr-FR"/>
        </w:rPr>
        <w:t>information fluviale</w:t>
      </w:r>
    </w:p>
    <w:p w14:paraId="158C9F4F" w14:textId="77777777" w:rsidR="001E6D3C" w:rsidRPr="008F4873" w:rsidRDefault="001E6D3C" w:rsidP="007B3A5A">
      <w:pPr>
        <w:pStyle w:val="SingleTxtG"/>
        <w:rPr>
          <w:lang w:eastAsia="fr-FR"/>
        </w:rPr>
      </w:pPr>
      <w:r w:rsidRPr="009A1072">
        <w:rPr>
          <w:lang w:eastAsia="fr-FR"/>
        </w:rPr>
        <w:t>44.</w:t>
      </w:r>
      <w:r w:rsidRPr="009A1072">
        <w:rPr>
          <w:lang w:eastAsia="fr-FR"/>
        </w:rPr>
        <w:tab/>
        <w:t>En 2019, le SC.3/WP.3 a mis la dernière main à</w:t>
      </w:r>
      <w:r>
        <w:rPr>
          <w:lang w:eastAsia="fr-FR"/>
        </w:rPr>
        <w:t xml:space="preserve"> la révision </w:t>
      </w:r>
      <w:r w:rsidRPr="00D629A2">
        <w:rPr>
          <w:lang w:eastAsia="fr-FR"/>
        </w:rPr>
        <w:t>de la recommandation relative au système de visualisation des cartes électroniques et d</w:t>
      </w:r>
      <w:r w:rsidR="00616FE4">
        <w:rPr>
          <w:lang w:eastAsia="fr-FR"/>
        </w:rPr>
        <w:t>’</w:t>
      </w:r>
      <w:r w:rsidRPr="00D629A2">
        <w:rPr>
          <w:lang w:eastAsia="fr-FR"/>
        </w:rPr>
        <w:t xml:space="preserve">information pour la navigation intérieure </w:t>
      </w:r>
      <w:r w:rsidRPr="008F4873">
        <w:rPr>
          <w:lang w:eastAsia="fr-FR"/>
        </w:rPr>
        <w:t xml:space="preserve">(ECDIS Intérieur) </w:t>
      </w:r>
      <w:r w:rsidRPr="00D629A2">
        <w:rPr>
          <w:lang w:eastAsia="fr-FR"/>
        </w:rPr>
        <w:t xml:space="preserve">(résolution </w:t>
      </w:r>
      <w:r w:rsidR="00125956" w:rsidRPr="00125956">
        <w:rPr>
          <w:rFonts w:eastAsia="MS Mincho"/>
          <w:lang w:eastAsia="fr-FR"/>
        </w:rPr>
        <w:t>n</w:t>
      </w:r>
      <w:r w:rsidR="00125956" w:rsidRPr="00125956">
        <w:rPr>
          <w:rFonts w:eastAsia="MS Mincho"/>
          <w:vertAlign w:val="superscript"/>
          <w:lang w:eastAsia="fr-FR"/>
        </w:rPr>
        <w:t>o</w:t>
      </w:r>
      <w:r w:rsidR="00125956">
        <w:rPr>
          <w:lang w:eastAsia="fr-FR"/>
        </w:rPr>
        <w:t> </w:t>
      </w:r>
      <w:r w:rsidRPr="008F4873">
        <w:rPr>
          <w:lang w:eastAsia="fr-FR"/>
        </w:rPr>
        <w:t>48)</w:t>
      </w:r>
      <w:r>
        <w:rPr>
          <w:lang w:eastAsia="fr-FR"/>
        </w:rPr>
        <w:t>,</w:t>
      </w:r>
      <w:r w:rsidRPr="008F4873">
        <w:t xml:space="preserve"> </w:t>
      </w:r>
      <w:r>
        <w:t xml:space="preserve">ainsi que </w:t>
      </w:r>
      <w:r w:rsidRPr="008F4873">
        <w:t>de la n</w:t>
      </w:r>
      <w:r w:rsidRPr="008F4873">
        <w:rPr>
          <w:lang w:eastAsia="fr-FR"/>
        </w:rPr>
        <w:t xml:space="preserve">orme internationale relative aux avis à la batellerie en navigation intérieure (résolution </w:t>
      </w:r>
      <w:r w:rsidR="00125956" w:rsidRPr="00125956">
        <w:rPr>
          <w:rFonts w:eastAsia="MS Mincho"/>
          <w:lang w:eastAsia="fr-FR"/>
        </w:rPr>
        <w:t>n</w:t>
      </w:r>
      <w:r w:rsidR="00125956" w:rsidRPr="00125956">
        <w:rPr>
          <w:rFonts w:eastAsia="MS Mincho"/>
          <w:vertAlign w:val="superscript"/>
          <w:lang w:eastAsia="fr-FR"/>
        </w:rPr>
        <w:t>o</w:t>
      </w:r>
      <w:r w:rsidR="00125956">
        <w:rPr>
          <w:lang w:eastAsia="fr-FR"/>
        </w:rPr>
        <w:t> </w:t>
      </w:r>
      <w:r w:rsidRPr="008F4873">
        <w:rPr>
          <w:lang w:eastAsia="fr-FR"/>
        </w:rPr>
        <w:t>80)</w:t>
      </w:r>
      <w:r>
        <w:rPr>
          <w:lang w:eastAsia="fr-FR"/>
        </w:rPr>
        <w:t xml:space="preserve"> </w:t>
      </w:r>
      <w:r w:rsidRPr="008F4873">
        <w:rPr>
          <w:lang w:eastAsia="fr-FR"/>
        </w:rPr>
        <w:t xml:space="preserve">en étroite coopération avec les </w:t>
      </w:r>
      <w:r w:rsidR="00125956" w:rsidRPr="008F4873">
        <w:rPr>
          <w:lang w:eastAsia="fr-FR"/>
        </w:rPr>
        <w:t>P</w:t>
      </w:r>
      <w:r w:rsidRPr="008F4873">
        <w:rPr>
          <w:lang w:eastAsia="fr-FR"/>
        </w:rPr>
        <w:t>résidents du Groupe international d</w:t>
      </w:r>
      <w:r w:rsidR="00616FE4">
        <w:rPr>
          <w:lang w:eastAsia="fr-FR"/>
        </w:rPr>
        <w:t>’</w:t>
      </w:r>
      <w:r w:rsidRPr="008F4873">
        <w:rPr>
          <w:lang w:eastAsia="fr-FR"/>
        </w:rPr>
        <w:t>experts de l</w:t>
      </w:r>
      <w:r w:rsidR="00616FE4">
        <w:rPr>
          <w:lang w:eastAsia="fr-FR"/>
        </w:rPr>
        <w:t>’</w:t>
      </w:r>
      <w:r w:rsidRPr="008F4873">
        <w:rPr>
          <w:lang w:eastAsia="fr-FR"/>
        </w:rPr>
        <w:t>ECDIS et du Groupe international d</w:t>
      </w:r>
      <w:r w:rsidR="00616FE4">
        <w:rPr>
          <w:lang w:eastAsia="fr-FR"/>
        </w:rPr>
        <w:t>’</w:t>
      </w:r>
      <w:r w:rsidRPr="008F4873">
        <w:rPr>
          <w:lang w:eastAsia="fr-FR"/>
        </w:rPr>
        <w:t xml:space="preserve">experts des avis à la batellerie. </w:t>
      </w:r>
      <w:r>
        <w:rPr>
          <w:lang w:eastAsia="fr-FR"/>
        </w:rPr>
        <w:t xml:space="preserve">Lors de </w:t>
      </w:r>
      <w:r w:rsidRPr="008F4873">
        <w:rPr>
          <w:lang w:eastAsia="fr-FR"/>
        </w:rPr>
        <w:t>sa soixante-troisième session, le SC.3 a adopté</w:t>
      </w:r>
      <w:r>
        <w:rPr>
          <w:lang w:eastAsia="fr-FR"/>
        </w:rPr>
        <w:t xml:space="preserve"> </w:t>
      </w:r>
      <w:r w:rsidRPr="008F4873">
        <w:rPr>
          <w:lang w:eastAsia="fr-FR"/>
        </w:rPr>
        <w:t xml:space="preserve">a) </w:t>
      </w:r>
      <w:r>
        <w:rPr>
          <w:lang w:eastAsia="fr-FR"/>
        </w:rPr>
        <w:t>la r</w:t>
      </w:r>
      <w:r w:rsidRPr="008F4873">
        <w:rPr>
          <w:lang w:eastAsia="fr-FR"/>
        </w:rPr>
        <w:t>ecommandation relative au système de visualisation des cartes électroniques et d</w:t>
      </w:r>
      <w:r w:rsidR="00616FE4">
        <w:rPr>
          <w:lang w:eastAsia="fr-FR"/>
        </w:rPr>
        <w:t>’</w:t>
      </w:r>
      <w:r w:rsidRPr="008F4873">
        <w:rPr>
          <w:lang w:eastAsia="fr-FR"/>
        </w:rPr>
        <w:t xml:space="preserve">informations pour la navigation intérieure (résolution </w:t>
      </w:r>
      <w:r w:rsidR="00125956" w:rsidRPr="00125956">
        <w:rPr>
          <w:rFonts w:eastAsia="MS Mincho"/>
          <w:lang w:eastAsia="fr-FR"/>
        </w:rPr>
        <w:t>n</w:t>
      </w:r>
      <w:r w:rsidR="00125956" w:rsidRPr="00125956">
        <w:rPr>
          <w:rFonts w:eastAsia="MS Mincho"/>
          <w:vertAlign w:val="superscript"/>
          <w:lang w:eastAsia="fr-FR"/>
        </w:rPr>
        <w:t>o</w:t>
      </w:r>
      <w:r w:rsidR="00125956">
        <w:rPr>
          <w:lang w:eastAsia="fr-FR"/>
        </w:rPr>
        <w:t> </w:t>
      </w:r>
      <w:r w:rsidRPr="008F4873">
        <w:rPr>
          <w:lang w:eastAsia="fr-FR"/>
        </w:rPr>
        <w:t xml:space="preserve">48, révision </w:t>
      </w:r>
      <w:r>
        <w:rPr>
          <w:lang w:eastAsia="fr-FR"/>
        </w:rPr>
        <w:t>4</w:t>
      </w:r>
      <w:r w:rsidRPr="008F4873">
        <w:rPr>
          <w:lang w:eastAsia="fr-FR"/>
        </w:rPr>
        <w:t>)</w:t>
      </w:r>
      <w:r>
        <w:rPr>
          <w:lang w:eastAsia="fr-FR"/>
        </w:rPr>
        <w:t xml:space="preserve">, en tant que résolution </w:t>
      </w:r>
      <w:r w:rsidR="00125956" w:rsidRPr="00125956">
        <w:rPr>
          <w:rFonts w:eastAsia="MS Mincho"/>
          <w:lang w:eastAsia="fr-FR"/>
        </w:rPr>
        <w:t>n</w:t>
      </w:r>
      <w:r w:rsidR="00125956" w:rsidRPr="00125956">
        <w:rPr>
          <w:rFonts w:eastAsia="MS Mincho"/>
          <w:vertAlign w:val="superscript"/>
          <w:lang w:eastAsia="fr-FR"/>
        </w:rPr>
        <w:t>o</w:t>
      </w:r>
      <w:r w:rsidR="00125956">
        <w:rPr>
          <w:lang w:eastAsia="fr-FR"/>
        </w:rPr>
        <w:t> </w:t>
      </w:r>
      <w:r>
        <w:rPr>
          <w:lang w:eastAsia="fr-FR"/>
        </w:rPr>
        <w:t>96, et</w:t>
      </w:r>
      <w:r w:rsidRPr="008F4873">
        <w:rPr>
          <w:lang w:eastAsia="fr-FR"/>
        </w:rPr>
        <w:t xml:space="preserve"> b) </w:t>
      </w:r>
      <w:r>
        <w:rPr>
          <w:lang w:eastAsia="fr-FR"/>
        </w:rPr>
        <w:t>la n</w:t>
      </w:r>
      <w:r w:rsidRPr="008F4873">
        <w:rPr>
          <w:lang w:eastAsia="fr-FR"/>
        </w:rPr>
        <w:t>orme internationale relative aux avis à la batellerie en navigation intérieure (</w:t>
      </w:r>
      <w:r>
        <w:rPr>
          <w:lang w:eastAsia="fr-FR"/>
        </w:rPr>
        <w:t>r</w:t>
      </w:r>
      <w:r w:rsidRPr="008F4873">
        <w:rPr>
          <w:lang w:eastAsia="fr-FR"/>
        </w:rPr>
        <w:t xml:space="preserve">ésolution </w:t>
      </w:r>
      <w:r w:rsidR="00125956" w:rsidRPr="00125956">
        <w:rPr>
          <w:rFonts w:eastAsia="MS Mincho"/>
          <w:lang w:eastAsia="fr-FR"/>
        </w:rPr>
        <w:t>n</w:t>
      </w:r>
      <w:r w:rsidR="00125956" w:rsidRPr="00125956">
        <w:rPr>
          <w:rFonts w:eastAsia="MS Mincho"/>
          <w:vertAlign w:val="superscript"/>
          <w:lang w:eastAsia="fr-FR"/>
        </w:rPr>
        <w:t>o</w:t>
      </w:r>
      <w:r w:rsidR="00125956">
        <w:rPr>
          <w:lang w:eastAsia="fr-FR"/>
        </w:rPr>
        <w:t> </w:t>
      </w:r>
      <w:r w:rsidRPr="008F4873">
        <w:rPr>
          <w:lang w:eastAsia="fr-FR"/>
        </w:rPr>
        <w:t>80</w:t>
      </w:r>
      <w:r>
        <w:rPr>
          <w:lang w:eastAsia="fr-FR"/>
        </w:rPr>
        <w:t>, révision 1</w:t>
      </w:r>
      <w:r w:rsidRPr="008F4873">
        <w:rPr>
          <w:lang w:eastAsia="fr-FR"/>
        </w:rPr>
        <w:t>)</w:t>
      </w:r>
      <w:r>
        <w:rPr>
          <w:lang w:eastAsia="fr-FR"/>
        </w:rPr>
        <w:t xml:space="preserve"> en tant que </w:t>
      </w:r>
      <w:r w:rsidRPr="008F4873">
        <w:rPr>
          <w:lang w:eastAsia="fr-FR"/>
        </w:rPr>
        <w:t xml:space="preserve">résolution </w:t>
      </w:r>
      <w:r w:rsidR="00125956" w:rsidRPr="00125956">
        <w:rPr>
          <w:rFonts w:eastAsia="MS Mincho"/>
          <w:lang w:eastAsia="fr-FR"/>
        </w:rPr>
        <w:t>n</w:t>
      </w:r>
      <w:r w:rsidR="00125956" w:rsidRPr="00125956">
        <w:rPr>
          <w:rFonts w:eastAsia="MS Mincho"/>
          <w:vertAlign w:val="superscript"/>
          <w:lang w:eastAsia="fr-FR"/>
        </w:rPr>
        <w:t>o</w:t>
      </w:r>
      <w:r w:rsidR="00125956">
        <w:rPr>
          <w:lang w:eastAsia="fr-FR"/>
        </w:rPr>
        <w:t> </w:t>
      </w:r>
      <w:r w:rsidRPr="008F4873">
        <w:rPr>
          <w:lang w:eastAsia="fr-FR"/>
        </w:rPr>
        <w:t>97.</w:t>
      </w:r>
    </w:p>
    <w:p w14:paraId="4EC85079" w14:textId="77777777" w:rsidR="001E6D3C" w:rsidRPr="00377074" w:rsidRDefault="001E6D3C" w:rsidP="007B3A5A">
      <w:pPr>
        <w:pStyle w:val="H23G"/>
        <w:rPr>
          <w:i/>
          <w:lang w:eastAsia="fr-FR"/>
        </w:rPr>
      </w:pPr>
      <w:r w:rsidRPr="008F4873">
        <w:rPr>
          <w:lang w:eastAsia="fr-FR"/>
        </w:rPr>
        <w:tab/>
      </w:r>
      <w:r w:rsidRPr="00377074">
        <w:rPr>
          <w:lang w:eastAsia="fr-FR"/>
        </w:rPr>
        <w:t>c)</w:t>
      </w:r>
      <w:r w:rsidRPr="00377074">
        <w:rPr>
          <w:lang w:eastAsia="fr-FR"/>
        </w:rPr>
        <w:tab/>
      </w:r>
      <w:bookmarkStart w:id="13" w:name="_Hlk24618220"/>
      <w:r w:rsidRPr="00377074">
        <w:rPr>
          <w:lang w:eastAsia="fr-FR"/>
        </w:rPr>
        <w:t>Automatisation et navigation intelligente</w:t>
      </w:r>
    </w:p>
    <w:p w14:paraId="75C40354" w14:textId="77777777" w:rsidR="001E6D3C" w:rsidRPr="00EE5244" w:rsidRDefault="001E6D3C" w:rsidP="007B3A5A">
      <w:pPr>
        <w:pStyle w:val="SingleTxtG"/>
        <w:rPr>
          <w:lang w:eastAsia="fr-FR"/>
        </w:rPr>
      </w:pPr>
      <w:r w:rsidRPr="00697B42">
        <w:rPr>
          <w:lang w:eastAsia="fr-FR"/>
        </w:rPr>
        <w:t>45.</w:t>
      </w:r>
      <w:r w:rsidRPr="00697B42">
        <w:rPr>
          <w:lang w:eastAsia="fr-FR"/>
        </w:rPr>
        <w:tab/>
        <w:t>En 2019, les deux group</w:t>
      </w:r>
      <w:r>
        <w:rPr>
          <w:lang w:eastAsia="fr-FR"/>
        </w:rPr>
        <w:t>e</w:t>
      </w:r>
      <w:r w:rsidRPr="00697B42">
        <w:rPr>
          <w:lang w:eastAsia="fr-FR"/>
        </w:rPr>
        <w:t>s de travail</w:t>
      </w:r>
      <w:r>
        <w:rPr>
          <w:lang w:eastAsia="fr-FR"/>
        </w:rPr>
        <w:t xml:space="preserve"> </w:t>
      </w:r>
      <w:r w:rsidRPr="00697B42">
        <w:rPr>
          <w:lang w:eastAsia="fr-FR"/>
        </w:rPr>
        <w:t>ont poursuivi leurs débats sur la navigation automatisée et la navigation intelligente sur les voies de navigation intérieures</w:t>
      </w:r>
      <w:r>
        <w:rPr>
          <w:lang w:eastAsia="fr-FR"/>
        </w:rPr>
        <w:t>. Lors de sa soixante-troisième session, le SC.3 a adopté la résolution</w:t>
      </w:r>
      <w:r w:rsidRPr="00697B42">
        <w:rPr>
          <w:rFonts w:ascii="Segoe UI" w:hAnsi="Segoe UI" w:cs="Segoe UI"/>
        </w:rPr>
        <w:t xml:space="preserve"> </w:t>
      </w:r>
      <w:r w:rsidRPr="00697B42">
        <w:rPr>
          <w:lang w:eastAsia="fr-FR"/>
        </w:rPr>
        <w:t xml:space="preserve">intitulée « Renforcement de la coopération internationale en faveur du développement de la navigation intelligente sur les voies navigables intérieures » en tant que résolution </w:t>
      </w:r>
      <w:r w:rsidR="00125956" w:rsidRPr="00125956">
        <w:rPr>
          <w:rFonts w:eastAsia="MS Mincho"/>
          <w:lang w:eastAsia="fr-FR"/>
        </w:rPr>
        <w:t>n</w:t>
      </w:r>
      <w:r w:rsidR="00125956" w:rsidRPr="00125956">
        <w:rPr>
          <w:rFonts w:eastAsia="MS Mincho"/>
          <w:vertAlign w:val="superscript"/>
          <w:lang w:eastAsia="fr-FR"/>
        </w:rPr>
        <w:t>o</w:t>
      </w:r>
      <w:r w:rsidR="00125956">
        <w:rPr>
          <w:lang w:eastAsia="fr-FR"/>
        </w:rPr>
        <w:t> </w:t>
      </w:r>
      <w:r w:rsidRPr="00697B42">
        <w:rPr>
          <w:lang w:eastAsia="fr-FR"/>
        </w:rPr>
        <w:t>95.</w:t>
      </w:r>
      <w:r w:rsidRPr="00697B42">
        <w:rPr>
          <w:rFonts w:ascii="Segoe UI" w:hAnsi="Segoe UI" w:cs="Segoe UI"/>
        </w:rPr>
        <w:t xml:space="preserve"> </w:t>
      </w:r>
      <w:r w:rsidRPr="00697B42">
        <w:rPr>
          <w:lang w:eastAsia="fr-FR"/>
        </w:rPr>
        <w:t>En outre, le SC.3 a approuvé la feuille de route pour la coopération internationale en faveur de la promotion et du développement de la navigation intelligente sur les voies navigables</w:t>
      </w:r>
      <w:r>
        <w:rPr>
          <w:lang w:eastAsia="fr-FR"/>
        </w:rPr>
        <w:t>. La discussion concernant l</w:t>
      </w:r>
      <w:r w:rsidR="00616FE4">
        <w:rPr>
          <w:lang w:eastAsia="fr-FR"/>
        </w:rPr>
        <w:t>’</w:t>
      </w:r>
      <w:r>
        <w:rPr>
          <w:lang w:eastAsia="fr-FR"/>
        </w:rPr>
        <w:t xml:space="preserve">harmonisation du cadre juridique et les domaines dans lesquels il convient de favoriser les innovations en matière de </w:t>
      </w:r>
      <w:r w:rsidRPr="00EE5244">
        <w:rPr>
          <w:lang w:eastAsia="fr-FR"/>
        </w:rPr>
        <w:t>transport par voie navigable</w:t>
      </w:r>
      <w:r>
        <w:rPr>
          <w:lang w:eastAsia="fr-FR"/>
        </w:rPr>
        <w:t>, lancée par la Belgique lors de la cinquante-cinquième session du</w:t>
      </w:r>
      <w:r w:rsidRPr="00EE5244">
        <w:rPr>
          <w:lang w:eastAsia="fr-FR"/>
        </w:rPr>
        <w:t xml:space="preserve"> SC.3/WP.3</w:t>
      </w:r>
      <w:r>
        <w:rPr>
          <w:lang w:eastAsia="fr-FR"/>
        </w:rPr>
        <w:t>, s</w:t>
      </w:r>
      <w:r w:rsidR="00616FE4">
        <w:rPr>
          <w:lang w:eastAsia="fr-FR"/>
        </w:rPr>
        <w:t>’</w:t>
      </w:r>
      <w:r>
        <w:rPr>
          <w:lang w:eastAsia="fr-FR"/>
        </w:rPr>
        <w:t xml:space="preserve">est poursuivie au sein du SC.3, qui </w:t>
      </w:r>
      <w:r>
        <w:rPr>
          <w:lang w:eastAsia="fr-FR"/>
        </w:rPr>
        <w:lastRenderedPageBreak/>
        <w:t xml:space="preserve">a </w:t>
      </w:r>
      <w:r w:rsidRPr="008A33AC">
        <w:rPr>
          <w:lang w:eastAsia="fr-FR"/>
        </w:rPr>
        <w:t xml:space="preserve">appuyé la proposition que soit conduite une analyse des conventions et accords internationaux </w:t>
      </w:r>
      <w:r>
        <w:rPr>
          <w:lang w:eastAsia="fr-FR"/>
        </w:rPr>
        <w:t xml:space="preserve">ainsi que </w:t>
      </w:r>
      <w:r w:rsidRPr="008A33AC">
        <w:rPr>
          <w:lang w:eastAsia="fr-FR"/>
        </w:rPr>
        <w:t xml:space="preserve">des résolutions de la CEE relatives au transport par voie navigable en vue de rendre possible la navigation automatisée, et </w:t>
      </w:r>
      <w:r>
        <w:rPr>
          <w:lang w:eastAsia="fr-FR"/>
        </w:rPr>
        <w:t xml:space="preserve">il </w:t>
      </w:r>
      <w:r w:rsidRPr="008A33AC">
        <w:rPr>
          <w:lang w:eastAsia="fr-FR"/>
        </w:rPr>
        <w:t>a encouragé les États membres à appuyer la poursuite de ces travaux.</w:t>
      </w:r>
      <w:r w:rsidRPr="00EE5244">
        <w:rPr>
          <w:lang w:eastAsia="fr-FR"/>
        </w:rPr>
        <w:t xml:space="preserve"> </w:t>
      </w:r>
    </w:p>
    <w:bookmarkEnd w:id="13"/>
    <w:p w14:paraId="7BC09164" w14:textId="77777777" w:rsidR="001E6D3C" w:rsidRPr="00212539" w:rsidRDefault="001E6D3C" w:rsidP="007B3A5A">
      <w:pPr>
        <w:pStyle w:val="H23G"/>
        <w:rPr>
          <w:lang w:eastAsia="fr-FR"/>
        </w:rPr>
      </w:pPr>
      <w:r w:rsidRPr="00EE5244">
        <w:rPr>
          <w:lang w:eastAsia="fr-FR"/>
        </w:rPr>
        <w:tab/>
      </w:r>
      <w:r w:rsidRPr="00212539">
        <w:rPr>
          <w:lang w:eastAsia="fr-FR"/>
        </w:rPr>
        <w:t>4.</w:t>
      </w:r>
      <w:r w:rsidRPr="00212539">
        <w:rPr>
          <w:lang w:eastAsia="fr-FR"/>
        </w:rPr>
        <w:tab/>
        <w:t xml:space="preserve">Publications sur les transports par voies navigables </w:t>
      </w:r>
    </w:p>
    <w:p w14:paraId="2596AE7A" w14:textId="77777777" w:rsidR="001E6D3C" w:rsidRPr="00212539" w:rsidRDefault="001E6D3C" w:rsidP="007B3A5A">
      <w:pPr>
        <w:pStyle w:val="H23G"/>
        <w:rPr>
          <w:lang w:eastAsia="fr-FR"/>
        </w:rPr>
      </w:pPr>
      <w:bookmarkStart w:id="14" w:name="_Hlk24618248"/>
      <w:r w:rsidRPr="00212539">
        <w:rPr>
          <w:lang w:eastAsia="fr-FR"/>
        </w:rPr>
        <w:tab/>
        <w:t>a)</w:t>
      </w:r>
      <w:r w:rsidRPr="00212539">
        <w:rPr>
          <w:lang w:eastAsia="fr-FR"/>
        </w:rPr>
        <w:tab/>
        <w:t>Code européen de la signalisation et du balisage des voies navigables (SIGNI)</w:t>
      </w:r>
    </w:p>
    <w:p w14:paraId="20B04F9F" w14:textId="77777777" w:rsidR="001E6D3C" w:rsidRPr="004B5E0C" w:rsidRDefault="001E6D3C" w:rsidP="007B3A5A">
      <w:pPr>
        <w:pStyle w:val="SingleTxtG"/>
        <w:rPr>
          <w:lang w:eastAsia="fr-FR"/>
        </w:rPr>
      </w:pPr>
      <w:r w:rsidRPr="00EE5244">
        <w:rPr>
          <w:lang w:eastAsia="fr-FR"/>
        </w:rPr>
        <w:t>46.</w:t>
      </w:r>
      <w:r w:rsidRPr="00EE5244">
        <w:rPr>
          <w:lang w:eastAsia="fr-FR"/>
        </w:rPr>
        <w:tab/>
        <w:t xml:space="preserve">Adopté par le SC.3 en 2018 en tant que résolution </w:t>
      </w:r>
      <w:r w:rsidR="00C77ED3" w:rsidRPr="00C77ED3">
        <w:rPr>
          <w:rFonts w:eastAsia="MS Mincho"/>
          <w:lang w:eastAsia="fr-FR"/>
        </w:rPr>
        <w:t>n</w:t>
      </w:r>
      <w:r w:rsidR="00C77ED3" w:rsidRPr="00C77ED3">
        <w:rPr>
          <w:rFonts w:eastAsia="MS Mincho"/>
          <w:vertAlign w:val="superscript"/>
          <w:lang w:eastAsia="fr-FR"/>
        </w:rPr>
        <w:t>o</w:t>
      </w:r>
      <w:r w:rsidR="00C77ED3">
        <w:rPr>
          <w:lang w:eastAsia="fr-FR"/>
        </w:rPr>
        <w:t> </w:t>
      </w:r>
      <w:r w:rsidRPr="00EE5244">
        <w:rPr>
          <w:lang w:eastAsia="fr-FR"/>
        </w:rPr>
        <w:t xml:space="preserve">90, </w:t>
      </w:r>
      <w:r>
        <w:rPr>
          <w:lang w:eastAsia="fr-FR"/>
        </w:rPr>
        <w:t xml:space="preserve">le </w:t>
      </w:r>
      <w:r w:rsidRPr="00EE5244">
        <w:rPr>
          <w:lang w:eastAsia="fr-FR"/>
        </w:rPr>
        <w:t xml:space="preserve">Code européen de la signalisation et du balisage des voies navigables </w:t>
      </w:r>
      <w:r>
        <w:rPr>
          <w:lang w:eastAsia="fr-FR"/>
        </w:rPr>
        <w:t xml:space="preserve">a remplacé la résolution </w:t>
      </w:r>
      <w:r w:rsidR="00C77ED3" w:rsidRPr="00C77ED3">
        <w:rPr>
          <w:rFonts w:eastAsia="MS Mincho"/>
          <w:lang w:eastAsia="fr-FR"/>
        </w:rPr>
        <w:t>n</w:t>
      </w:r>
      <w:r w:rsidR="00C77ED3" w:rsidRPr="00C77ED3">
        <w:rPr>
          <w:rFonts w:eastAsia="MS Mincho"/>
          <w:vertAlign w:val="superscript"/>
          <w:lang w:eastAsia="fr-FR"/>
        </w:rPr>
        <w:t>o</w:t>
      </w:r>
      <w:r w:rsidR="00C77ED3">
        <w:rPr>
          <w:lang w:eastAsia="fr-FR"/>
        </w:rPr>
        <w:t> </w:t>
      </w:r>
      <w:r>
        <w:rPr>
          <w:lang w:eastAsia="fr-FR"/>
        </w:rPr>
        <w:t xml:space="preserve">22, révision 2, et la résolution </w:t>
      </w:r>
      <w:r w:rsidR="00C77ED3" w:rsidRPr="00C77ED3">
        <w:rPr>
          <w:rFonts w:eastAsia="MS Mincho"/>
          <w:lang w:eastAsia="fr-FR"/>
        </w:rPr>
        <w:t>n</w:t>
      </w:r>
      <w:r w:rsidR="00C77ED3" w:rsidRPr="00C77ED3">
        <w:rPr>
          <w:rFonts w:eastAsia="MS Mincho"/>
          <w:vertAlign w:val="superscript"/>
          <w:lang w:eastAsia="fr-FR"/>
        </w:rPr>
        <w:t>o</w:t>
      </w:r>
      <w:r w:rsidR="00C77ED3">
        <w:rPr>
          <w:lang w:eastAsia="fr-FR"/>
        </w:rPr>
        <w:t> </w:t>
      </w:r>
      <w:r w:rsidRPr="00EE5244">
        <w:rPr>
          <w:lang w:eastAsia="fr-FR"/>
        </w:rPr>
        <w:t>59, révision 2.</w:t>
      </w:r>
      <w:r>
        <w:rPr>
          <w:lang w:eastAsia="fr-FR"/>
        </w:rPr>
        <w:t xml:space="preserve"> </w:t>
      </w:r>
      <w:r w:rsidRPr="00084384">
        <w:rPr>
          <w:lang w:eastAsia="fr-FR"/>
        </w:rPr>
        <w:t xml:space="preserve">Ce </w:t>
      </w:r>
      <w:r w:rsidR="00C77ED3" w:rsidRPr="00084384">
        <w:rPr>
          <w:lang w:eastAsia="fr-FR"/>
        </w:rPr>
        <w:t>C</w:t>
      </w:r>
      <w:r w:rsidRPr="00084384">
        <w:rPr>
          <w:lang w:eastAsia="fr-FR"/>
        </w:rPr>
        <w:t>ode fournit des recommandations concernant l</w:t>
      </w:r>
      <w:r w:rsidR="00616FE4">
        <w:rPr>
          <w:lang w:eastAsia="fr-FR"/>
        </w:rPr>
        <w:t>’</w:t>
      </w:r>
      <w:r w:rsidRPr="00084384">
        <w:rPr>
          <w:lang w:eastAsia="fr-FR"/>
        </w:rPr>
        <w:t>installation et l</w:t>
      </w:r>
      <w:r w:rsidR="00616FE4">
        <w:rPr>
          <w:lang w:eastAsia="fr-FR"/>
        </w:rPr>
        <w:t>’</w:t>
      </w:r>
      <w:r w:rsidRPr="00084384">
        <w:rPr>
          <w:lang w:eastAsia="fr-FR"/>
        </w:rPr>
        <w:t>application du balisage sur les voies navigables européennes figurant dans la cinquième révision du Code européen des voies de navigation intérieure (CEVNI) (TRANS/SC.3/115/Rev.5)</w:t>
      </w:r>
      <w:r>
        <w:rPr>
          <w:lang w:eastAsia="fr-FR"/>
        </w:rPr>
        <w:t>. D</w:t>
      </w:r>
      <w:r w:rsidRPr="00084384">
        <w:rPr>
          <w:lang w:eastAsia="fr-FR"/>
        </w:rPr>
        <w:t>estiné aux administrations et autorités compétentes des voies navigables</w:t>
      </w:r>
      <w:r>
        <w:rPr>
          <w:lang w:eastAsia="fr-FR"/>
        </w:rPr>
        <w:t xml:space="preserve">, il a été établi avec la </w:t>
      </w:r>
      <w:r w:rsidRPr="00084384">
        <w:rPr>
          <w:lang w:eastAsia="fr-FR"/>
        </w:rPr>
        <w:t>participation des commissions fluviales et d</w:t>
      </w:r>
      <w:r>
        <w:rPr>
          <w:lang w:eastAsia="fr-FR"/>
        </w:rPr>
        <w:t>u</w:t>
      </w:r>
      <w:r w:rsidRPr="00084384">
        <w:rPr>
          <w:lang w:eastAsia="fr-FR"/>
        </w:rPr>
        <w:t xml:space="preserve"> </w:t>
      </w:r>
      <w:r w:rsidR="00C77ED3">
        <w:rPr>
          <w:lang w:eastAsia="fr-FR"/>
        </w:rPr>
        <w:t>G</w:t>
      </w:r>
      <w:r>
        <w:rPr>
          <w:lang w:eastAsia="fr-FR"/>
        </w:rPr>
        <w:t>roupe d</w:t>
      </w:r>
      <w:r w:rsidR="00616FE4">
        <w:rPr>
          <w:lang w:eastAsia="fr-FR"/>
        </w:rPr>
        <w:t>’</w:t>
      </w:r>
      <w:r>
        <w:rPr>
          <w:lang w:eastAsia="fr-FR"/>
        </w:rPr>
        <w:t xml:space="preserve">experts </w:t>
      </w:r>
      <w:r w:rsidRPr="00084384">
        <w:rPr>
          <w:lang w:eastAsia="fr-FR"/>
        </w:rPr>
        <w:t>du CEVNI</w:t>
      </w:r>
      <w:r>
        <w:rPr>
          <w:lang w:eastAsia="fr-FR"/>
        </w:rPr>
        <w:t>, ainsi qu</w:t>
      </w:r>
      <w:r w:rsidR="00616FE4">
        <w:rPr>
          <w:lang w:eastAsia="fr-FR"/>
        </w:rPr>
        <w:t>’</w:t>
      </w:r>
      <w:r>
        <w:rPr>
          <w:lang w:eastAsia="fr-FR"/>
        </w:rPr>
        <w:t xml:space="preserve">avec les contributions des </w:t>
      </w:r>
      <w:r w:rsidR="00C77ED3">
        <w:rPr>
          <w:lang w:eastAsia="fr-FR"/>
        </w:rPr>
        <w:t>P</w:t>
      </w:r>
      <w:r>
        <w:rPr>
          <w:lang w:eastAsia="fr-FR"/>
        </w:rPr>
        <w:t>résidents du G</w:t>
      </w:r>
      <w:r w:rsidRPr="000A1235">
        <w:rPr>
          <w:lang w:eastAsia="fr-FR"/>
        </w:rPr>
        <w:t xml:space="preserve">roupe </w:t>
      </w:r>
      <w:r>
        <w:rPr>
          <w:lang w:eastAsia="fr-FR"/>
        </w:rPr>
        <w:t xml:space="preserve">conjoint </w:t>
      </w:r>
      <w:r w:rsidRPr="000A1235">
        <w:rPr>
          <w:lang w:eastAsia="fr-FR"/>
        </w:rPr>
        <w:t xml:space="preserve">international </w:t>
      </w:r>
      <w:r>
        <w:rPr>
          <w:lang w:eastAsia="fr-FR"/>
        </w:rPr>
        <w:t>d</w:t>
      </w:r>
      <w:r w:rsidR="00616FE4">
        <w:rPr>
          <w:lang w:eastAsia="fr-FR"/>
        </w:rPr>
        <w:t>’</w:t>
      </w:r>
      <w:r>
        <w:rPr>
          <w:lang w:eastAsia="fr-FR"/>
        </w:rPr>
        <w:t xml:space="preserve">experts VTT et </w:t>
      </w:r>
      <w:r w:rsidRPr="000A1235">
        <w:rPr>
          <w:lang w:eastAsia="fr-FR"/>
        </w:rPr>
        <w:t>d</w:t>
      </w:r>
      <w:r w:rsidR="00616FE4">
        <w:rPr>
          <w:lang w:eastAsia="fr-FR"/>
        </w:rPr>
        <w:t>’</w:t>
      </w:r>
      <w:r w:rsidRPr="000A1235">
        <w:rPr>
          <w:lang w:eastAsia="fr-FR"/>
        </w:rPr>
        <w:t xml:space="preserve">experts du </w:t>
      </w:r>
      <w:r>
        <w:rPr>
          <w:lang w:eastAsia="fr-FR"/>
        </w:rPr>
        <w:t>s</w:t>
      </w:r>
      <w:r w:rsidRPr="000A1235">
        <w:rPr>
          <w:lang w:eastAsia="fr-FR"/>
        </w:rPr>
        <w:t>ystème de visualisation des cartes électroniques et d</w:t>
      </w:r>
      <w:r w:rsidR="00616FE4">
        <w:rPr>
          <w:lang w:eastAsia="fr-FR"/>
        </w:rPr>
        <w:t>’</w:t>
      </w:r>
      <w:r w:rsidRPr="000A1235">
        <w:rPr>
          <w:lang w:eastAsia="fr-FR"/>
        </w:rPr>
        <w:t>informations pour la navigation intérieure (ECDIS Intérieur)</w:t>
      </w:r>
      <w:r>
        <w:rPr>
          <w:lang w:eastAsia="fr-FR"/>
        </w:rPr>
        <w:t xml:space="preserve">, ainsi que de </w:t>
      </w:r>
      <w:r w:rsidRPr="000A1235">
        <w:rPr>
          <w:lang w:eastAsia="fr-FR"/>
        </w:rPr>
        <w:t>l</w:t>
      </w:r>
      <w:r w:rsidR="00616FE4">
        <w:rPr>
          <w:lang w:eastAsia="fr-FR"/>
        </w:rPr>
        <w:t>’</w:t>
      </w:r>
      <w:r w:rsidRPr="000A1235">
        <w:rPr>
          <w:lang w:eastAsia="fr-FR"/>
        </w:rPr>
        <w:t>Association internationale de signalisation maritime (AISM)</w:t>
      </w:r>
      <w:r>
        <w:rPr>
          <w:lang w:eastAsia="fr-FR"/>
        </w:rPr>
        <w:t xml:space="preserve">. Les activités de la CEE visant à </w:t>
      </w:r>
      <w:r w:rsidRPr="000A1235">
        <w:rPr>
          <w:lang w:val="fr-FR" w:eastAsia="fr-FR"/>
        </w:rPr>
        <w:t>renforcer la sécurité de la navigation</w:t>
      </w:r>
      <w:r>
        <w:rPr>
          <w:lang w:eastAsia="fr-FR"/>
        </w:rPr>
        <w:t xml:space="preserve"> sur les voies navigables </w:t>
      </w:r>
      <w:r w:rsidRPr="007E384A">
        <w:rPr>
          <w:lang w:eastAsia="fr-FR"/>
        </w:rPr>
        <w:t>au niveau paneuropéen</w:t>
      </w:r>
      <w:r w:rsidR="00520F4E">
        <w:rPr>
          <w:lang w:eastAsia="fr-FR"/>
        </w:rPr>
        <w:t xml:space="preserve"> </w:t>
      </w:r>
      <w:r>
        <w:rPr>
          <w:lang w:eastAsia="fr-FR"/>
        </w:rPr>
        <w:t xml:space="preserve">et les efforts pour harmoniser les </w:t>
      </w:r>
      <w:r w:rsidRPr="007E384A">
        <w:rPr>
          <w:lang w:eastAsia="fr-FR"/>
        </w:rPr>
        <w:t>règles de navigation</w:t>
      </w:r>
      <w:r>
        <w:rPr>
          <w:lang w:eastAsia="fr-FR"/>
        </w:rPr>
        <w:t xml:space="preserve"> contribuent à la réalisation de l</w:t>
      </w:r>
      <w:r w:rsidR="00616FE4">
        <w:rPr>
          <w:lang w:eastAsia="fr-FR"/>
        </w:rPr>
        <w:t>’</w:t>
      </w:r>
      <w:r>
        <w:rPr>
          <w:lang w:eastAsia="fr-FR"/>
        </w:rPr>
        <w:t>objectif de développement durable 9</w:t>
      </w:r>
      <w:r w:rsidRPr="004B5E0C">
        <w:rPr>
          <w:lang w:eastAsia="fr-FR"/>
        </w:rPr>
        <w:t>.</w:t>
      </w:r>
      <w:bookmarkEnd w:id="14"/>
    </w:p>
    <w:p w14:paraId="26EB3D50" w14:textId="77777777" w:rsidR="001E6D3C" w:rsidRPr="00377074" w:rsidRDefault="001E6D3C" w:rsidP="007B3A5A">
      <w:pPr>
        <w:pStyle w:val="H23G"/>
        <w:rPr>
          <w:lang w:eastAsia="fr-FR"/>
        </w:rPr>
      </w:pPr>
      <w:r w:rsidRPr="004B5E0C">
        <w:rPr>
          <w:lang w:eastAsia="fr-FR"/>
        </w:rPr>
        <w:tab/>
      </w:r>
      <w:bookmarkStart w:id="15" w:name="_Hlk24618275"/>
      <w:r w:rsidRPr="00377074">
        <w:rPr>
          <w:lang w:eastAsia="fr-FR"/>
        </w:rPr>
        <w:t>b)</w:t>
      </w:r>
      <w:r w:rsidRPr="00377074">
        <w:rPr>
          <w:lang w:eastAsia="fr-FR"/>
        </w:rPr>
        <w:tab/>
        <w:t xml:space="preserve">Résolution </w:t>
      </w:r>
      <w:r w:rsidR="00520F4E" w:rsidRPr="00520F4E">
        <w:rPr>
          <w:rFonts w:eastAsia="MS Mincho"/>
          <w:lang w:eastAsia="fr-FR"/>
        </w:rPr>
        <w:t>n</w:t>
      </w:r>
      <w:r w:rsidR="00520F4E" w:rsidRPr="00520F4E">
        <w:rPr>
          <w:rFonts w:eastAsia="MS Mincho"/>
          <w:vertAlign w:val="superscript"/>
          <w:lang w:eastAsia="fr-FR"/>
        </w:rPr>
        <w:t>o</w:t>
      </w:r>
      <w:r w:rsidR="00520F4E">
        <w:rPr>
          <w:lang w:eastAsia="fr-FR"/>
        </w:rPr>
        <w:t> </w:t>
      </w:r>
      <w:r w:rsidRPr="00377074">
        <w:rPr>
          <w:lang w:eastAsia="fr-FR"/>
        </w:rPr>
        <w:t xml:space="preserve">61, révision 2 </w:t>
      </w:r>
    </w:p>
    <w:p w14:paraId="299BE288" w14:textId="77777777" w:rsidR="001E6D3C" w:rsidRDefault="001E6D3C" w:rsidP="007B3A5A">
      <w:pPr>
        <w:pStyle w:val="SingleTxtG"/>
        <w:rPr>
          <w:lang w:eastAsia="fr-FR"/>
        </w:rPr>
      </w:pPr>
      <w:r w:rsidRPr="004B5E0C">
        <w:rPr>
          <w:lang w:eastAsia="fr-FR"/>
        </w:rPr>
        <w:t>47.</w:t>
      </w:r>
      <w:r w:rsidRPr="004B5E0C">
        <w:rPr>
          <w:lang w:eastAsia="fr-FR"/>
        </w:rPr>
        <w:tab/>
        <w:t xml:space="preserve">Les recommandations paneuropéennes </w:t>
      </w:r>
      <w:r>
        <w:rPr>
          <w:lang w:eastAsia="fr-FR"/>
        </w:rPr>
        <w:t>visent à établir un</w:t>
      </w:r>
      <w:r w:rsidRPr="004B5E0C">
        <w:rPr>
          <w:lang w:eastAsia="fr-FR"/>
        </w:rPr>
        <w:t xml:space="preserve"> régime </w:t>
      </w:r>
      <w:r>
        <w:rPr>
          <w:lang w:eastAsia="fr-FR"/>
        </w:rPr>
        <w:t xml:space="preserve">harmonisé </w:t>
      </w:r>
      <w:r w:rsidRPr="004B5E0C">
        <w:rPr>
          <w:lang w:eastAsia="fr-FR"/>
        </w:rPr>
        <w:t>de prescriptions techniques applicables aux bateaux de navigation intérieure transportant des marchandises et des passagers internationalement</w:t>
      </w:r>
      <w:r>
        <w:rPr>
          <w:lang w:eastAsia="fr-FR"/>
        </w:rPr>
        <w:t xml:space="preserve">. Elles sont le fruit des efforts des </w:t>
      </w:r>
      <w:r w:rsidRPr="009E255C">
        <w:rPr>
          <w:lang w:eastAsia="fr-FR"/>
        </w:rPr>
        <w:t>gouvernements</w:t>
      </w:r>
      <w:r>
        <w:rPr>
          <w:lang w:eastAsia="fr-FR"/>
        </w:rPr>
        <w:t xml:space="preserve"> pour unifier les réglementations divergentes en vigueur dans différentes organisations intergouvernementales et dans les pays membres de la CEE.</w:t>
      </w:r>
    </w:p>
    <w:p w14:paraId="5C4E4549" w14:textId="77777777" w:rsidR="001E6D3C" w:rsidRPr="00CC318D" w:rsidRDefault="001E6D3C" w:rsidP="009B639C">
      <w:pPr>
        <w:pStyle w:val="SingleTxtG"/>
        <w:rPr>
          <w:lang w:eastAsia="fr-FR"/>
        </w:rPr>
      </w:pPr>
      <w:r w:rsidRPr="00CC318D">
        <w:rPr>
          <w:lang w:eastAsia="fr-FR"/>
        </w:rPr>
        <w:t>48.</w:t>
      </w:r>
      <w:r w:rsidRPr="00CC318D">
        <w:rPr>
          <w:lang w:eastAsia="fr-FR"/>
        </w:rPr>
        <w:tab/>
        <w:t xml:space="preserve">Ces recommandations </w:t>
      </w:r>
      <w:r>
        <w:rPr>
          <w:lang w:eastAsia="fr-FR"/>
        </w:rPr>
        <w:t>ont</w:t>
      </w:r>
      <w:r w:rsidRPr="00CC318D">
        <w:rPr>
          <w:lang w:eastAsia="fr-FR"/>
        </w:rPr>
        <w:t xml:space="preserve"> </w:t>
      </w:r>
      <w:r>
        <w:rPr>
          <w:lang w:eastAsia="fr-FR"/>
        </w:rPr>
        <w:t>été</w:t>
      </w:r>
      <w:r w:rsidRPr="00CC318D">
        <w:rPr>
          <w:lang w:eastAsia="fr-FR"/>
        </w:rPr>
        <w:t xml:space="preserve"> adoptée</w:t>
      </w:r>
      <w:r>
        <w:rPr>
          <w:lang w:eastAsia="fr-FR"/>
        </w:rPr>
        <w:t>s</w:t>
      </w:r>
      <w:r w:rsidRPr="00CC318D">
        <w:rPr>
          <w:lang w:eastAsia="fr-FR"/>
        </w:rPr>
        <w:t xml:space="preserve"> </w:t>
      </w:r>
      <w:r>
        <w:rPr>
          <w:lang w:eastAsia="fr-FR"/>
        </w:rPr>
        <w:t>à l</w:t>
      </w:r>
      <w:r w:rsidR="00616FE4">
        <w:rPr>
          <w:lang w:eastAsia="fr-FR"/>
        </w:rPr>
        <w:t>’</w:t>
      </w:r>
      <w:r>
        <w:rPr>
          <w:lang w:eastAsia="fr-FR"/>
        </w:rPr>
        <w:t xml:space="preserve">origine </w:t>
      </w:r>
      <w:r w:rsidRPr="00CC318D">
        <w:rPr>
          <w:lang w:eastAsia="fr-FR"/>
        </w:rPr>
        <w:t xml:space="preserve">par le Groupe de travail des transports par voie navigable (SC.3) en 1975 </w:t>
      </w:r>
      <w:r>
        <w:rPr>
          <w:lang w:eastAsia="fr-FR"/>
        </w:rPr>
        <w:t xml:space="preserve">en tant que </w:t>
      </w:r>
      <w:r w:rsidRPr="00CC318D">
        <w:rPr>
          <w:lang w:eastAsia="fr-FR"/>
        </w:rPr>
        <w:t>r</w:t>
      </w:r>
      <w:r>
        <w:rPr>
          <w:lang w:eastAsia="fr-FR"/>
        </w:rPr>
        <w:t>é</w:t>
      </w:r>
      <w:r w:rsidRPr="00CC318D">
        <w:rPr>
          <w:lang w:eastAsia="fr-FR"/>
        </w:rPr>
        <w:t xml:space="preserve">solution </w:t>
      </w:r>
      <w:r w:rsidR="009B639C" w:rsidRPr="009B639C">
        <w:rPr>
          <w:rFonts w:eastAsia="MS Mincho"/>
          <w:lang w:eastAsia="fr-FR"/>
        </w:rPr>
        <w:t>n</w:t>
      </w:r>
      <w:r w:rsidR="009B639C" w:rsidRPr="009B639C">
        <w:rPr>
          <w:rFonts w:eastAsia="MS Mincho"/>
          <w:vertAlign w:val="superscript"/>
          <w:lang w:eastAsia="fr-FR"/>
        </w:rPr>
        <w:t>o</w:t>
      </w:r>
      <w:r w:rsidR="009B639C">
        <w:rPr>
          <w:lang w:eastAsia="fr-FR"/>
        </w:rPr>
        <w:t> </w:t>
      </w:r>
      <w:r w:rsidRPr="00CC318D">
        <w:rPr>
          <w:lang w:eastAsia="fr-FR"/>
        </w:rPr>
        <w:t xml:space="preserve">17 </w:t>
      </w:r>
      <w:r>
        <w:rPr>
          <w:lang w:eastAsia="fr-FR"/>
        </w:rPr>
        <w:t>et ont été constamment révisées depuis</w:t>
      </w:r>
      <w:r w:rsidRPr="00CC318D">
        <w:rPr>
          <w:lang w:eastAsia="fr-FR"/>
        </w:rPr>
        <w:t>.</w:t>
      </w:r>
      <w:bookmarkEnd w:id="15"/>
    </w:p>
    <w:p w14:paraId="41C4DF1B" w14:textId="77777777" w:rsidR="001E6D3C" w:rsidRPr="00212539" w:rsidRDefault="001E6D3C" w:rsidP="007B3A5A">
      <w:pPr>
        <w:pStyle w:val="H1G"/>
        <w:rPr>
          <w:lang w:eastAsia="fr-FR"/>
        </w:rPr>
      </w:pPr>
      <w:r w:rsidRPr="00CC318D">
        <w:rPr>
          <w:lang w:eastAsia="fr-FR"/>
        </w:rPr>
        <w:tab/>
      </w:r>
      <w:r w:rsidRPr="00212539">
        <w:rPr>
          <w:lang w:eastAsia="fr-FR"/>
        </w:rPr>
        <w:t>G.</w:t>
      </w:r>
      <w:r w:rsidRPr="00212539">
        <w:rPr>
          <w:lang w:eastAsia="fr-FR"/>
        </w:rPr>
        <w:tab/>
        <w:t xml:space="preserve">Statistiques des transports </w:t>
      </w:r>
    </w:p>
    <w:p w14:paraId="38AFE3A1" w14:textId="77777777" w:rsidR="001E6D3C" w:rsidRPr="00212539" w:rsidRDefault="001E6D3C" w:rsidP="007B3A5A">
      <w:pPr>
        <w:pStyle w:val="H23G"/>
        <w:rPr>
          <w:lang w:eastAsia="fr-FR"/>
        </w:rPr>
      </w:pPr>
      <w:r w:rsidRPr="00212539">
        <w:rPr>
          <w:lang w:eastAsia="fr-FR"/>
        </w:rPr>
        <w:tab/>
        <w:t>1.</w:t>
      </w:r>
      <w:r w:rsidRPr="00212539">
        <w:rPr>
          <w:lang w:eastAsia="fr-FR"/>
        </w:rPr>
        <w:tab/>
        <w:t xml:space="preserve">Travaux de suivi des objectifs de développement durable </w:t>
      </w:r>
      <w:r>
        <w:rPr>
          <w:lang w:eastAsia="fr-FR"/>
        </w:rPr>
        <w:t>et établissement de rapports à ce sujet</w:t>
      </w:r>
    </w:p>
    <w:p w14:paraId="4EBC62A4" w14:textId="77777777" w:rsidR="001E6D3C" w:rsidRDefault="001E6D3C" w:rsidP="007B3A5A">
      <w:pPr>
        <w:pStyle w:val="SingleTxtG"/>
        <w:rPr>
          <w:lang w:eastAsia="fr-FR"/>
        </w:rPr>
      </w:pPr>
      <w:r w:rsidRPr="00624F5A">
        <w:rPr>
          <w:lang w:eastAsia="fr-FR"/>
        </w:rPr>
        <w:t>49.</w:t>
      </w:r>
      <w:r w:rsidRPr="00624F5A">
        <w:rPr>
          <w:lang w:eastAsia="fr-FR"/>
        </w:rPr>
        <w:tab/>
        <w:t>Le WP.6 a continué à servir de forum de</w:t>
      </w:r>
      <w:r>
        <w:rPr>
          <w:lang w:eastAsia="fr-FR"/>
        </w:rPr>
        <w:t xml:space="preserve"> discussion à propos des objectifs de développement durable. Lors de la réunion de j</w:t>
      </w:r>
      <w:r w:rsidRPr="00624F5A">
        <w:rPr>
          <w:lang w:eastAsia="fr-FR"/>
        </w:rPr>
        <w:t xml:space="preserve">uin 2019, le secrétariat a présenté un plan </w:t>
      </w:r>
      <w:r>
        <w:rPr>
          <w:lang w:eastAsia="fr-FR"/>
        </w:rPr>
        <w:t>destiné à mieux suivre l</w:t>
      </w:r>
      <w:r w:rsidR="00616FE4">
        <w:rPr>
          <w:lang w:eastAsia="fr-FR"/>
        </w:rPr>
        <w:t>’</w:t>
      </w:r>
      <w:r>
        <w:rPr>
          <w:lang w:eastAsia="fr-FR"/>
        </w:rPr>
        <w:t xml:space="preserve">indicateur des </w:t>
      </w:r>
      <w:r w:rsidRPr="00084904">
        <w:rPr>
          <w:lang w:eastAsia="fr-FR"/>
        </w:rPr>
        <w:t xml:space="preserve">ODD </w:t>
      </w:r>
      <w:r w:rsidRPr="009B639C">
        <w:rPr>
          <w:i/>
          <w:lang w:eastAsia="fr-FR"/>
        </w:rPr>
        <w:t>9.1.2</w:t>
      </w:r>
      <w:r w:rsidR="009B639C" w:rsidRPr="009B639C">
        <w:rPr>
          <w:i/>
          <w:lang w:eastAsia="fr-FR"/>
        </w:rPr>
        <w:t> </w:t>
      </w:r>
      <w:r w:rsidRPr="009B639C">
        <w:rPr>
          <w:i/>
          <w:lang w:eastAsia="fr-FR"/>
        </w:rPr>
        <w:t>:</w:t>
      </w:r>
      <w:r w:rsidRPr="00ED0382">
        <w:rPr>
          <w:i/>
          <w:iCs/>
          <w:lang w:eastAsia="fr-FR"/>
        </w:rPr>
        <w:t xml:space="preserve"> Nombre de passagers et volume de fret transportés, par mode de transport</w:t>
      </w:r>
      <w:r w:rsidRPr="00ED0382">
        <w:rPr>
          <w:lang w:eastAsia="fr-FR"/>
        </w:rPr>
        <w:t xml:space="preserve"> </w:t>
      </w:r>
      <w:r>
        <w:rPr>
          <w:lang w:eastAsia="fr-FR"/>
        </w:rPr>
        <w:t xml:space="preserve">en créant une page wiki montrant comment les pays suivent actuellement la réalisation de cet indicateur </w:t>
      </w:r>
      <w:r w:rsidRPr="00ED0382">
        <w:rPr>
          <w:lang w:eastAsia="fr-FR"/>
        </w:rPr>
        <w:t>(ce qui permet de partager les meilleures pratiques) e</w:t>
      </w:r>
      <w:r>
        <w:rPr>
          <w:lang w:eastAsia="fr-FR"/>
        </w:rPr>
        <w:t xml:space="preserve">t il prévoit de publier des lignes directrices sur le suivi national de cet indicateur en 2020. </w:t>
      </w:r>
    </w:p>
    <w:p w14:paraId="2C210E89" w14:textId="77777777" w:rsidR="001E6D3C" w:rsidRDefault="001E6D3C" w:rsidP="007B3A5A">
      <w:pPr>
        <w:pStyle w:val="SingleTxtG"/>
        <w:rPr>
          <w:lang w:eastAsia="fr-FR"/>
        </w:rPr>
      </w:pPr>
      <w:r w:rsidRPr="00872966">
        <w:rPr>
          <w:lang w:eastAsia="fr-FR"/>
        </w:rPr>
        <w:t>50.</w:t>
      </w:r>
      <w:r w:rsidRPr="00872966">
        <w:rPr>
          <w:lang w:eastAsia="fr-FR"/>
        </w:rPr>
        <w:tab/>
        <w:t>En ce qui concerne le suivi de l</w:t>
      </w:r>
      <w:r w:rsidR="00616FE4">
        <w:rPr>
          <w:lang w:eastAsia="fr-FR"/>
        </w:rPr>
        <w:t>’</w:t>
      </w:r>
      <w:r w:rsidRPr="00872966">
        <w:rPr>
          <w:lang w:eastAsia="fr-FR"/>
        </w:rPr>
        <w:t>indicateur 11.2.1 des ODD</w:t>
      </w:r>
      <w:r w:rsidR="00C45B51">
        <w:rPr>
          <w:lang w:eastAsia="fr-FR"/>
        </w:rPr>
        <w:t> </w:t>
      </w:r>
      <w:r w:rsidRPr="00872966">
        <w:rPr>
          <w:lang w:eastAsia="fr-FR"/>
        </w:rPr>
        <w:t xml:space="preserve">: </w:t>
      </w:r>
      <w:r w:rsidRPr="00872966">
        <w:rPr>
          <w:i/>
          <w:iCs/>
          <w:lang w:eastAsia="fr-FR"/>
        </w:rPr>
        <w:t>Proportion de la population ayant aisément accès aux transports publics, par groupe d</w:t>
      </w:r>
      <w:r w:rsidR="00616FE4">
        <w:rPr>
          <w:i/>
          <w:iCs/>
          <w:lang w:eastAsia="fr-FR"/>
        </w:rPr>
        <w:t>’</w:t>
      </w:r>
      <w:r w:rsidRPr="00872966">
        <w:rPr>
          <w:i/>
          <w:iCs/>
          <w:lang w:eastAsia="fr-FR"/>
        </w:rPr>
        <w:t>âge, sexe et type de handicap</w:t>
      </w:r>
      <w:r w:rsidRPr="00872966">
        <w:rPr>
          <w:lang w:eastAsia="fr-FR"/>
        </w:rPr>
        <w:t xml:space="preserve">, </w:t>
      </w:r>
      <w:r>
        <w:rPr>
          <w:lang w:eastAsia="fr-FR"/>
        </w:rPr>
        <w:t xml:space="preserve">le </w:t>
      </w:r>
      <w:r w:rsidRPr="00872966">
        <w:rPr>
          <w:lang w:eastAsia="fr-FR"/>
        </w:rPr>
        <w:t>secr</w:t>
      </w:r>
      <w:r>
        <w:rPr>
          <w:lang w:eastAsia="fr-FR"/>
        </w:rPr>
        <w:t>é</w:t>
      </w:r>
      <w:r w:rsidRPr="00872966">
        <w:rPr>
          <w:lang w:eastAsia="fr-FR"/>
        </w:rPr>
        <w:t xml:space="preserve">tariat </w:t>
      </w:r>
      <w:r>
        <w:rPr>
          <w:lang w:eastAsia="fr-FR"/>
        </w:rPr>
        <w:t xml:space="preserve">a envoyé aux pays une enquête sur la disponibilité des données concernant les statistiques relatives aux </w:t>
      </w:r>
      <w:r w:rsidRPr="00872966">
        <w:rPr>
          <w:lang w:eastAsia="fr-FR"/>
        </w:rPr>
        <w:t xml:space="preserve">tramways et </w:t>
      </w:r>
      <w:r>
        <w:rPr>
          <w:lang w:eastAsia="fr-FR"/>
        </w:rPr>
        <w:t>aux métros, un domaine qui n</w:t>
      </w:r>
      <w:r w:rsidR="00616FE4">
        <w:rPr>
          <w:lang w:eastAsia="fr-FR"/>
        </w:rPr>
        <w:t>’</w:t>
      </w:r>
      <w:r>
        <w:rPr>
          <w:lang w:eastAsia="fr-FR"/>
        </w:rPr>
        <w:t xml:space="preserve">est pas encore couvert sur le plan international. Les réponses ont été très largement positives et le secrétariat a commencé à recueillir des données pour publication en 2020. </w:t>
      </w:r>
    </w:p>
    <w:p w14:paraId="0B377943" w14:textId="77777777" w:rsidR="001E6D3C" w:rsidRPr="00377074" w:rsidRDefault="001E6D3C" w:rsidP="007B3A5A">
      <w:pPr>
        <w:pStyle w:val="H23G"/>
        <w:rPr>
          <w:lang w:eastAsia="fr-FR"/>
        </w:rPr>
      </w:pPr>
      <w:r w:rsidRPr="00377074">
        <w:rPr>
          <w:lang w:eastAsia="fr-FR"/>
        </w:rPr>
        <w:tab/>
        <w:t>2.</w:t>
      </w:r>
      <w:r w:rsidRPr="00377074">
        <w:rPr>
          <w:lang w:eastAsia="fr-FR"/>
        </w:rPr>
        <w:tab/>
        <w:t>Publications 2019</w:t>
      </w:r>
    </w:p>
    <w:p w14:paraId="6A33AA7F" w14:textId="77777777" w:rsidR="001E6D3C" w:rsidRDefault="001E6D3C" w:rsidP="007B3A5A">
      <w:pPr>
        <w:pStyle w:val="SingleTxtG"/>
        <w:rPr>
          <w:lang w:eastAsia="fr-FR"/>
        </w:rPr>
      </w:pPr>
      <w:r w:rsidRPr="00872966">
        <w:rPr>
          <w:lang w:eastAsia="fr-FR"/>
        </w:rPr>
        <w:t>51.</w:t>
      </w:r>
      <w:r w:rsidRPr="00872966">
        <w:rPr>
          <w:lang w:eastAsia="fr-FR"/>
        </w:rPr>
        <w:tab/>
        <w:t>En juillet 2019, le WP.6 a publié</w:t>
      </w:r>
      <w:r>
        <w:rPr>
          <w:lang w:eastAsia="fr-FR"/>
        </w:rPr>
        <w:t xml:space="preserve"> la cinquième édition</w:t>
      </w:r>
      <w:r w:rsidRPr="00872966">
        <w:rPr>
          <w:rFonts w:ascii="Segoe UI" w:hAnsi="Segoe UI" w:cs="Segoe UI"/>
        </w:rPr>
        <w:t xml:space="preserve"> </w:t>
      </w:r>
      <w:r w:rsidRPr="00872966">
        <w:rPr>
          <w:lang w:eastAsia="fr-FR"/>
        </w:rPr>
        <w:t>du Glossaire des statistiques des transports</w:t>
      </w:r>
      <w:r>
        <w:rPr>
          <w:lang w:eastAsia="fr-FR"/>
        </w:rPr>
        <w:t xml:space="preserve">, en partenariat avec </w:t>
      </w:r>
      <w:r w:rsidRPr="00872966">
        <w:rPr>
          <w:lang w:eastAsia="fr-FR"/>
        </w:rPr>
        <w:t>Eurostat et le</w:t>
      </w:r>
      <w:r w:rsidRPr="00872966">
        <w:rPr>
          <w:rFonts w:ascii="Segoe UI" w:hAnsi="Segoe UI" w:cs="Segoe UI"/>
        </w:rPr>
        <w:t xml:space="preserve"> </w:t>
      </w:r>
      <w:r w:rsidRPr="00872966">
        <w:rPr>
          <w:lang w:eastAsia="fr-FR"/>
        </w:rPr>
        <w:t>Forum international des transports</w:t>
      </w:r>
      <w:r>
        <w:rPr>
          <w:lang w:eastAsia="fr-FR"/>
        </w:rPr>
        <w:t xml:space="preserve">. Cette publication permet à tous les collecteurs de statistiques des transports aux niveaux national </w:t>
      </w:r>
      <w:r>
        <w:rPr>
          <w:lang w:eastAsia="fr-FR"/>
        </w:rPr>
        <w:lastRenderedPageBreak/>
        <w:t>et local d</w:t>
      </w:r>
      <w:r w:rsidR="00616FE4">
        <w:rPr>
          <w:lang w:eastAsia="fr-FR"/>
        </w:rPr>
        <w:t>’</w:t>
      </w:r>
      <w:r>
        <w:rPr>
          <w:lang w:eastAsia="fr-FR"/>
        </w:rPr>
        <w:t>utiliser des définitions communes des termes modernes et pertinents dans ce domaine, ce qui donne la possibilité de faire des comparaisons significatives des données internationales. Ces définitions communes aideront les pays à suivre les indicateurs relatifs aux ODD liés au transport d</w:t>
      </w:r>
      <w:r w:rsidR="00616FE4">
        <w:rPr>
          <w:lang w:eastAsia="fr-FR"/>
        </w:rPr>
        <w:t>’</w:t>
      </w:r>
      <w:r>
        <w:rPr>
          <w:lang w:eastAsia="fr-FR"/>
        </w:rPr>
        <w:t>une manière cohérente.</w:t>
      </w:r>
    </w:p>
    <w:p w14:paraId="5B20BBF4" w14:textId="77777777" w:rsidR="001E6D3C" w:rsidRDefault="001E6D3C" w:rsidP="007B3A5A">
      <w:pPr>
        <w:pStyle w:val="SingleTxtG"/>
        <w:rPr>
          <w:lang w:eastAsia="fr-FR"/>
        </w:rPr>
      </w:pPr>
      <w:r w:rsidRPr="00EB1BA2">
        <w:rPr>
          <w:lang w:eastAsia="fr-FR"/>
        </w:rPr>
        <w:t>52.</w:t>
      </w:r>
      <w:r w:rsidRPr="00EB1BA2">
        <w:rPr>
          <w:i/>
          <w:iCs/>
          <w:lang w:eastAsia="fr-FR"/>
        </w:rPr>
        <w:tab/>
      </w:r>
      <w:r w:rsidRPr="00EB1BA2">
        <w:rPr>
          <w:iCs/>
          <w:lang w:eastAsia="fr-FR"/>
        </w:rPr>
        <w:t>Les</w:t>
      </w:r>
      <w:r w:rsidRPr="00EB1BA2">
        <w:rPr>
          <w:i/>
          <w:iCs/>
          <w:lang w:eastAsia="fr-FR"/>
        </w:rPr>
        <w:t xml:space="preserve"> Statistiques des accidents de la circulation routière en Europe et en Amérique du Nord </w:t>
      </w:r>
      <w:r w:rsidRPr="00EB1BA2">
        <w:rPr>
          <w:iCs/>
          <w:lang w:eastAsia="fr-FR"/>
        </w:rPr>
        <w:t xml:space="preserve">ont été publiées à la fin </w:t>
      </w:r>
      <w:r>
        <w:rPr>
          <w:iCs/>
          <w:lang w:eastAsia="fr-FR"/>
        </w:rPr>
        <w:t xml:space="preserve">de </w:t>
      </w:r>
      <w:r w:rsidRPr="006A1BF5">
        <w:rPr>
          <w:lang w:eastAsia="fr-FR"/>
        </w:rPr>
        <w:t xml:space="preserve">2019. </w:t>
      </w:r>
      <w:r>
        <w:rPr>
          <w:lang w:eastAsia="fr-FR"/>
        </w:rPr>
        <w:t>Cette publication compare les statistiques de la sécurité routière des différents pays par catégorie d</w:t>
      </w:r>
      <w:r w:rsidR="00616FE4">
        <w:rPr>
          <w:lang w:eastAsia="fr-FR"/>
        </w:rPr>
        <w:t>’</w:t>
      </w:r>
      <w:r>
        <w:rPr>
          <w:lang w:eastAsia="fr-FR"/>
        </w:rPr>
        <w:t>usager de la route, de lieu et de moment où se produit un événement. Cette publication récente contient en outre un tableau plus détaillé recensant les décès par sexe et par âge, ce qui permettra de mieux cibler les problèmes. Grâce à l</w:t>
      </w:r>
      <w:r w:rsidR="00616FE4">
        <w:rPr>
          <w:lang w:eastAsia="fr-FR"/>
        </w:rPr>
        <w:t>’</w:t>
      </w:r>
      <w:r>
        <w:rPr>
          <w:lang w:eastAsia="fr-FR"/>
        </w:rPr>
        <w:t>implication accrue du secrétariat, la disponibilité des données a atteint un niveau sans précédent.</w:t>
      </w:r>
    </w:p>
    <w:p w14:paraId="11D7561C" w14:textId="77777777" w:rsidR="001E6D3C" w:rsidRPr="00377074" w:rsidRDefault="001E6D3C" w:rsidP="007B3A5A">
      <w:pPr>
        <w:pStyle w:val="H1G"/>
        <w:rPr>
          <w:lang w:eastAsia="fr-FR"/>
        </w:rPr>
      </w:pPr>
      <w:r w:rsidRPr="00377074">
        <w:rPr>
          <w:lang w:eastAsia="fr-FR"/>
        </w:rPr>
        <w:tab/>
        <w:t>H.</w:t>
      </w:r>
      <w:r w:rsidRPr="00377074">
        <w:rPr>
          <w:lang w:eastAsia="fr-FR"/>
        </w:rPr>
        <w:tab/>
        <w:t>Transport des denrées périssables</w:t>
      </w:r>
    </w:p>
    <w:p w14:paraId="0D0F3B2E" w14:textId="77777777" w:rsidR="001E6D3C" w:rsidRPr="005A1EAA" w:rsidRDefault="001E6D3C" w:rsidP="007B3A5A">
      <w:pPr>
        <w:pStyle w:val="SingleTxtG"/>
        <w:rPr>
          <w:lang w:eastAsia="fr-FR"/>
        </w:rPr>
      </w:pPr>
      <w:r w:rsidRPr="005A1EAA">
        <w:rPr>
          <w:lang w:eastAsia="fr-FR"/>
        </w:rPr>
        <w:t>53.</w:t>
      </w:r>
      <w:r w:rsidRPr="005A1EAA">
        <w:rPr>
          <w:lang w:eastAsia="fr-FR"/>
        </w:rPr>
        <w:tab/>
        <w:t>L</w:t>
      </w:r>
      <w:r w:rsidR="00616FE4">
        <w:rPr>
          <w:lang w:eastAsia="fr-FR"/>
        </w:rPr>
        <w:t>’</w:t>
      </w:r>
      <w:r w:rsidRPr="005A1EAA">
        <w:rPr>
          <w:lang w:eastAsia="fr-FR"/>
        </w:rPr>
        <w:t>Accord relatif aux transports internationaux de denrées périssables et aux engins spéciaux à utiliser pour ces transports (ATP)</w:t>
      </w:r>
      <w:r w:rsidRPr="005A1EAA">
        <w:rPr>
          <w:rFonts w:ascii="Segoe UI" w:hAnsi="Segoe UI" w:cs="Segoe UI"/>
        </w:rPr>
        <w:t xml:space="preserve"> </w:t>
      </w:r>
      <w:r w:rsidRPr="005A1EAA">
        <w:rPr>
          <w:lang w:eastAsia="fr-FR"/>
        </w:rPr>
        <w:t>vise à garantir que les denrées alimentaires réfrigérées et surgelées sont transportées d</w:t>
      </w:r>
      <w:r w:rsidR="00616FE4">
        <w:rPr>
          <w:lang w:eastAsia="fr-FR"/>
        </w:rPr>
        <w:t>’</w:t>
      </w:r>
      <w:r w:rsidRPr="005A1EAA">
        <w:rPr>
          <w:lang w:eastAsia="fr-FR"/>
        </w:rPr>
        <w:t>une manière efficace et sûre, dans de bonnes conditions d</w:t>
      </w:r>
      <w:r w:rsidR="00616FE4">
        <w:rPr>
          <w:lang w:eastAsia="fr-FR"/>
        </w:rPr>
        <w:t>’</w:t>
      </w:r>
      <w:r w:rsidRPr="005A1EAA">
        <w:rPr>
          <w:lang w:eastAsia="fr-FR"/>
        </w:rPr>
        <w:t>hygiène et sans danger pour la santé humaine.</w:t>
      </w:r>
      <w:r w:rsidRPr="005A1EAA">
        <w:rPr>
          <w:rFonts w:ascii="Segoe UI" w:hAnsi="Segoe UI" w:cs="Segoe UI"/>
        </w:rPr>
        <w:t xml:space="preserve"> </w:t>
      </w:r>
      <w:r w:rsidRPr="005A1EAA">
        <w:rPr>
          <w:lang w:eastAsia="fr-FR"/>
        </w:rPr>
        <w:t>Cinquante pays − dont certains ne sont pas membres de la CEE (Arabie saoudite, Maroc et Tunisie) − sont Parties contractantes à l</w:t>
      </w:r>
      <w:r w:rsidR="00616FE4">
        <w:rPr>
          <w:lang w:eastAsia="fr-FR"/>
        </w:rPr>
        <w:t>’</w:t>
      </w:r>
      <w:r w:rsidRPr="005A1EAA">
        <w:rPr>
          <w:lang w:eastAsia="fr-FR"/>
        </w:rPr>
        <w:t>ATP.</w:t>
      </w:r>
      <w:r w:rsidRPr="005A1EAA">
        <w:rPr>
          <w:rFonts w:ascii="Segoe UI" w:hAnsi="Segoe UI" w:cs="Segoe UI"/>
        </w:rPr>
        <w:t xml:space="preserve"> </w:t>
      </w:r>
      <w:r w:rsidRPr="005A1EAA">
        <w:rPr>
          <w:lang w:eastAsia="fr-FR"/>
        </w:rPr>
        <w:t>De plus, certains pays ont adopté l</w:t>
      </w:r>
      <w:r w:rsidR="00616FE4">
        <w:rPr>
          <w:lang w:eastAsia="fr-FR"/>
        </w:rPr>
        <w:t>’</w:t>
      </w:r>
      <w:r w:rsidRPr="005A1EAA">
        <w:rPr>
          <w:lang w:eastAsia="fr-FR"/>
        </w:rPr>
        <w:t>ATP comme base de leur législation nationale</w:t>
      </w:r>
      <w:r>
        <w:rPr>
          <w:lang w:eastAsia="fr-FR"/>
        </w:rPr>
        <w:t>. Cet accord :</w:t>
      </w:r>
    </w:p>
    <w:p w14:paraId="1C5E005F" w14:textId="77777777" w:rsidR="001E6D3C" w:rsidRDefault="001E6D3C" w:rsidP="007B3A5A">
      <w:pPr>
        <w:pStyle w:val="Bullet1G"/>
        <w:rPr>
          <w:lang w:eastAsia="fr-FR"/>
        </w:rPr>
      </w:pPr>
      <w:r w:rsidRPr="005A1EAA">
        <w:rPr>
          <w:lang w:eastAsia="fr-FR"/>
        </w:rPr>
        <w:t>Prévoit des normes communes pour les engins de transport à la température régulée, qu</w:t>
      </w:r>
      <w:r w:rsidR="00616FE4">
        <w:rPr>
          <w:lang w:eastAsia="fr-FR"/>
        </w:rPr>
        <w:t>’</w:t>
      </w:r>
      <w:r w:rsidRPr="005A1EAA">
        <w:rPr>
          <w:lang w:eastAsia="fr-FR"/>
        </w:rPr>
        <w:t>il s</w:t>
      </w:r>
      <w:r w:rsidR="00616FE4">
        <w:rPr>
          <w:lang w:eastAsia="fr-FR"/>
        </w:rPr>
        <w:t>’</w:t>
      </w:r>
      <w:r w:rsidRPr="005A1EAA">
        <w:rPr>
          <w:lang w:eastAsia="fr-FR"/>
        </w:rPr>
        <w:t>agisse de véhicules routiers, de wagons ou de conteneurs, ainsi que les essais garantissant leur isothermie et l</w:t>
      </w:r>
      <w:r w:rsidR="00616FE4">
        <w:rPr>
          <w:lang w:eastAsia="fr-FR"/>
        </w:rPr>
        <w:t>’</w:t>
      </w:r>
      <w:r w:rsidRPr="005A1EAA">
        <w:rPr>
          <w:lang w:eastAsia="fr-FR"/>
        </w:rPr>
        <w:t xml:space="preserve">efficacité de leurs dispositifs thermiques ; et </w:t>
      </w:r>
    </w:p>
    <w:p w14:paraId="5D40F9E0" w14:textId="77777777" w:rsidR="001E6D3C" w:rsidRPr="005A1EAA" w:rsidRDefault="001E6D3C" w:rsidP="007B3A5A">
      <w:pPr>
        <w:pStyle w:val="Bullet1G"/>
        <w:rPr>
          <w:lang w:eastAsia="fr-FR"/>
        </w:rPr>
      </w:pPr>
      <w:r w:rsidRPr="005A1EAA">
        <w:rPr>
          <w:lang w:eastAsia="fr-FR"/>
        </w:rPr>
        <w:t>Contribue à la réduction globale du gaspillage alimentaire dû à des conditions de transport inadaptées. Le gaspillage de millions de tonnes de denrées périssables et de ressources très rares ou non renouvelables utilisées pour leur production telles que la terre, l</w:t>
      </w:r>
      <w:r w:rsidR="00616FE4">
        <w:rPr>
          <w:lang w:eastAsia="fr-FR"/>
        </w:rPr>
        <w:t>’</w:t>
      </w:r>
      <w:r w:rsidRPr="005A1EAA">
        <w:rPr>
          <w:lang w:eastAsia="fr-FR"/>
        </w:rPr>
        <w:t>eau, l</w:t>
      </w:r>
      <w:r w:rsidR="00616FE4">
        <w:rPr>
          <w:lang w:eastAsia="fr-FR"/>
        </w:rPr>
        <w:t>’</w:t>
      </w:r>
      <w:r w:rsidRPr="005A1EAA">
        <w:rPr>
          <w:lang w:eastAsia="fr-FR"/>
        </w:rPr>
        <w:t>énergie, les engrais chimiques et les pesticides, contribue au réchauffement climatique.</w:t>
      </w:r>
      <w:r w:rsidRPr="005A1EAA">
        <w:rPr>
          <w:rFonts w:ascii="Segoe UI" w:hAnsi="Segoe UI" w:cs="Segoe UI"/>
        </w:rPr>
        <w:t xml:space="preserve"> </w:t>
      </w:r>
      <w:r w:rsidRPr="005A1EAA">
        <w:rPr>
          <w:lang w:eastAsia="fr-FR"/>
        </w:rPr>
        <w:t>Le gaspillage des denrées alimentaires a également une incidence sur la sécurité alimentaire.</w:t>
      </w:r>
    </w:p>
    <w:p w14:paraId="20BEFD83" w14:textId="77777777" w:rsidR="001E6D3C" w:rsidRDefault="001E6D3C" w:rsidP="007B3A5A">
      <w:pPr>
        <w:pStyle w:val="SingleTxtG"/>
        <w:rPr>
          <w:lang w:eastAsia="fr-FR"/>
        </w:rPr>
      </w:pPr>
      <w:r w:rsidRPr="00F46804">
        <w:rPr>
          <w:lang w:eastAsia="fr-FR"/>
        </w:rPr>
        <w:t>54.</w:t>
      </w:r>
      <w:r w:rsidRPr="00F46804">
        <w:rPr>
          <w:lang w:eastAsia="fr-FR"/>
        </w:rPr>
        <w:tab/>
        <w:t>Bien qu</w:t>
      </w:r>
      <w:r w:rsidR="00616FE4">
        <w:rPr>
          <w:lang w:eastAsia="fr-FR"/>
        </w:rPr>
        <w:t>’</w:t>
      </w:r>
      <w:r w:rsidRPr="00F46804">
        <w:rPr>
          <w:lang w:eastAsia="fr-FR"/>
        </w:rPr>
        <w:t>il n</w:t>
      </w:r>
      <w:r w:rsidR="00616FE4">
        <w:rPr>
          <w:lang w:eastAsia="fr-FR"/>
        </w:rPr>
        <w:t>’</w:t>
      </w:r>
      <w:r w:rsidRPr="00F46804">
        <w:rPr>
          <w:lang w:eastAsia="fr-FR"/>
        </w:rPr>
        <w:t>y ait pas eu de nouvelles adhésions</w:t>
      </w:r>
      <w:r>
        <w:rPr>
          <w:lang w:eastAsia="fr-FR"/>
        </w:rPr>
        <w:t xml:space="preserve"> à l</w:t>
      </w:r>
      <w:r w:rsidR="00616FE4">
        <w:rPr>
          <w:lang w:eastAsia="fr-FR"/>
        </w:rPr>
        <w:t>’</w:t>
      </w:r>
      <w:r>
        <w:rPr>
          <w:lang w:eastAsia="fr-FR"/>
        </w:rPr>
        <w:t xml:space="preserve">ATP en 2019, le WP.11 a adopté lors de </w:t>
      </w:r>
      <w:r w:rsidRPr="009500BC">
        <w:rPr>
          <w:lang w:eastAsia="fr-FR"/>
        </w:rPr>
        <w:t>sa soixante-quatorzième session des dispositions permettant de remplacer les gaz fluorés employés comme réfrigérants dans les équipements spéciaux actuellement utilisés par d</w:t>
      </w:r>
      <w:r w:rsidR="00616FE4">
        <w:rPr>
          <w:lang w:eastAsia="fr-FR"/>
        </w:rPr>
        <w:t>’</w:t>
      </w:r>
      <w:r w:rsidRPr="009500BC">
        <w:rPr>
          <w:lang w:eastAsia="fr-FR"/>
        </w:rPr>
        <w:t>autres réfrigérants présentant un potentiel de réchauffement planétaire inférieur. Les gaz fluorés sont de puissants gaz à effet de serre, dont la contribution au réchauffement mondial est jusqu</w:t>
      </w:r>
      <w:r w:rsidR="00616FE4">
        <w:rPr>
          <w:lang w:eastAsia="fr-FR"/>
        </w:rPr>
        <w:t>’</w:t>
      </w:r>
      <w:r w:rsidRPr="009500BC">
        <w:rPr>
          <w:lang w:eastAsia="fr-FR"/>
        </w:rPr>
        <w:t>à 23 000 fois supérieure à celle du dioxyde de carbone</w:t>
      </w:r>
      <w:r>
        <w:rPr>
          <w:lang w:eastAsia="fr-FR"/>
        </w:rPr>
        <w:t>,</w:t>
      </w:r>
      <w:r w:rsidRPr="009500BC">
        <w:rPr>
          <w:lang w:eastAsia="fr-FR"/>
        </w:rPr>
        <w:t xml:space="preserve"> </w:t>
      </w:r>
      <w:r>
        <w:rPr>
          <w:lang w:eastAsia="fr-FR"/>
        </w:rPr>
        <w:t xml:space="preserve">et il </w:t>
      </w:r>
      <w:r w:rsidRPr="009500BC">
        <w:rPr>
          <w:lang w:eastAsia="fr-FR"/>
        </w:rPr>
        <w:t>est donc important de faciliter le</w:t>
      </w:r>
      <w:r>
        <w:rPr>
          <w:lang w:eastAsia="fr-FR"/>
        </w:rPr>
        <w:t>ur</w:t>
      </w:r>
      <w:r w:rsidRPr="009500BC">
        <w:rPr>
          <w:lang w:eastAsia="fr-FR"/>
        </w:rPr>
        <w:t xml:space="preserve"> remplacement pour contribuer à la réduction des émissions et à la lutte contre les changements climatiques.</w:t>
      </w:r>
    </w:p>
    <w:p w14:paraId="5A105D16" w14:textId="77777777" w:rsidR="001E6D3C" w:rsidRPr="00866E44" w:rsidRDefault="001E6D3C" w:rsidP="007B3A5A">
      <w:pPr>
        <w:pStyle w:val="H1G"/>
        <w:rPr>
          <w:lang w:eastAsia="en-GB"/>
        </w:rPr>
      </w:pPr>
      <w:r w:rsidRPr="00377074">
        <w:rPr>
          <w:lang w:eastAsia="fr-FR"/>
        </w:rPr>
        <w:tab/>
      </w:r>
      <w:r w:rsidRPr="00866E44">
        <w:rPr>
          <w:lang w:eastAsia="fr-FR"/>
        </w:rPr>
        <w:t>I.</w:t>
      </w:r>
      <w:r w:rsidRPr="00866E44">
        <w:rPr>
          <w:lang w:eastAsia="fr-FR"/>
        </w:rPr>
        <w:tab/>
        <w:t>Transport des marchandises dangereuses et classification et étiquetage des produits chimiques</w:t>
      </w:r>
    </w:p>
    <w:p w14:paraId="40CFEE4F" w14:textId="77777777" w:rsidR="001E6D3C" w:rsidRPr="00866E44" w:rsidRDefault="001E6D3C" w:rsidP="007B3A5A">
      <w:pPr>
        <w:pStyle w:val="H23G"/>
        <w:rPr>
          <w:rFonts w:ascii="regular_medium" w:hAnsi="regular_medium"/>
          <w:bCs/>
          <w:color w:val="000000"/>
          <w:lang w:eastAsia="fr-FR"/>
        </w:rPr>
      </w:pPr>
      <w:r w:rsidRPr="00866E44">
        <w:rPr>
          <w:lang w:eastAsia="fr-FR"/>
        </w:rPr>
        <w:tab/>
        <w:t>1.</w:t>
      </w:r>
      <w:r w:rsidRPr="00866E44">
        <w:rPr>
          <w:lang w:eastAsia="fr-FR"/>
        </w:rPr>
        <w:tab/>
        <w:t>Travaux des organes de l</w:t>
      </w:r>
      <w:r w:rsidR="00616FE4">
        <w:rPr>
          <w:lang w:eastAsia="fr-FR"/>
        </w:rPr>
        <w:t>’</w:t>
      </w:r>
      <w:r w:rsidRPr="00866E44">
        <w:rPr>
          <w:lang w:eastAsia="fr-FR"/>
        </w:rPr>
        <w:t xml:space="preserve">ECOSOC dont le secrétariat est assuré par la Division </w:t>
      </w:r>
      <w:r w:rsidR="0080645C">
        <w:rPr>
          <w:lang w:eastAsia="fr-FR"/>
        </w:rPr>
        <w:br/>
      </w:r>
      <w:r w:rsidRPr="00866E44">
        <w:rPr>
          <w:lang w:eastAsia="fr-FR"/>
        </w:rPr>
        <w:t>des transports durables</w:t>
      </w:r>
    </w:p>
    <w:p w14:paraId="03F613F6" w14:textId="77777777" w:rsidR="001E6D3C" w:rsidRDefault="001E6D3C" w:rsidP="007B3A5A">
      <w:pPr>
        <w:pStyle w:val="SingleTxtG"/>
        <w:rPr>
          <w:lang w:eastAsia="fr-FR"/>
        </w:rPr>
      </w:pPr>
      <w:r w:rsidRPr="005237B5">
        <w:rPr>
          <w:lang w:eastAsia="fr-FR"/>
        </w:rPr>
        <w:t>55.</w:t>
      </w:r>
      <w:r w:rsidRPr="005237B5">
        <w:rPr>
          <w:lang w:eastAsia="fr-FR"/>
        </w:rPr>
        <w:tab/>
        <w:t xml:space="preserve">La Division des transports durables assure le secrétariat </w:t>
      </w:r>
      <w:r>
        <w:rPr>
          <w:lang w:eastAsia="fr-FR"/>
        </w:rPr>
        <w:t>de plusieurs organes qui s</w:t>
      </w:r>
      <w:r w:rsidR="00616FE4">
        <w:rPr>
          <w:lang w:eastAsia="fr-FR"/>
        </w:rPr>
        <w:t>’</w:t>
      </w:r>
      <w:r>
        <w:rPr>
          <w:lang w:eastAsia="fr-FR"/>
        </w:rPr>
        <w:t>occupent de l</w:t>
      </w:r>
      <w:r w:rsidR="00616FE4">
        <w:rPr>
          <w:lang w:eastAsia="fr-FR"/>
        </w:rPr>
        <w:t>’</w:t>
      </w:r>
      <w:r>
        <w:rPr>
          <w:lang w:eastAsia="fr-FR"/>
        </w:rPr>
        <w:t xml:space="preserve">harmonisation des réglementations portant sur le transport des marchandises dangereuses, ainsi que sur la </w:t>
      </w:r>
      <w:r w:rsidRPr="005237B5">
        <w:rPr>
          <w:lang w:eastAsia="fr-FR"/>
        </w:rPr>
        <w:t xml:space="preserve">classification et </w:t>
      </w:r>
      <w:r>
        <w:rPr>
          <w:lang w:eastAsia="fr-FR"/>
        </w:rPr>
        <w:t>l</w:t>
      </w:r>
      <w:r w:rsidR="00616FE4">
        <w:rPr>
          <w:lang w:eastAsia="fr-FR"/>
        </w:rPr>
        <w:t>’</w:t>
      </w:r>
      <w:r w:rsidRPr="005237B5">
        <w:rPr>
          <w:lang w:eastAsia="fr-FR"/>
        </w:rPr>
        <w:t>étiquetage des produits chimiques</w:t>
      </w:r>
      <w:r>
        <w:rPr>
          <w:lang w:eastAsia="fr-FR"/>
        </w:rPr>
        <w:t xml:space="preserve"> dans tous les secteurs. Ce sont notamment :</w:t>
      </w:r>
    </w:p>
    <w:p w14:paraId="12686DE1" w14:textId="77777777" w:rsidR="001E6D3C" w:rsidRDefault="001E6D3C" w:rsidP="00615B2B">
      <w:pPr>
        <w:pStyle w:val="Bullet1G"/>
        <w:rPr>
          <w:lang w:eastAsia="fr-FR"/>
        </w:rPr>
      </w:pPr>
      <w:r>
        <w:rPr>
          <w:lang w:eastAsia="fr-FR"/>
        </w:rPr>
        <w:t xml:space="preserve">Le </w:t>
      </w:r>
      <w:r w:rsidRPr="008E2255">
        <w:rPr>
          <w:lang w:eastAsia="fr-FR"/>
        </w:rPr>
        <w:t>Comité d</w:t>
      </w:r>
      <w:r w:rsidR="00616FE4">
        <w:rPr>
          <w:lang w:eastAsia="fr-FR"/>
        </w:rPr>
        <w:t>’</w:t>
      </w:r>
      <w:r w:rsidRPr="008E2255">
        <w:rPr>
          <w:lang w:eastAsia="fr-FR"/>
        </w:rPr>
        <w:t xml:space="preserve">experts du transport des marchandises dangereuses </w:t>
      </w:r>
      <w:r>
        <w:rPr>
          <w:lang w:eastAsia="fr-FR"/>
        </w:rPr>
        <w:t>e</w:t>
      </w:r>
      <w:r w:rsidRPr="008E2255">
        <w:rPr>
          <w:lang w:eastAsia="fr-FR"/>
        </w:rPr>
        <w:t>t du Système général harmonisé de classification et d</w:t>
      </w:r>
      <w:r w:rsidR="00616FE4">
        <w:rPr>
          <w:lang w:eastAsia="fr-FR"/>
        </w:rPr>
        <w:t>’</w:t>
      </w:r>
      <w:r w:rsidRPr="008E2255">
        <w:rPr>
          <w:lang w:eastAsia="fr-FR"/>
        </w:rPr>
        <w:t>étiquetage des produits chimiques d</w:t>
      </w:r>
      <w:r>
        <w:rPr>
          <w:lang w:eastAsia="fr-FR"/>
        </w:rPr>
        <w:t xml:space="preserve">e </w:t>
      </w:r>
      <w:r w:rsidRPr="008E2255">
        <w:rPr>
          <w:lang w:eastAsia="fr-FR"/>
        </w:rPr>
        <w:t>l</w:t>
      </w:r>
      <w:r w:rsidR="00616FE4">
        <w:rPr>
          <w:lang w:eastAsia="fr-FR"/>
        </w:rPr>
        <w:t>’</w:t>
      </w:r>
      <w:r w:rsidRPr="008E2255">
        <w:rPr>
          <w:lang w:eastAsia="fr-FR"/>
        </w:rPr>
        <w:t>ECOSOC</w:t>
      </w:r>
      <w:r w:rsidR="00E66CC5">
        <w:rPr>
          <w:lang w:eastAsia="fr-FR"/>
        </w:rPr>
        <w:t> ;</w:t>
      </w:r>
      <w:r w:rsidRPr="008E2255">
        <w:rPr>
          <w:lang w:eastAsia="fr-FR"/>
        </w:rPr>
        <w:t xml:space="preserve"> </w:t>
      </w:r>
    </w:p>
    <w:p w14:paraId="4B4C1C57" w14:textId="77777777" w:rsidR="001E6D3C" w:rsidRPr="008E2255" w:rsidRDefault="001E6D3C" w:rsidP="00615B2B">
      <w:pPr>
        <w:pStyle w:val="Bullet1G"/>
        <w:rPr>
          <w:lang w:eastAsia="fr-FR"/>
        </w:rPr>
      </w:pPr>
      <w:r>
        <w:rPr>
          <w:lang w:eastAsia="fr-FR"/>
        </w:rPr>
        <w:t xml:space="preserve">Le </w:t>
      </w:r>
      <w:r w:rsidRPr="008E2255">
        <w:rPr>
          <w:lang w:eastAsia="fr-FR"/>
        </w:rPr>
        <w:t>Sous-Comité d</w:t>
      </w:r>
      <w:r w:rsidR="00616FE4">
        <w:rPr>
          <w:lang w:eastAsia="fr-FR"/>
        </w:rPr>
        <w:t>’</w:t>
      </w:r>
      <w:r w:rsidRPr="008E2255">
        <w:rPr>
          <w:lang w:eastAsia="fr-FR"/>
        </w:rPr>
        <w:t>experts du transport des marchandises dangereuses de l</w:t>
      </w:r>
      <w:r w:rsidR="00616FE4">
        <w:rPr>
          <w:lang w:eastAsia="fr-FR"/>
        </w:rPr>
        <w:t>’</w:t>
      </w:r>
      <w:r w:rsidRPr="008E2255">
        <w:rPr>
          <w:lang w:eastAsia="fr-FR"/>
        </w:rPr>
        <w:t>ECOSOC</w:t>
      </w:r>
      <w:r w:rsidR="00E66CC5">
        <w:rPr>
          <w:lang w:eastAsia="fr-FR"/>
        </w:rPr>
        <w:t> ;</w:t>
      </w:r>
      <w:r>
        <w:rPr>
          <w:lang w:eastAsia="fr-FR"/>
        </w:rPr>
        <w:t xml:space="preserve"> et</w:t>
      </w:r>
    </w:p>
    <w:p w14:paraId="41E81A02" w14:textId="77777777" w:rsidR="001E6D3C" w:rsidRPr="008E2255" w:rsidRDefault="001E6D3C" w:rsidP="00615B2B">
      <w:pPr>
        <w:pStyle w:val="Bullet1G"/>
        <w:rPr>
          <w:lang w:eastAsia="fr-FR"/>
        </w:rPr>
      </w:pPr>
      <w:r>
        <w:rPr>
          <w:lang w:eastAsia="fr-FR"/>
        </w:rPr>
        <w:lastRenderedPageBreak/>
        <w:t xml:space="preserve">Le </w:t>
      </w:r>
      <w:r w:rsidRPr="008E2255">
        <w:rPr>
          <w:lang w:eastAsia="fr-FR"/>
        </w:rPr>
        <w:t>Sous-Comité d</w:t>
      </w:r>
      <w:r w:rsidR="00616FE4">
        <w:rPr>
          <w:lang w:eastAsia="fr-FR"/>
        </w:rPr>
        <w:t>’</w:t>
      </w:r>
      <w:r w:rsidRPr="008E2255">
        <w:rPr>
          <w:lang w:eastAsia="fr-FR"/>
        </w:rPr>
        <w:t>experts du Système général harmonisé de classification et d</w:t>
      </w:r>
      <w:r w:rsidR="00616FE4">
        <w:rPr>
          <w:lang w:eastAsia="fr-FR"/>
        </w:rPr>
        <w:t>’</w:t>
      </w:r>
      <w:r w:rsidRPr="008E2255">
        <w:rPr>
          <w:lang w:eastAsia="fr-FR"/>
        </w:rPr>
        <w:t xml:space="preserve">étiquetage des produits chimiques </w:t>
      </w:r>
      <w:r>
        <w:rPr>
          <w:lang w:eastAsia="fr-FR"/>
        </w:rPr>
        <w:t>de l</w:t>
      </w:r>
      <w:r w:rsidR="00616FE4">
        <w:rPr>
          <w:lang w:eastAsia="fr-FR"/>
        </w:rPr>
        <w:t>’</w:t>
      </w:r>
      <w:r w:rsidRPr="008E2255">
        <w:rPr>
          <w:lang w:eastAsia="fr-FR"/>
        </w:rPr>
        <w:t>ECOSOC.</w:t>
      </w:r>
    </w:p>
    <w:p w14:paraId="003AA7DB" w14:textId="77777777" w:rsidR="001E6D3C" w:rsidRPr="005425EF" w:rsidRDefault="001E6D3C" w:rsidP="00615B2B">
      <w:pPr>
        <w:pStyle w:val="SingleTxtG"/>
        <w:rPr>
          <w:lang w:eastAsia="fr-FR"/>
        </w:rPr>
      </w:pPr>
      <w:r w:rsidRPr="008E2255">
        <w:rPr>
          <w:lang w:eastAsia="fr-FR"/>
        </w:rPr>
        <w:t>56.</w:t>
      </w:r>
      <w:r w:rsidRPr="008E2255">
        <w:rPr>
          <w:lang w:eastAsia="fr-FR"/>
        </w:rPr>
        <w:tab/>
        <w:t>En décembre 2018, le Comité d</w:t>
      </w:r>
      <w:r w:rsidR="00616FE4">
        <w:rPr>
          <w:lang w:eastAsia="fr-FR"/>
        </w:rPr>
        <w:t>’</w:t>
      </w:r>
      <w:r w:rsidRPr="008E2255">
        <w:rPr>
          <w:lang w:eastAsia="fr-FR"/>
        </w:rPr>
        <w:t xml:space="preserve">experts du transport des marchandises dangereuses </w:t>
      </w:r>
      <w:r>
        <w:rPr>
          <w:lang w:eastAsia="fr-FR"/>
        </w:rPr>
        <w:t xml:space="preserve">(TMD) </w:t>
      </w:r>
      <w:r w:rsidRPr="008E2255">
        <w:rPr>
          <w:lang w:eastAsia="fr-FR"/>
        </w:rPr>
        <w:t>et du Système général harmonisé de classification et d</w:t>
      </w:r>
      <w:r w:rsidR="00616FE4">
        <w:rPr>
          <w:lang w:eastAsia="fr-FR"/>
        </w:rPr>
        <w:t>’</w:t>
      </w:r>
      <w:r w:rsidRPr="008E2255">
        <w:rPr>
          <w:lang w:eastAsia="fr-FR"/>
        </w:rPr>
        <w:t>étiquetage des produits chimiques</w:t>
      </w:r>
      <w:r>
        <w:rPr>
          <w:lang w:eastAsia="fr-FR"/>
        </w:rPr>
        <w:t xml:space="preserve"> (SGH)</w:t>
      </w:r>
      <w:r w:rsidRPr="008E2255">
        <w:rPr>
          <w:lang w:eastAsia="fr-FR"/>
        </w:rPr>
        <w:t xml:space="preserve"> de l</w:t>
      </w:r>
      <w:r w:rsidR="00616FE4">
        <w:rPr>
          <w:lang w:eastAsia="fr-FR"/>
        </w:rPr>
        <w:t>’</w:t>
      </w:r>
      <w:r w:rsidRPr="008E2255">
        <w:rPr>
          <w:lang w:eastAsia="fr-FR"/>
        </w:rPr>
        <w:t>ECOSOC</w:t>
      </w:r>
      <w:r>
        <w:rPr>
          <w:lang w:eastAsia="fr-FR"/>
        </w:rPr>
        <w:t xml:space="preserve"> a achevé sa période biennale de travail en adoptant une série </w:t>
      </w:r>
      <w:r w:rsidRPr="005425EF">
        <w:rPr>
          <w:lang w:eastAsia="fr-FR"/>
        </w:rPr>
        <w:t>d</w:t>
      </w:r>
      <w:r w:rsidR="00616FE4">
        <w:rPr>
          <w:lang w:eastAsia="fr-FR"/>
        </w:rPr>
        <w:t>’</w:t>
      </w:r>
      <w:r w:rsidRPr="005425EF">
        <w:rPr>
          <w:lang w:eastAsia="fr-FR"/>
        </w:rPr>
        <w:t>amendements</w:t>
      </w:r>
      <w:r w:rsidRPr="005425EF">
        <w:t xml:space="preserve"> aux </w:t>
      </w:r>
      <w:r w:rsidR="00E66CC5">
        <w:rPr>
          <w:lang w:eastAsia="fr-FR"/>
        </w:rPr>
        <w:t>« </w:t>
      </w:r>
      <w:r w:rsidRPr="005425EF">
        <w:rPr>
          <w:lang w:eastAsia="fr-FR"/>
        </w:rPr>
        <w:t>Recommandations de l</w:t>
      </w:r>
      <w:r w:rsidR="00616FE4">
        <w:rPr>
          <w:lang w:eastAsia="fr-FR"/>
        </w:rPr>
        <w:t>’</w:t>
      </w:r>
      <w:r w:rsidRPr="005425EF">
        <w:rPr>
          <w:lang w:eastAsia="fr-FR"/>
        </w:rPr>
        <w:t>Organisation des Nations</w:t>
      </w:r>
      <w:r w:rsidR="00E66CC5">
        <w:rPr>
          <w:lang w:eastAsia="fr-FR"/>
        </w:rPr>
        <w:t> </w:t>
      </w:r>
      <w:r w:rsidRPr="005425EF">
        <w:rPr>
          <w:lang w:eastAsia="fr-FR"/>
        </w:rPr>
        <w:t>Unies relatives au transport des marchandises dangereuses (Règlement type)</w:t>
      </w:r>
      <w:r w:rsidR="00E66CC5">
        <w:rPr>
          <w:lang w:eastAsia="fr-FR"/>
        </w:rPr>
        <w:t> »</w:t>
      </w:r>
      <w:r>
        <w:rPr>
          <w:lang w:eastAsia="fr-FR"/>
        </w:rPr>
        <w:t xml:space="preserve">, au </w:t>
      </w:r>
      <w:r w:rsidR="00E66CC5">
        <w:rPr>
          <w:lang w:eastAsia="fr-FR"/>
        </w:rPr>
        <w:t>« </w:t>
      </w:r>
      <w:r w:rsidRPr="005425EF">
        <w:rPr>
          <w:lang w:eastAsia="fr-FR"/>
        </w:rPr>
        <w:t>Manuel d</w:t>
      </w:r>
      <w:r w:rsidR="00616FE4">
        <w:rPr>
          <w:lang w:eastAsia="fr-FR"/>
        </w:rPr>
        <w:t>’</w:t>
      </w:r>
      <w:r w:rsidRPr="005425EF">
        <w:rPr>
          <w:lang w:eastAsia="fr-FR"/>
        </w:rPr>
        <w:t>épreuves et de critères</w:t>
      </w:r>
      <w:r w:rsidR="00E66CC5">
        <w:rPr>
          <w:lang w:eastAsia="fr-FR"/>
        </w:rPr>
        <w:t> »</w:t>
      </w:r>
      <w:r>
        <w:rPr>
          <w:lang w:eastAsia="fr-FR"/>
        </w:rPr>
        <w:t xml:space="preserve"> et au </w:t>
      </w:r>
      <w:r w:rsidR="00E66CC5">
        <w:rPr>
          <w:lang w:eastAsia="fr-FR"/>
        </w:rPr>
        <w:t>« </w:t>
      </w:r>
      <w:r w:rsidRPr="005425EF">
        <w:rPr>
          <w:lang w:eastAsia="fr-FR"/>
        </w:rPr>
        <w:t>SGH</w:t>
      </w:r>
      <w:r w:rsidR="00E66CC5">
        <w:rPr>
          <w:lang w:eastAsia="fr-FR"/>
        </w:rPr>
        <w:t> »</w:t>
      </w:r>
      <w:r w:rsidRPr="005425EF">
        <w:rPr>
          <w:lang w:eastAsia="fr-FR"/>
        </w:rPr>
        <w:t xml:space="preserve">. </w:t>
      </w:r>
    </w:p>
    <w:p w14:paraId="654629F7" w14:textId="77777777" w:rsidR="001E6D3C" w:rsidRPr="00D36220" w:rsidRDefault="001E6D3C" w:rsidP="00615B2B">
      <w:pPr>
        <w:pStyle w:val="SingleTxtG"/>
        <w:rPr>
          <w:lang w:eastAsia="fr-FR"/>
        </w:rPr>
      </w:pPr>
      <w:r w:rsidRPr="00923622">
        <w:rPr>
          <w:lang w:eastAsia="fr-FR"/>
        </w:rPr>
        <w:t>57.</w:t>
      </w:r>
      <w:r w:rsidRPr="00923622">
        <w:rPr>
          <w:lang w:eastAsia="fr-FR"/>
        </w:rPr>
        <w:tab/>
        <w:t>En 2019, pour faciliter la mise en œuvre dans le monde entier</w:t>
      </w:r>
      <w:r>
        <w:rPr>
          <w:lang w:eastAsia="fr-FR"/>
        </w:rPr>
        <w:t xml:space="preserve"> des dispositions adoptées par le Comité d</w:t>
      </w:r>
      <w:r w:rsidR="00616FE4">
        <w:rPr>
          <w:lang w:eastAsia="fr-FR"/>
        </w:rPr>
        <w:t>’</w:t>
      </w:r>
      <w:r>
        <w:rPr>
          <w:lang w:eastAsia="fr-FR"/>
        </w:rPr>
        <w:t xml:space="preserve">experts, le secrétariat a établi des éditions </w:t>
      </w:r>
      <w:r w:rsidRPr="00923622">
        <w:rPr>
          <w:lang w:eastAsia="fr-FR"/>
        </w:rPr>
        <w:t>d</w:t>
      </w:r>
      <w:r w:rsidR="00616FE4">
        <w:rPr>
          <w:lang w:eastAsia="fr-FR"/>
        </w:rPr>
        <w:t>’</w:t>
      </w:r>
      <w:r w:rsidRPr="00923622">
        <w:rPr>
          <w:lang w:eastAsia="fr-FR"/>
        </w:rPr>
        <w:t xml:space="preserve">ensemble </w:t>
      </w:r>
      <w:r>
        <w:rPr>
          <w:lang w:eastAsia="fr-FR"/>
        </w:rPr>
        <w:t xml:space="preserve">révisées des trois instruments mentionnés ci-dessus qui tiennent compte du travail effectué pendant la période </w:t>
      </w:r>
      <w:r w:rsidRPr="00D36220">
        <w:rPr>
          <w:lang w:eastAsia="fr-FR"/>
        </w:rPr>
        <w:t>2017</w:t>
      </w:r>
      <w:r w:rsidR="00E66CC5">
        <w:rPr>
          <w:lang w:eastAsia="fr-FR"/>
        </w:rPr>
        <w:t>-</w:t>
      </w:r>
      <w:r w:rsidRPr="00D36220">
        <w:rPr>
          <w:lang w:eastAsia="fr-FR"/>
        </w:rPr>
        <w:t>2018</w:t>
      </w:r>
      <w:r w:rsidR="00E66CC5">
        <w:rPr>
          <w:lang w:eastAsia="fr-FR"/>
        </w:rPr>
        <w:t> </w:t>
      </w:r>
      <w:r w:rsidRPr="00D36220">
        <w:rPr>
          <w:lang w:eastAsia="fr-FR"/>
        </w:rPr>
        <w:t>:</w:t>
      </w:r>
    </w:p>
    <w:p w14:paraId="4FC4C56B" w14:textId="77777777" w:rsidR="001E6D3C" w:rsidRDefault="001E6D3C" w:rsidP="00615B2B">
      <w:pPr>
        <w:pStyle w:val="Bullet1G"/>
        <w:rPr>
          <w:lang w:eastAsia="fr-FR"/>
        </w:rPr>
      </w:pPr>
      <w:r w:rsidRPr="00377074">
        <w:rPr>
          <w:lang w:eastAsia="fr-FR"/>
        </w:rPr>
        <w:t xml:space="preserve">Vingt et unième édition révisée des </w:t>
      </w:r>
      <w:r w:rsidR="00E66CC5">
        <w:rPr>
          <w:lang w:eastAsia="fr-FR"/>
        </w:rPr>
        <w:t>« </w:t>
      </w:r>
      <w:r w:rsidRPr="00377074">
        <w:rPr>
          <w:lang w:eastAsia="fr-FR"/>
        </w:rPr>
        <w:t>Recommandations de l</w:t>
      </w:r>
      <w:r w:rsidR="00616FE4">
        <w:rPr>
          <w:lang w:eastAsia="fr-FR"/>
        </w:rPr>
        <w:t>’</w:t>
      </w:r>
      <w:r w:rsidRPr="00377074">
        <w:rPr>
          <w:lang w:eastAsia="fr-FR"/>
        </w:rPr>
        <w:t>ONU relatives au Transport des marchandises dangereuses, Règlement type</w:t>
      </w:r>
      <w:r w:rsidR="00E66CC5">
        <w:rPr>
          <w:lang w:eastAsia="fr-FR"/>
        </w:rPr>
        <w:t> »</w:t>
      </w:r>
      <w:r>
        <w:rPr>
          <w:lang w:eastAsia="fr-FR"/>
        </w:rPr>
        <w:t xml:space="preserve">. Elle comporte notamment des dispositions nouvelles ou révisées concernant </w:t>
      </w:r>
      <w:r w:rsidRPr="003F2610">
        <w:rPr>
          <w:lang w:eastAsia="fr-FR"/>
        </w:rPr>
        <w:t>la sécurité du transport des batteries au lithium</w:t>
      </w:r>
      <w:r>
        <w:rPr>
          <w:lang w:eastAsia="fr-FR"/>
        </w:rPr>
        <w:t xml:space="preserve"> </w:t>
      </w:r>
      <w:r w:rsidRPr="003F2610">
        <w:rPr>
          <w:lang w:eastAsia="fr-FR"/>
        </w:rPr>
        <w:t>installées dans des engins de transport</w:t>
      </w:r>
      <w:r>
        <w:rPr>
          <w:lang w:eastAsia="fr-FR"/>
        </w:rPr>
        <w:t xml:space="preserve"> et des batteries défectueuses, des </w:t>
      </w:r>
      <w:r w:rsidRPr="003F2610">
        <w:rPr>
          <w:lang w:eastAsia="fr-FR"/>
        </w:rPr>
        <w:t>matières explosibles</w:t>
      </w:r>
      <w:r>
        <w:rPr>
          <w:lang w:eastAsia="fr-FR"/>
        </w:rPr>
        <w:t>, des</w:t>
      </w:r>
      <w:r w:rsidRPr="003F2610">
        <w:rPr>
          <w:rFonts w:ascii="Segoe UI" w:hAnsi="Segoe UI" w:cs="Segoe UI"/>
        </w:rPr>
        <w:t xml:space="preserve"> </w:t>
      </w:r>
      <w:r w:rsidRPr="003F2610">
        <w:rPr>
          <w:lang w:eastAsia="fr-FR"/>
        </w:rPr>
        <w:t>déchets infectieux</w:t>
      </w:r>
      <w:r>
        <w:rPr>
          <w:lang w:eastAsia="fr-FR"/>
        </w:rPr>
        <w:t>, des</w:t>
      </w:r>
      <w:r w:rsidRPr="003F2610">
        <w:rPr>
          <w:rFonts w:ascii="Segoe UI" w:hAnsi="Segoe UI" w:cs="Segoe UI"/>
        </w:rPr>
        <w:t xml:space="preserve"> </w:t>
      </w:r>
      <w:r w:rsidRPr="003F2610">
        <w:rPr>
          <w:lang w:eastAsia="fr-FR"/>
        </w:rPr>
        <w:t>cartouches à gaz mises au rebut</w:t>
      </w:r>
      <w:r>
        <w:rPr>
          <w:lang w:eastAsia="fr-FR"/>
        </w:rPr>
        <w:t xml:space="preserve">. Elle est aussi </w:t>
      </w:r>
      <w:r w:rsidRPr="003F2610">
        <w:rPr>
          <w:lang w:eastAsia="fr-FR"/>
        </w:rPr>
        <w:t>en concordance avec l</w:t>
      </w:r>
      <w:r w:rsidR="00616FE4">
        <w:rPr>
          <w:lang w:eastAsia="fr-FR"/>
        </w:rPr>
        <w:t>’</w:t>
      </w:r>
      <w:r w:rsidRPr="003F2610">
        <w:rPr>
          <w:lang w:eastAsia="fr-FR"/>
        </w:rPr>
        <w:t>édition 2018 du Règlement de transport des matières radioactives de l</w:t>
      </w:r>
      <w:r w:rsidR="00616FE4">
        <w:rPr>
          <w:lang w:eastAsia="fr-FR"/>
        </w:rPr>
        <w:t>’</w:t>
      </w:r>
      <w:r w:rsidRPr="003F2610">
        <w:rPr>
          <w:lang w:eastAsia="fr-FR"/>
        </w:rPr>
        <w:t>AIEA</w:t>
      </w:r>
      <w:r>
        <w:rPr>
          <w:lang w:eastAsia="fr-FR"/>
        </w:rPr>
        <w:t xml:space="preserve"> et comporte une liste actualisée des marchandises dangereuses et des concentrations létales pour les gaz toxiques, ainsi que des méthodes </w:t>
      </w:r>
      <w:r w:rsidRPr="00DB063B">
        <w:t>d</w:t>
      </w:r>
      <w:r w:rsidR="00616FE4">
        <w:rPr>
          <w:lang w:eastAsia="fr-FR"/>
        </w:rPr>
        <w:t>’</w:t>
      </w:r>
      <w:r w:rsidRPr="00DB063B">
        <w:rPr>
          <w:lang w:eastAsia="fr-FR"/>
        </w:rPr>
        <w:t>essai</w:t>
      </w:r>
      <w:r>
        <w:rPr>
          <w:lang w:eastAsia="fr-FR"/>
        </w:rPr>
        <w:t xml:space="preserve"> in </w:t>
      </w:r>
      <w:r w:rsidRPr="00DB063B">
        <w:rPr>
          <w:lang w:eastAsia="fr-FR"/>
        </w:rPr>
        <w:t>vitro de résistance à la corrosion</w:t>
      </w:r>
      <w:r>
        <w:rPr>
          <w:lang w:eastAsia="fr-FR"/>
        </w:rPr>
        <w:t xml:space="preserve"> cutanée pour la classification</w:t>
      </w:r>
      <w:r w:rsidR="00ED0EFC">
        <w:rPr>
          <w:lang w:eastAsia="fr-FR"/>
        </w:rPr>
        <w:t> ;</w:t>
      </w:r>
    </w:p>
    <w:p w14:paraId="4AD6762F" w14:textId="77777777" w:rsidR="001E6D3C" w:rsidRDefault="001E6D3C" w:rsidP="00615B2B">
      <w:pPr>
        <w:pStyle w:val="Bullet1G"/>
        <w:rPr>
          <w:lang w:eastAsia="fr-FR"/>
        </w:rPr>
      </w:pPr>
      <w:r w:rsidRPr="00DB063B">
        <w:rPr>
          <w:lang w:eastAsia="fr-FR"/>
        </w:rPr>
        <w:t xml:space="preserve">Septième </w:t>
      </w:r>
      <w:r>
        <w:rPr>
          <w:lang w:eastAsia="fr-FR"/>
        </w:rPr>
        <w:t>é</w:t>
      </w:r>
      <w:r w:rsidRPr="00DB063B">
        <w:rPr>
          <w:lang w:eastAsia="fr-FR"/>
        </w:rPr>
        <w:t>dition révisée</w:t>
      </w:r>
      <w:r>
        <w:rPr>
          <w:lang w:eastAsia="fr-FR"/>
        </w:rPr>
        <w:t xml:space="preserve"> du </w:t>
      </w:r>
      <w:r w:rsidR="00ED0EFC">
        <w:rPr>
          <w:lang w:eastAsia="fr-FR"/>
        </w:rPr>
        <w:t>« </w:t>
      </w:r>
      <w:r w:rsidRPr="00DB063B">
        <w:rPr>
          <w:lang w:eastAsia="fr-FR"/>
        </w:rPr>
        <w:t>Manuel d</w:t>
      </w:r>
      <w:r w:rsidR="00616FE4">
        <w:rPr>
          <w:lang w:eastAsia="fr-FR"/>
        </w:rPr>
        <w:t>’</w:t>
      </w:r>
      <w:r w:rsidRPr="00DB063B">
        <w:rPr>
          <w:lang w:eastAsia="fr-FR"/>
        </w:rPr>
        <w:t>épreuves et de critères</w:t>
      </w:r>
      <w:r w:rsidR="00ED0EFC">
        <w:rPr>
          <w:lang w:eastAsia="fr-FR"/>
        </w:rPr>
        <w:t> »</w:t>
      </w:r>
      <w:r>
        <w:rPr>
          <w:lang w:eastAsia="fr-FR"/>
        </w:rPr>
        <w:t xml:space="preserve">. Le </w:t>
      </w:r>
      <w:r w:rsidR="00ED0EFC">
        <w:rPr>
          <w:lang w:eastAsia="fr-FR"/>
        </w:rPr>
        <w:t>M</w:t>
      </w:r>
      <w:r>
        <w:rPr>
          <w:lang w:eastAsia="fr-FR"/>
        </w:rPr>
        <w:t>anuel complète les réglementations nationales ou internationales inspirées du Règlement type ou du SGH et propose aux autorités compétentes et aux laboratoires d</w:t>
      </w:r>
      <w:r w:rsidR="00616FE4">
        <w:rPr>
          <w:lang w:eastAsia="fr-FR"/>
        </w:rPr>
        <w:t>’</w:t>
      </w:r>
      <w:r>
        <w:rPr>
          <w:lang w:eastAsia="fr-FR"/>
        </w:rPr>
        <w:t>essais du monde entier des méthodes et procédures à utiliser pour la classification des produits chimiques conformément au Règlement type et au SGH.</w:t>
      </w:r>
      <w:r w:rsidRPr="00040303">
        <w:rPr>
          <w:lang w:eastAsia="fr-FR"/>
        </w:rPr>
        <w:t xml:space="preserve"> </w:t>
      </w:r>
      <w:r>
        <w:rPr>
          <w:lang w:eastAsia="fr-FR"/>
        </w:rPr>
        <w:t>La s</w:t>
      </w:r>
      <w:r w:rsidRPr="00040303">
        <w:rPr>
          <w:lang w:eastAsia="fr-FR"/>
        </w:rPr>
        <w:t xml:space="preserve">eptième </w:t>
      </w:r>
      <w:r>
        <w:rPr>
          <w:lang w:eastAsia="fr-FR"/>
        </w:rPr>
        <w:t>é</w:t>
      </w:r>
      <w:r w:rsidRPr="00040303">
        <w:rPr>
          <w:lang w:eastAsia="fr-FR"/>
        </w:rPr>
        <w:t>dition révisée du Manuel</w:t>
      </w:r>
      <w:r>
        <w:rPr>
          <w:lang w:eastAsia="fr-FR"/>
        </w:rPr>
        <w:t xml:space="preserve"> tient compte d</w:t>
      </w:r>
      <w:r w:rsidR="00616FE4">
        <w:rPr>
          <w:lang w:eastAsia="fr-FR"/>
        </w:rPr>
        <w:t>’</w:t>
      </w:r>
      <w:r>
        <w:rPr>
          <w:lang w:eastAsia="fr-FR"/>
        </w:rPr>
        <w:t xml:space="preserve">un </w:t>
      </w:r>
      <w:r w:rsidRPr="00040303">
        <w:rPr>
          <w:lang w:eastAsia="fr-FR"/>
        </w:rPr>
        <w:t>réexamen complet du texte</w:t>
      </w:r>
      <w:r>
        <w:rPr>
          <w:lang w:eastAsia="fr-FR"/>
        </w:rPr>
        <w:t xml:space="preserve"> destiné à faciliter son utilisation dans le contexte du SGH</w:t>
      </w:r>
      <w:r w:rsidR="00ED0EFC">
        <w:rPr>
          <w:lang w:eastAsia="fr-FR"/>
        </w:rPr>
        <w:t> ;</w:t>
      </w:r>
      <w:r>
        <w:rPr>
          <w:lang w:eastAsia="fr-FR"/>
        </w:rPr>
        <w:t xml:space="preserve">  </w:t>
      </w:r>
    </w:p>
    <w:p w14:paraId="2080BA86" w14:textId="77777777" w:rsidR="001E6D3C" w:rsidRPr="00C70B86" w:rsidRDefault="001E6D3C" w:rsidP="00615B2B">
      <w:pPr>
        <w:pStyle w:val="Bullet1G"/>
        <w:rPr>
          <w:lang w:eastAsia="fr-FR"/>
        </w:rPr>
      </w:pPr>
      <w:r w:rsidRPr="00C70B86">
        <w:rPr>
          <w:lang w:eastAsia="fr-FR"/>
        </w:rPr>
        <w:t>La huitième édition révisée du SGH. Elle comporte de nouveaux critères de classification et éléments de communication des dangers ainsi que des orientations concernant les produits chimiques sous pression, de nouvelles dispositions relatives à l</w:t>
      </w:r>
      <w:r w:rsidR="00616FE4">
        <w:rPr>
          <w:lang w:eastAsia="fr-FR"/>
        </w:rPr>
        <w:t>’</w:t>
      </w:r>
      <w:r w:rsidRPr="00C70B86">
        <w:rPr>
          <w:lang w:eastAsia="fr-FR"/>
        </w:rPr>
        <w:t xml:space="preserve">utilisation de données </w:t>
      </w:r>
      <w:r w:rsidRPr="00C70B86">
        <w:rPr>
          <w:i/>
          <w:iCs/>
          <w:lang w:eastAsia="fr-FR"/>
        </w:rPr>
        <w:t>in vitro/ex vivo</w:t>
      </w:r>
      <w:r w:rsidRPr="00C70B86">
        <w:rPr>
          <w:lang w:eastAsia="fr-FR"/>
        </w:rPr>
        <w:t xml:space="preserve"> et des méthodes non fondées sur des essais pour évaluer la corrosion cutanée et l</w:t>
      </w:r>
      <w:r w:rsidR="00616FE4">
        <w:rPr>
          <w:lang w:eastAsia="fr-FR"/>
        </w:rPr>
        <w:t>’</w:t>
      </w:r>
      <w:r w:rsidRPr="00C70B86">
        <w:rPr>
          <w:lang w:eastAsia="fr-FR"/>
        </w:rPr>
        <w:t>irritation cutanée</w:t>
      </w:r>
      <w:r w:rsidR="00ED0EFC">
        <w:rPr>
          <w:lang w:eastAsia="fr-FR"/>
        </w:rPr>
        <w:t> </w:t>
      </w:r>
      <w:r w:rsidRPr="00C70B86">
        <w:rPr>
          <w:lang w:eastAsia="fr-FR"/>
        </w:rPr>
        <w:t>; des modifications diverses destinées à clarifier les critères de classification dans le cas des effets spécifiques non létaux de produits chimiques dangereux sur des organes donnés (toxicité pour certains organes cibles)</w:t>
      </w:r>
      <w:r w:rsidR="00ED0EFC">
        <w:rPr>
          <w:lang w:eastAsia="fr-FR"/>
        </w:rPr>
        <w:t> </w:t>
      </w:r>
      <w:r w:rsidRPr="00C70B86">
        <w:rPr>
          <w:lang w:eastAsia="fr-FR"/>
        </w:rPr>
        <w:t xml:space="preserve">; de nouveaux exemples de pictogrammes de mise en garde pour transmettre le message </w:t>
      </w:r>
      <w:r w:rsidR="00ED0EFC">
        <w:rPr>
          <w:lang w:eastAsia="fr-FR"/>
        </w:rPr>
        <w:t>« </w:t>
      </w:r>
      <w:r w:rsidRPr="00C70B86">
        <w:rPr>
          <w:lang w:eastAsia="fr-FR"/>
        </w:rPr>
        <w:t>Tenir hors de portée des enfants</w:t>
      </w:r>
      <w:r w:rsidR="00ED0EFC">
        <w:rPr>
          <w:lang w:eastAsia="fr-FR"/>
        </w:rPr>
        <w:t> » </w:t>
      </w:r>
      <w:r w:rsidRPr="00C70B86">
        <w:rPr>
          <w:lang w:eastAsia="fr-FR"/>
        </w:rPr>
        <w:t>; de nouveaux exemples pour faciliter l</w:t>
      </w:r>
      <w:r w:rsidR="00616FE4">
        <w:rPr>
          <w:lang w:eastAsia="fr-FR"/>
        </w:rPr>
        <w:t>’</w:t>
      </w:r>
      <w:r w:rsidRPr="00C70B86">
        <w:rPr>
          <w:lang w:eastAsia="fr-FR"/>
        </w:rPr>
        <w:t>étiquetage des trousses ou kits de produits chimiques</w:t>
      </w:r>
      <w:r w:rsidR="00ED0EFC">
        <w:rPr>
          <w:lang w:eastAsia="fr-FR"/>
        </w:rPr>
        <w:t> </w:t>
      </w:r>
      <w:r w:rsidRPr="00C70B86">
        <w:rPr>
          <w:lang w:eastAsia="fr-FR"/>
        </w:rPr>
        <w:t>; des orientations en matière d</w:t>
      </w:r>
      <w:r w:rsidR="00616FE4">
        <w:rPr>
          <w:lang w:eastAsia="fr-FR"/>
        </w:rPr>
        <w:t>’</w:t>
      </w:r>
      <w:r w:rsidRPr="00C70B86">
        <w:rPr>
          <w:lang w:eastAsia="fr-FR"/>
        </w:rPr>
        <w:t>identification, de prévention et d</w:t>
      </w:r>
      <w:r w:rsidR="00616FE4">
        <w:rPr>
          <w:lang w:eastAsia="fr-FR"/>
        </w:rPr>
        <w:t>’</w:t>
      </w:r>
      <w:r w:rsidRPr="00C70B86">
        <w:rPr>
          <w:lang w:eastAsia="fr-FR"/>
        </w:rPr>
        <w:t xml:space="preserve">atténuation des </w:t>
      </w:r>
      <w:r>
        <w:rPr>
          <w:lang w:eastAsia="fr-FR"/>
        </w:rPr>
        <w:t>risques d</w:t>
      </w:r>
      <w:r w:rsidR="00616FE4">
        <w:rPr>
          <w:lang w:eastAsia="fr-FR"/>
        </w:rPr>
        <w:t>’</w:t>
      </w:r>
      <w:r>
        <w:rPr>
          <w:lang w:eastAsia="fr-FR"/>
        </w:rPr>
        <w:t xml:space="preserve">explosion de poussières sur les lieux de travail. </w:t>
      </w:r>
    </w:p>
    <w:p w14:paraId="05806B2B" w14:textId="77777777" w:rsidR="001E6D3C" w:rsidRPr="00ED0EFC" w:rsidRDefault="001E6D3C" w:rsidP="00615B2B">
      <w:pPr>
        <w:pStyle w:val="SingleTxtG"/>
        <w:rPr>
          <w:rFonts w:asciiTheme="majorBidi" w:hAnsiTheme="majorBidi" w:cstheme="majorBidi"/>
          <w:lang w:eastAsia="fr-FR"/>
        </w:rPr>
      </w:pPr>
      <w:r w:rsidRPr="00ED0EFC">
        <w:rPr>
          <w:rFonts w:asciiTheme="majorBidi" w:hAnsiTheme="majorBidi" w:cstheme="majorBidi"/>
          <w:lang w:eastAsia="fr-FR"/>
        </w:rPr>
        <w:t>58.</w:t>
      </w:r>
      <w:r w:rsidRPr="00ED0EFC">
        <w:rPr>
          <w:rFonts w:asciiTheme="majorBidi" w:hAnsiTheme="majorBidi" w:cstheme="majorBidi"/>
          <w:lang w:eastAsia="fr-FR"/>
        </w:rPr>
        <w:tab/>
        <w:t>En 2019, l</w:t>
      </w:r>
      <w:r w:rsidR="00616FE4" w:rsidRPr="00ED0EFC">
        <w:rPr>
          <w:rFonts w:asciiTheme="majorBidi" w:hAnsiTheme="majorBidi" w:cstheme="majorBidi"/>
          <w:lang w:eastAsia="fr-FR"/>
        </w:rPr>
        <w:t>’</w:t>
      </w:r>
      <w:r w:rsidRPr="00ED0EFC">
        <w:rPr>
          <w:rFonts w:asciiTheme="majorBidi" w:hAnsiTheme="majorBidi" w:cstheme="majorBidi"/>
          <w:lang w:eastAsia="fr-FR"/>
        </w:rPr>
        <w:t>Organisation de l</w:t>
      </w:r>
      <w:r w:rsidR="00616FE4" w:rsidRPr="00ED0EFC">
        <w:rPr>
          <w:rFonts w:asciiTheme="majorBidi" w:hAnsiTheme="majorBidi" w:cstheme="majorBidi"/>
          <w:lang w:eastAsia="fr-FR"/>
        </w:rPr>
        <w:t>’</w:t>
      </w:r>
      <w:r w:rsidRPr="00ED0EFC">
        <w:rPr>
          <w:rFonts w:asciiTheme="majorBidi" w:hAnsiTheme="majorBidi" w:cstheme="majorBidi"/>
          <w:lang w:eastAsia="fr-FR"/>
        </w:rPr>
        <w:t>aviation civile internationale (OACI) et</w:t>
      </w:r>
      <w:r w:rsidRPr="00ED0EFC">
        <w:rPr>
          <w:rFonts w:asciiTheme="majorBidi" w:hAnsiTheme="majorBidi" w:cstheme="majorBidi"/>
        </w:rPr>
        <w:t xml:space="preserve"> </w:t>
      </w:r>
      <w:r w:rsidRPr="00ED0EFC">
        <w:rPr>
          <w:rFonts w:asciiTheme="majorBidi" w:hAnsiTheme="majorBidi" w:cstheme="majorBidi"/>
          <w:lang w:eastAsia="fr-FR"/>
        </w:rPr>
        <w:t>l</w:t>
      </w:r>
      <w:r w:rsidR="00616FE4" w:rsidRPr="00ED0EFC">
        <w:rPr>
          <w:rFonts w:asciiTheme="majorBidi" w:hAnsiTheme="majorBidi" w:cstheme="majorBidi"/>
          <w:lang w:eastAsia="fr-FR"/>
        </w:rPr>
        <w:t>’</w:t>
      </w:r>
      <w:r w:rsidRPr="00ED0EFC">
        <w:rPr>
          <w:rFonts w:asciiTheme="majorBidi" w:hAnsiTheme="majorBidi" w:cstheme="majorBidi"/>
          <w:lang w:eastAsia="fr-FR"/>
        </w:rPr>
        <w:t xml:space="preserve">Organisation </w:t>
      </w:r>
      <w:r w:rsidR="00ED0EFC" w:rsidRPr="00ED0EFC">
        <w:rPr>
          <w:rFonts w:asciiTheme="majorBidi" w:hAnsiTheme="majorBidi" w:cstheme="majorBidi"/>
          <w:lang w:eastAsia="fr-FR"/>
        </w:rPr>
        <w:t>m</w:t>
      </w:r>
      <w:r w:rsidRPr="00ED0EFC">
        <w:rPr>
          <w:rFonts w:asciiTheme="majorBidi" w:hAnsiTheme="majorBidi" w:cstheme="majorBidi"/>
          <w:lang w:eastAsia="fr-FR"/>
        </w:rPr>
        <w:t xml:space="preserve">aritime </w:t>
      </w:r>
      <w:r w:rsidR="00ED0EFC" w:rsidRPr="00ED0EFC">
        <w:rPr>
          <w:rFonts w:asciiTheme="majorBidi" w:hAnsiTheme="majorBidi" w:cstheme="majorBidi"/>
          <w:lang w:eastAsia="fr-FR"/>
        </w:rPr>
        <w:t>i</w:t>
      </w:r>
      <w:r w:rsidRPr="00ED0EFC">
        <w:rPr>
          <w:rFonts w:asciiTheme="majorBidi" w:hAnsiTheme="majorBidi" w:cstheme="majorBidi"/>
          <w:lang w:eastAsia="fr-FR"/>
        </w:rPr>
        <w:t>nternationale (OMI) se sont lancé</w:t>
      </w:r>
      <w:r w:rsidR="00ED0EFC" w:rsidRPr="00ED0EFC">
        <w:rPr>
          <w:rFonts w:asciiTheme="majorBidi" w:hAnsiTheme="majorBidi" w:cstheme="majorBidi"/>
          <w:lang w:eastAsia="fr-FR"/>
        </w:rPr>
        <w:t>e</w:t>
      </w:r>
      <w:r w:rsidRPr="00ED0EFC">
        <w:rPr>
          <w:rFonts w:asciiTheme="majorBidi" w:hAnsiTheme="majorBidi" w:cstheme="majorBidi"/>
          <w:lang w:eastAsia="fr-FR"/>
        </w:rPr>
        <w:t>s dans la révision des Instructions techniques de l</w:t>
      </w:r>
      <w:r w:rsidR="00616FE4" w:rsidRPr="00ED0EFC">
        <w:rPr>
          <w:rFonts w:asciiTheme="majorBidi" w:hAnsiTheme="majorBidi" w:cstheme="majorBidi"/>
          <w:lang w:eastAsia="fr-FR"/>
        </w:rPr>
        <w:t>’</w:t>
      </w:r>
      <w:r w:rsidRPr="00ED0EFC">
        <w:rPr>
          <w:rFonts w:asciiTheme="majorBidi" w:hAnsiTheme="majorBidi" w:cstheme="majorBidi"/>
          <w:lang w:eastAsia="fr-FR"/>
        </w:rPr>
        <w:t>OACI</w:t>
      </w:r>
      <w:r w:rsidRPr="00ED0EFC">
        <w:rPr>
          <w:rFonts w:asciiTheme="majorBidi" w:hAnsiTheme="majorBidi" w:cstheme="majorBidi"/>
        </w:rPr>
        <w:t xml:space="preserve"> et du </w:t>
      </w:r>
      <w:r w:rsidRPr="00ED0EFC">
        <w:rPr>
          <w:rFonts w:asciiTheme="majorBidi" w:hAnsiTheme="majorBidi" w:cstheme="majorBidi"/>
          <w:lang w:eastAsia="fr-FR"/>
        </w:rPr>
        <w:t>Code maritime international des marchandises dangereuses pour permettre la mise en œuvre du Règlement type dans le transport aérien et maritime dès 2020. Ce travail assurera l</w:t>
      </w:r>
      <w:r w:rsidR="00616FE4" w:rsidRPr="00ED0EFC">
        <w:rPr>
          <w:rFonts w:asciiTheme="majorBidi" w:hAnsiTheme="majorBidi" w:cstheme="majorBidi"/>
          <w:lang w:eastAsia="fr-FR"/>
        </w:rPr>
        <w:t>’</w:t>
      </w:r>
      <w:r w:rsidRPr="00ED0EFC">
        <w:rPr>
          <w:rFonts w:asciiTheme="majorBidi" w:hAnsiTheme="majorBidi" w:cstheme="majorBidi"/>
          <w:lang w:eastAsia="fr-FR"/>
        </w:rPr>
        <w:t>harmonisation et la mise en œuvre sur le plan mondial des dispositions adoptées par le Sous-</w:t>
      </w:r>
      <w:r w:rsidR="00055251" w:rsidRPr="00ED0EFC">
        <w:rPr>
          <w:rFonts w:asciiTheme="majorBidi" w:hAnsiTheme="majorBidi" w:cstheme="majorBidi"/>
          <w:lang w:eastAsia="fr-FR"/>
        </w:rPr>
        <w:t>C</w:t>
      </w:r>
      <w:r w:rsidRPr="00ED0EFC">
        <w:rPr>
          <w:rFonts w:asciiTheme="majorBidi" w:hAnsiTheme="majorBidi" w:cstheme="majorBidi"/>
          <w:lang w:eastAsia="fr-FR"/>
        </w:rPr>
        <w:t>omité TMD les rendant obligatoires pour tous les États parties à la Convention de Chicago sur le transport aérien (193) et à la Convention SOLAS sur le transport maritime (165).</w:t>
      </w:r>
    </w:p>
    <w:p w14:paraId="2A9C04D9" w14:textId="77777777" w:rsidR="001E6D3C" w:rsidRPr="00222589" w:rsidRDefault="001E6D3C" w:rsidP="00615B2B">
      <w:pPr>
        <w:pStyle w:val="SingleTxtG"/>
        <w:rPr>
          <w:lang w:eastAsia="fr-FR"/>
        </w:rPr>
      </w:pPr>
      <w:r w:rsidRPr="00C70B86">
        <w:rPr>
          <w:lang w:eastAsia="fr-FR"/>
        </w:rPr>
        <w:t>59.</w:t>
      </w:r>
      <w:r w:rsidRPr="00C70B86">
        <w:rPr>
          <w:lang w:eastAsia="fr-FR"/>
        </w:rPr>
        <w:tab/>
        <w:t xml:space="preserve">La mise en œuvre du SGH </w:t>
      </w:r>
      <w:r>
        <w:rPr>
          <w:lang w:eastAsia="fr-FR"/>
        </w:rPr>
        <w:t>est considérée comme l</w:t>
      </w:r>
      <w:r w:rsidR="00616FE4">
        <w:rPr>
          <w:lang w:eastAsia="fr-FR"/>
        </w:rPr>
        <w:t>’</w:t>
      </w:r>
      <w:r>
        <w:rPr>
          <w:lang w:eastAsia="fr-FR"/>
        </w:rPr>
        <w:t>un des premiers pas sur la voie d</w:t>
      </w:r>
      <w:r w:rsidR="00616FE4">
        <w:rPr>
          <w:lang w:eastAsia="fr-FR"/>
        </w:rPr>
        <w:t>’</w:t>
      </w:r>
      <w:r>
        <w:rPr>
          <w:lang w:eastAsia="fr-FR"/>
        </w:rPr>
        <w:t>une saine gestion des produits chimiques. Ainsi, par exemple, dans le cadre de son objectif général qui est de promouvoir des politiques assurant la croissance économique et des emplois durables, l</w:t>
      </w:r>
      <w:r w:rsidR="00616FE4">
        <w:rPr>
          <w:lang w:eastAsia="fr-FR"/>
        </w:rPr>
        <w:t>’</w:t>
      </w:r>
      <w:r>
        <w:rPr>
          <w:lang w:eastAsia="fr-FR"/>
        </w:rPr>
        <w:t>OCDE fait de la mise en œuvre du SGH l</w:t>
      </w:r>
      <w:r w:rsidR="00616FE4">
        <w:rPr>
          <w:lang w:eastAsia="fr-FR"/>
        </w:rPr>
        <w:t>’</w:t>
      </w:r>
      <w:r>
        <w:rPr>
          <w:lang w:eastAsia="fr-FR"/>
        </w:rPr>
        <w:t>une des conditions à remplir pas les pays qui souhaitent adhérer à l</w:t>
      </w:r>
      <w:r w:rsidR="00616FE4">
        <w:rPr>
          <w:lang w:eastAsia="fr-FR"/>
        </w:rPr>
        <w:t>’</w:t>
      </w:r>
      <w:r>
        <w:rPr>
          <w:lang w:eastAsia="fr-FR"/>
        </w:rPr>
        <w:t>Organisation.</w:t>
      </w:r>
      <w:r w:rsidRPr="00222589">
        <w:rPr>
          <w:lang w:eastAsia="fr-FR"/>
        </w:rPr>
        <w:t xml:space="preserve"> </w:t>
      </w:r>
    </w:p>
    <w:p w14:paraId="3E72C376" w14:textId="77777777" w:rsidR="001E6D3C" w:rsidRPr="004643A6" w:rsidRDefault="001E6D3C" w:rsidP="00615B2B">
      <w:pPr>
        <w:pStyle w:val="SingleTxtG"/>
        <w:rPr>
          <w:lang w:eastAsia="fr-FR"/>
        </w:rPr>
      </w:pPr>
      <w:r w:rsidRPr="00307487">
        <w:rPr>
          <w:lang w:eastAsia="fr-FR"/>
        </w:rPr>
        <w:lastRenderedPageBreak/>
        <w:t>60.</w:t>
      </w:r>
      <w:r w:rsidRPr="00307487">
        <w:rPr>
          <w:lang w:eastAsia="fr-FR"/>
        </w:rPr>
        <w:tab/>
        <w:t>En 2019, la Nouvelle-Zélande, les États-Unis d</w:t>
      </w:r>
      <w:r w:rsidR="00616FE4">
        <w:rPr>
          <w:lang w:eastAsia="fr-FR"/>
        </w:rPr>
        <w:t>’</w:t>
      </w:r>
      <w:r w:rsidRPr="00307487">
        <w:rPr>
          <w:lang w:eastAsia="fr-FR"/>
        </w:rPr>
        <w:t>Amérique</w:t>
      </w:r>
      <w:r>
        <w:rPr>
          <w:lang w:eastAsia="fr-FR"/>
        </w:rPr>
        <w:t>,</w:t>
      </w:r>
      <w:r w:rsidRPr="00307487">
        <w:rPr>
          <w:lang w:eastAsia="fr-FR"/>
        </w:rPr>
        <w:t xml:space="preserve"> l</w:t>
      </w:r>
      <w:r w:rsidR="00616FE4">
        <w:rPr>
          <w:lang w:eastAsia="fr-FR"/>
        </w:rPr>
        <w:t>’</w:t>
      </w:r>
      <w:r w:rsidRPr="00307487">
        <w:rPr>
          <w:lang w:eastAsia="fr-FR"/>
        </w:rPr>
        <w:t>Australie</w:t>
      </w:r>
      <w:r>
        <w:rPr>
          <w:lang w:eastAsia="fr-FR"/>
        </w:rPr>
        <w:t>, Israël, le Canada, l</w:t>
      </w:r>
      <w:r w:rsidR="00616FE4">
        <w:rPr>
          <w:lang w:eastAsia="fr-FR"/>
        </w:rPr>
        <w:t>’</w:t>
      </w:r>
      <w:r>
        <w:rPr>
          <w:lang w:eastAsia="fr-FR"/>
        </w:rPr>
        <w:t>Union européenne et les pays membres de la Communauté andine ont pris des mesures pour actualiser la législation de la Communauté conformément au SGH. Depuis son adoption par l</w:t>
      </w:r>
      <w:r w:rsidR="00616FE4">
        <w:rPr>
          <w:lang w:eastAsia="fr-FR"/>
        </w:rPr>
        <w:t>’</w:t>
      </w:r>
      <w:r>
        <w:rPr>
          <w:lang w:eastAsia="fr-FR"/>
        </w:rPr>
        <w:t>ONU en 2002, plus de 70 pays du monde ont déjà mis en œuvre ses dispositions ou pris des mesures en vue de le faire.</w:t>
      </w:r>
      <w:r w:rsidRPr="004643A6">
        <w:rPr>
          <w:lang w:eastAsia="fr-FR"/>
        </w:rPr>
        <w:t xml:space="preserve"> </w:t>
      </w:r>
    </w:p>
    <w:p w14:paraId="53C15C69" w14:textId="77777777" w:rsidR="001E6D3C" w:rsidRPr="003D223D" w:rsidRDefault="001E6D3C" w:rsidP="00615B2B">
      <w:pPr>
        <w:pStyle w:val="H23G"/>
        <w:rPr>
          <w:lang w:eastAsia="fr-FR"/>
        </w:rPr>
      </w:pPr>
      <w:r w:rsidRPr="004643A6">
        <w:rPr>
          <w:lang w:eastAsia="fr-FR"/>
        </w:rPr>
        <w:tab/>
      </w:r>
      <w:r w:rsidRPr="003D223D">
        <w:rPr>
          <w:lang w:eastAsia="fr-FR"/>
        </w:rPr>
        <w:t>2.</w:t>
      </w:r>
      <w:r w:rsidRPr="003D223D">
        <w:rPr>
          <w:lang w:eastAsia="fr-FR"/>
        </w:rPr>
        <w:tab/>
        <w:t xml:space="preserve">Travaux des organes de la CEE concernés par le transport de marchandises dangereuses par route, rail </w:t>
      </w:r>
      <w:r>
        <w:rPr>
          <w:lang w:eastAsia="fr-FR"/>
        </w:rPr>
        <w:t xml:space="preserve">ou </w:t>
      </w:r>
      <w:r w:rsidRPr="003D223D">
        <w:rPr>
          <w:lang w:eastAsia="fr-FR"/>
        </w:rPr>
        <w:t xml:space="preserve">voie navigable </w:t>
      </w:r>
    </w:p>
    <w:p w14:paraId="3C02FA1E" w14:textId="77777777" w:rsidR="001E6D3C" w:rsidRPr="00040303" w:rsidRDefault="001E6D3C" w:rsidP="00615B2B">
      <w:pPr>
        <w:pStyle w:val="SingleTxtG"/>
        <w:rPr>
          <w:lang w:eastAsia="fr-FR"/>
        </w:rPr>
      </w:pPr>
      <w:r w:rsidRPr="00040303">
        <w:rPr>
          <w:lang w:eastAsia="fr-FR"/>
        </w:rPr>
        <w:t>61.</w:t>
      </w:r>
      <w:r w:rsidRPr="00040303">
        <w:rPr>
          <w:lang w:eastAsia="fr-FR"/>
        </w:rPr>
        <w:tab/>
        <w:t xml:space="preserve">La Division des transports durables assure le secrétariat </w:t>
      </w:r>
      <w:r>
        <w:rPr>
          <w:lang w:eastAsia="fr-FR"/>
        </w:rPr>
        <w:t>des organismes intergouvernementaux de la CEE suivants</w:t>
      </w:r>
      <w:r w:rsidR="00055251">
        <w:rPr>
          <w:lang w:eastAsia="fr-FR"/>
        </w:rPr>
        <w:t> </w:t>
      </w:r>
      <w:r w:rsidRPr="00040303">
        <w:rPr>
          <w:lang w:eastAsia="fr-FR"/>
        </w:rPr>
        <w:t xml:space="preserve">: </w:t>
      </w:r>
    </w:p>
    <w:p w14:paraId="59421FCC" w14:textId="77777777" w:rsidR="001E6D3C" w:rsidRPr="00F81F08" w:rsidRDefault="001E6D3C" w:rsidP="00615B2B">
      <w:pPr>
        <w:pStyle w:val="Bullet1G"/>
        <w:rPr>
          <w:lang w:eastAsia="fr-FR"/>
        </w:rPr>
      </w:pPr>
      <w:r w:rsidRPr="00F81F08">
        <w:rPr>
          <w:lang w:eastAsia="fr-FR"/>
        </w:rPr>
        <w:t>Groupe de travail des transports de marchandises dangereuses (WP.15)</w:t>
      </w:r>
      <w:r w:rsidR="00055251">
        <w:rPr>
          <w:lang w:eastAsia="fr-FR"/>
        </w:rPr>
        <w:t> ;</w:t>
      </w:r>
    </w:p>
    <w:p w14:paraId="58CAB936" w14:textId="77777777" w:rsidR="001E6D3C" w:rsidRPr="00F81F08" w:rsidRDefault="001E6D3C" w:rsidP="00615B2B">
      <w:pPr>
        <w:pStyle w:val="Bullet1G"/>
        <w:rPr>
          <w:lang w:eastAsia="fr-FR"/>
        </w:rPr>
      </w:pPr>
      <w:r w:rsidRPr="00F81F08">
        <w:rPr>
          <w:lang w:eastAsia="fr-FR"/>
        </w:rPr>
        <w:t>Réunion commune de la Commission d</w:t>
      </w:r>
      <w:r w:rsidR="00616FE4">
        <w:rPr>
          <w:lang w:eastAsia="fr-FR"/>
        </w:rPr>
        <w:t>’</w:t>
      </w:r>
      <w:r w:rsidRPr="00F81F08">
        <w:rPr>
          <w:lang w:eastAsia="fr-FR"/>
        </w:rPr>
        <w:t>experts du RID et du Groupe de travail des transports de marchandises dangereuses (WP.15/AC.1)</w:t>
      </w:r>
      <w:r w:rsidR="00055251">
        <w:rPr>
          <w:lang w:eastAsia="fr-FR"/>
        </w:rPr>
        <w:t> ;</w:t>
      </w:r>
    </w:p>
    <w:p w14:paraId="7430403B" w14:textId="77777777" w:rsidR="001E6D3C" w:rsidRPr="00F81F08" w:rsidRDefault="001E6D3C" w:rsidP="00615B2B">
      <w:pPr>
        <w:pStyle w:val="Bullet1G"/>
        <w:rPr>
          <w:lang w:eastAsia="fr-FR"/>
        </w:rPr>
      </w:pPr>
      <w:r w:rsidRPr="00F81F08">
        <w:rPr>
          <w:lang w:eastAsia="fr-FR"/>
        </w:rPr>
        <w:t>Réunion commune d</w:t>
      </w:r>
      <w:r w:rsidR="00616FE4">
        <w:rPr>
          <w:lang w:eastAsia="fr-FR"/>
        </w:rPr>
        <w:t>’</w:t>
      </w:r>
      <w:r w:rsidRPr="00F81F08">
        <w:rPr>
          <w:lang w:eastAsia="fr-FR"/>
        </w:rPr>
        <w:t>experts sur le Règlement annexé à l</w:t>
      </w:r>
      <w:r w:rsidR="00616FE4">
        <w:rPr>
          <w:lang w:eastAsia="fr-FR"/>
        </w:rPr>
        <w:t>’</w:t>
      </w:r>
      <w:r w:rsidRPr="00F81F08">
        <w:rPr>
          <w:lang w:eastAsia="fr-FR"/>
        </w:rPr>
        <w:t>Accord européen relatif au transport international des marchandises dangereuses par voies de navigation intérieures (ADN) (Comité de sécurité de l</w:t>
      </w:r>
      <w:r w:rsidR="00616FE4">
        <w:rPr>
          <w:lang w:eastAsia="fr-FR"/>
        </w:rPr>
        <w:t>’</w:t>
      </w:r>
      <w:r w:rsidRPr="00F81F08">
        <w:rPr>
          <w:lang w:eastAsia="fr-FR"/>
        </w:rPr>
        <w:t xml:space="preserve">ADN) (WP.15/AC.2) </w:t>
      </w:r>
      <w:r>
        <w:rPr>
          <w:lang w:eastAsia="fr-FR"/>
        </w:rPr>
        <w:t xml:space="preserve">et </w:t>
      </w:r>
      <w:r w:rsidRPr="00F81F08">
        <w:rPr>
          <w:lang w:eastAsia="fr-FR"/>
        </w:rPr>
        <w:t>Comité d</w:t>
      </w:r>
      <w:r w:rsidR="00616FE4">
        <w:rPr>
          <w:lang w:eastAsia="fr-FR"/>
        </w:rPr>
        <w:t>’</w:t>
      </w:r>
      <w:r w:rsidRPr="00F81F08">
        <w:rPr>
          <w:lang w:eastAsia="fr-FR"/>
        </w:rPr>
        <w:t>administration de l</w:t>
      </w:r>
      <w:r w:rsidR="00616FE4">
        <w:rPr>
          <w:lang w:eastAsia="fr-FR"/>
        </w:rPr>
        <w:t>’</w:t>
      </w:r>
      <w:r w:rsidRPr="00F81F08">
        <w:rPr>
          <w:lang w:eastAsia="fr-FR"/>
        </w:rPr>
        <w:t>Accord européen relatif au transport international des marchandises dangereuses par voies de navigation intérieures (Comité d</w:t>
      </w:r>
      <w:r w:rsidR="00616FE4">
        <w:rPr>
          <w:lang w:eastAsia="fr-FR"/>
        </w:rPr>
        <w:t>’</w:t>
      </w:r>
      <w:r w:rsidRPr="00F81F08">
        <w:rPr>
          <w:lang w:eastAsia="fr-FR"/>
        </w:rPr>
        <w:t>administration de l</w:t>
      </w:r>
      <w:r w:rsidR="00616FE4">
        <w:rPr>
          <w:lang w:eastAsia="fr-FR"/>
        </w:rPr>
        <w:t>’</w:t>
      </w:r>
      <w:r w:rsidRPr="00F81F08">
        <w:rPr>
          <w:lang w:eastAsia="fr-FR"/>
        </w:rPr>
        <w:t>ADN)</w:t>
      </w:r>
      <w:r w:rsidR="00055251">
        <w:rPr>
          <w:lang w:eastAsia="fr-FR"/>
        </w:rPr>
        <w:t>.</w:t>
      </w:r>
    </w:p>
    <w:p w14:paraId="7A1CFBAF" w14:textId="77777777" w:rsidR="001E6D3C" w:rsidRPr="001910FE" w:rsidRDefault="001E6D3C" w:rsidP="00615B2B">
      <w:pPr>
        <w:pStyle w:val="SingleTxtG"/>
        <w:rPr>
          <w:lang w:eastAsia="fr-FR"/>
        </w:rPr>
      </w:pPr>
      <w:r w:rsidRPr="001910FE">
        <w:rPr>
          <w:lang w:eastAsia="fr-FR"/>
        </w:rPr>
        <w:t>62.</w:t>
      </w:r>
      <w:r w:rsidRPr="001910FE">
        <w:rPr>
          <w:lang w:eastAsia="fr-FR"/>
        </w:rPr>
        <w:tab/>
        <w:t>Les dispositions de l</w:t>
      </w:r>
      <w:r w:rsidR="00616FE4">
        <w:rPr>
          <w:lang w:eastAsia="fr-FR"/>
        </w:rPr>
        <w:t>’</w:t>
      </w:r>
      <w:r w:rsidRPr="001910FE">
        <w:rPr>
          <w:lang w:eastAsia="fr-FR"/>
        </w:rPr>
        <w:t>édition 2019 de l</w:t>
      </w:r>
      <w:r w:rsidR="00616FE4">
        <w:rPr>
          <w:lang w:eastAsia="fr-FR"/>
        </w:rPr>
        <w:t>’</w:t>
      </w:r>
      <w:r w:rsidRPr="001910FE">
        <w:rPr>
          <w:lang w:eastAsia="fr-FR"/>
        </w:rPr>
        <w:t>ADR, du RID et de l</w:t>
      </w:r>
      <w:r w:rsidR="00616FE4">
        <w:rPr>
          <w:lang w:eastAsia="fr-FR"/>
        </w:rPr>
        <w:t>’</w:t>
      </w:r>
      <w:r w:rsidRPr="001910FE">
        <w:rPr>
          <w:lang w:eastAsia="fr-FR"/>
        </w:rPr>
        <w:t>ADN qui ont été adoptées</w:t>
      </w:r>
      <w:r>
        <w:rPr>
          <w:lang w:eastAsia="fr-FR"/>
        </w:rPr>
        <w:t xml:space="preserve"> par les </w:t>
      </w:r>
      <w:r w:rsidRPr="001910FE">
        <w:rPr>
          <w:lang w:eastAsia="fr-FR"/>
        </w:rPr>
        <w:t>organes intergouvernementaux</w:t>
      </w:r>
      <w:r>
        <w:rPr>
          <w:lang w:eastAsia="fr-FR"/>
        </w:rPr>
        <w:t xml:space="preserve"> respectifs en 2018 sont en harmonie avec celles de la vingtième édition révisée du Règlement type et sont entrées en vigueur </w:t>
      </w:r>
      <w:r w:rsidR="00F335C3">
        <w:rPr>
          <w:lang w:eastAsia="fr-FR"/>
        </w:rPr>
        <w:t xml:space="preserve">le </w:t>
      </w:r>
      <w:r w:rsidRPr="001910FE">
        <w:rPr>
          <w:lang w:eastAsia="fr-FR"/>
        </w:rPr>
        <w:t>1</w:t>
      </w:r>
      <w:r w:rsidRPr="001910FE">
        <w:rPr>
          <w:vertAlign w:val="superscript"/>
          <w:lang w:eastAsia="fr-FR"/>
        </w:rPr>
        <w:t>er</w:t>
      </w:r>
      <w:r w:rsidR="00F335C3">
        <w:rPr>
          <w:lang w:eastAsia="fr-FR"/>
        </w:rPr>
        <w:t> </w:t>
      </w:r>
      <w:r w:rsidRPr="001910FE">
        <w:rPr>
          <w:lang w:eastAsia="fr-FR"/>
        </w:rPr>
        <w:t>janvier 2019.</w:t>
      </w:r>
      <w:r>
        <w:rPr>
          <w:lang w:eastAsia="fr-FR"/>
        </w:rPr>
        <w:t xml:space="preserve"> Elles sont devenues obligatoires pour </w:t>
      </w:r>
      <w:r w:rsidRPr="001910FE">
        <w:rPr>
          <w:lang w:eastAsia="fr-FR"/>
        </w:rPr>
        <w:t>le transport international des marchandises dangereuses par route</w:t>
      </w:r>
      <w:r>
        <w:rPr>
          <w:lang w:eastAsia="fr-FR"/>
        </w:rPr>
        <w:t xml:space="preserve">, </w:t>
      </w:r>
      <w:r w:rsidRPr="001910FE">
        <w:rPr>
          <w:lang w:eastAsia="fr-FR"/>
        </w:rPr>
        <w:t xml:space="preserve">chemin de fer </w:t>
      </w:r>
      <w:r>
        <w:rPr>
          <w:lang w:eastAsia="fr-FR"/>
        </w:rPr>
        <w:t xml:space="preserve">et voie navigable entre les </w:t>
      </w:r>
      <w:r w:rsidR="00F335C3">
        <w:rPr>
          <w:lang w:eastAsia="fr-FR"/>
        </w:rPr>
        <w:t>P</w:t>
      </w:r>
      <w:r>
        <w:rPr>
          <w:lang w:eastAsia="fr-FR"/>
        </w:rPr>
        <w:t>arties contractantes à ces accords</w:t>
      </w:r>
      <w:r w:rsidRPr="001910FE">
        <w:rPr>
          <w:lang w:eastAsia="fr-FR"/>
        </w:rPr>
        <w:t xml:space="preserve"> (51 pour l</w:t>
      </w:r>
      <w:r w:rsidR="00616FE4">
        <w:rPr>
          <w:lang w:eastAsia="fr-FR"/>
        </w:rPr>
        <w:t>’</w:t>
      </w:r>
      <w:r w:rsidRPr="001910FE">
        <w:rPr>
          <w:lang w:eastAsia="fr-FR"/>
        </w:rPr>
        <w:t>ADR, 45 pour le RID et 18 pour l</w:t>
      </w:r>
      <w:r w:rsidR="00616FE4">
        <w:rPr>
          <w:lang w:eastAsia="fr-FR"/>
        </w:rPr>
        <w:t>’</w:t>
      </w:r>
      <w:r w:rsidRPr="001910FE">
        <w:rPr>
          <w:lang w:eastAsia="fr-FR"/>
        </w:rPr>
        <w:t>ADN) ainsi que pour le trafic intérieur</w:t>
      </w:r>
      <w:r>
        <w:rPr>
          <w:lang w:eastAsia="fr-FR"/>
        </w:rPr>
        <w:t xml:space="preserve"> sur le territoire de tous les États membres de l</w:t>
      </w:r>
      <w:r w:rsidR="00616FE4">
        <w:rPr>
          <w:lang w:eastAsia="fr-FR"/>
        </w:rPr>
        <w:t>’</w:t>
      </w:r>
      <w:r>
        <w:rPr>
          <w:lang w:eastAsia="fr-FR"/>
        </w:rPr>
        <w:t>Union européenne</w:t>
      </w:r>
      <w:r w:rsidRPr="001910FE">
        <w:rPr>
          <w:lang w:eastAsia="fr-FR"/>
        </w:rPr>
        <w:t>.</w:t>
      </w:r>
    </w:p>
    <w:p w14:paraId="44F06A46" w14:textId="77777777" w:rsidR="001E6D3C" w:rsidRPr="003F43C9" w:rsidRDefault="001E6D3C" w:rsidP="00615B2B">
      <w:pPr>
        <w:pStyle w:val="SingleTxtG"/>
        <w:rPr>
          <w:lang w:eastAsia="fr-FR"/>
        </w:rPr>
      </w:pPr>
      <w:r w:rsidRPr="003F43C9">
        <w:rPr>
          <w:lang w:eastAsia="fr-FR"/>
        </w:rPr>
        <w:t>63.</w:t>
      </w:r>
      <w:r w:rsidRPr="003F43C9">
        <w:rPr>
          <w:lang w:eastAsia="fr-FR"/>
        </w:rPr>
        <w:tab/>
        <w:t>Les organes intergouvernementaux susmentionnés ont entrepris en 2019 de modifier l</w:t>
      </w:r>
      <w:r w:rsidR="00616FE4">
        <w:rPr>
          <w:lang w:eastAsia="fr-FR"/>
        </w:rPr>
        <w:t>’</w:t>
      </w:r>
      <w:r w:rsidRPr="003F43C9">
        <w:rPr>
          <w:lang w:eastAsia="fr-FR"/>
        </w:rPr>
        <w:t>ADR, le RID et l</w:t>
      </w:r>
      <w:r w:rsidR="00616FE4">
        <w:rPr>
          <w:lang w:eastAsia="fr-FR"/>
        </w:rPr>
        <w:t>’</w:t>
      </w:r>
      <w:r w:rsidRPr="003F43C9">
        <w:rPr>
          <w:lang w:eastAsia="fr-FR"/>
        </w:rPr>
        <w:t>ADN pour tenir compte des recommandations adoptées</w:t>
      </w:r>
      <w:r>
        <w:rPr>
          <w:lang w:eastAsia="fr-FR"/>
        </w:rPr>
        <w:t xml:space="preserve"> par le </w:t>
      </w:r>
      <w:r w:rsidR="00F335C3">
        <w:rPr>
          <w:lang w:eastAsia="fr-FR"/>
        </w:rPr>
        <w:t>C</w:t>
      </w:r>
      <w:r>
        <w:rPr>
          <w:lang w:eastAsia="fr-FR"/>
        </w:rPr>
        <w:t>omité d</w:t>
      </w:r>
      <w:r w:rsidR="00616FE4">
        <w:rPr>
          <w:lang w:eastAsia="fr-FR"/>
        </w:rPr>
        <w:t>’</w:t>
      </w:r>
      <w:r>
        <w:rPr>
          <w:lang w:eastAsia="fr-FR"/>
        </w:rPr>
        <w:t>experts de l</w:t>
      </w:r>
      <w:r w:rsidR="00616FE4">
        <w:rPr>
          <w:lang w:eastAsia="fr-FR"/>
        </w:rPr>
        <w:t>’</w:t>
      </w:r>
      <w:r w:rsidRPr="003F43C9">
        <w:rPr>
          <w:lang w:eastAsia="fr-FR"/>
        </w:rPr>
        <w:t>ECOSOC en décembre 2018 et inclu</w:t>
      </w:r>
      <w:r w:rsidR="00F335C3">
        <w:rPr>
          <w:lang w:eastAsia="fr-FR"/>
        </w:rPr>
        <w:t>s</w:t>
      </w:r>
      <w:r w:rsidRPr="003F43C9">
        <w:rPr>
          <w:lang w:eastAsia="fr-FR"/>
        </w:rPr>
        <w:t xml:space="preserve">es dans la </w:t>
      </w:r>
      <w:r w:rsidR="00F335C3">
        <w:rPr>
          <w:lang w:eastAsia="fr-FR"/>
        </w:rPr>
        <w:t>vingt et unième</w:t>
      </w:r>
      <w:r>
        <w:rPr>
          <w:lang w:eastAsia="fr-FR"/>
        </w:rPr>
        <w:t xml:space="preserve"> </w:t>
      </w:r>
      <w:r w:rsidRPr="009E255C">
        <w:rPr>
          <w:lang w:eastAsia="fr-FR"/>
        </w:rPr>
        <w:t>édition</w:t>
      </w:r>
      <w:r w:rsidRPr="003F43C9">
        <w:rPr>
          <w:lang w:eastAsia="fr-FR"/>
        </w:rPr>
        <w:t xml:space="preserve"> révisée du Règlement type.</w:t>
      </w:r>
    </w:p>
    <w:p w14:paraId="5629E974" w14:textId="77777777" w:rsidR="001E6D3C" w:rsidRPr="008A6B3C" w:rsidRDefault="001E6D3C" w:rsidP="00615B2B">
      <w:pPr>
        <w:pStyle w:val="SingleTxtG"/>
        <w:rPr>
          <w:lang w:eastAsia="fr-FR"/>
        </w:rPr>
      </w:pPr>
      <w:r w:rsidRPr="00263857">
        <w:rPr>
          <w:lang w:eastAsia="fr-FR"/>
        </w:rPr>
        <w:t>64.</w:t>
      </w:r>
      <w:r w:rsidRPr="00263857">
        <w:rPr>
          <w:lang w:eastAsia="fr-FR"/>
        </w:rPr>
        <w:tab/>
        <w:t>Le 13 mai 2019, la Conférence des Parties à l</w:t>
      </w:r>
      <w:r w:rsidR="00616FE4">
        <w:rPr>
          <w:lang w:eastAsia="fr-FR"/>
        </w:rPr>
        <w:t>’</w:t>
      </w:r>
      <w:r w:rsidRPr="00263857">
        <w:rPr>
          <w:lang w:eastAsia="fr-FR"/>
        </w:rPr>
        <w:t>Accord européen de 1957 relatif au transport international des marchandises dangereuses par route a adopté, par consensus, un</w:t>
      </w:r>
      <w:r>
        <w:rPr>
          <w:lang w:eastAsia="fr-FR"/>
        </w:rPr>
        <w:t xml:space="preserve"> protocole modifiant le titre de l</w:t>
      </w:r>
      <w:r w:rsidR="00616FE4">
        <w:rPr>
          <w:lang w:eastAsia="fr-FR"/>
        </w:rPr>
        <w:t>’</w:t>
      </w:r>
      <w:r>
        <w:rPr>
          <w:lang w:eastAsia="fr-FR"/>
        </w:rPr>
        <w:t>Accord, conformément à son article 13. En l</w:t>
      </w:r>
      <w:r w:rsidR="00616FE4">
        <w:rPr>
          <w:lang w:eastAsia="fr-FR"/>
        </w:rPr>
        <w:t>’</w:t>
      </w:r>
      <w:r>
        <w:rPr>
          <w:lang w:eastAsia="fr-FR"/>
        </w:rPr>
        <w:t>absence d</w:t>
      </w:r>
      <w:r w:rsidR="00616FE4">
        <w:rPr>
          <w:lang w:eastAsia="fr-FR"/>
        </w:rPr>
        <w:t>’</w:t>
      </w:r>
      <w:r>
        <w:rPr>
          <w:lang w:eastAsia="fr-FR"/>
        </w:rPr>
        <w:t>objection exprimée</w:t>
      </w:r>
      <w:r w:rsidRPr="00263857">
        <w:rPr>
          <w:lang w:eastAsia="fr-FR"/>
        </w:rPr>
        <w:t xml:space="preserve"> </w:t>
      </w:r>
      <w:r>
        <w:rPr>
          <w:lang w:eastAsia="fr-FR"/>
        </w:rPr>
        <w:t>avant le 30 novembre, la modification est réputée acceptée et entrera en vigueur pour toutes les Parties à l</w:t>
      </w:r>
      <w:r w:rsidR="00616FE4">
        <w:rPr>
          <w:lang w:eastAsia="fr-FR"/>
        </w:rPr>
        <w:t>’</w:t>
      </w:r>
      <w:r>
        <w:rPr>
          <w:lang w:eastAsia="fr-FR"/>
        </w:rPr>
        <w:t xml:space="preserve">Accord le </w:t>
      </w:r>
      <w:r w:rsidRPr="008A6B3C">
        <w:rPr>
          <w:lang w:eastAsia="fr-FR"/>
        </w:rPr>
        <w:t>1</w:t>
      </w:r>
      <w:r w:rsidRPr="008A6B3C">
        <w:rPr>
          <w:vertAlign w:val="superscript"/>
          <w:lang w:eastAsia="fr-FR"/>
        </w:rPr>
        <w:t>er</w:t>
      </w:r>
      <w:r>
        <w:rPr>
          <w:lang w:eastAsia="fr-FR"/>
        </w:rPr>
        <w:t xml:space="preserve"> </w:t>
      </w:r>
      <w:r w:rsidRPr="008A6B3C">
        <w:rPr>
          <w:lang w:eastAsia="fr-FR"/>
        </w:rPr>
        <w:t xml:space="preserve">janvier 2021. </w:t>
      </w:r>
    </w:p>
    <w:p w14:paraId="20EDE1CE" w14:textId="77777777" w:rsidR="001E6D3C" w:rsidRPr="00930747" w:rsidRDefault="001E6D3C" w:rsidP="00615B2B">
      <w:pPr>
        <w:pStyle w:val="SingleTxtG"/>
        <w:rPr>
          <w:lang w:eastAsia="fr-FR"/>
        </w:rPr>
      </w:pPr>
      <w:r w:rsidRPr="008A6B3C">
        <w:rPr>
          <w:lang w:eastAsia="fr-FR"/>
        </w:rPr>
        <w:t>65.</w:t>
      </w:r>
      <w:r w:rsidRPr="008A6B3C">
        <w:rPr>
          <w:lang w:eastAsia="fr-FR"/>
        </w:rPr>
        <w:tab/>
      </w:r>
      <w:r>
        <w:rPr>
          <w:lang w:eastAsia="fr-FR"/>
        </w:rPr>
        <w:t>Cet</w:t>
      </w:r>
      <w:r w:rsidRPr="008A6B3C">
        <w:rPr>
          <w:lang w:eastAsia="fr-FR"/>
        </w:rPr>
        <w:t>te modification adopt</w:t>
      </w:r>
      <w:r>
        <w:rPr>
          <w:lang w:eastAsia="fr-FR"/>
        </w:rPr>
        <w:t>é</w:t>
      </w:r>
      <w:r w:rsidRPr="008A6B3C">
        <w:rPr>
          <w:lang w:eastAsia="fr-FR"/>
        </w:rPr>
        <w:t>e par l</w:t>
      </w:r>
      <w:r>
        <w:rPr>
          <w:lang w:eastAsia="fr-FR"/>
        </w:rPr>
        <w:t>a</w:t>
      </w:r>
      <w:r w:rsidRPr="008A6B3C">
        <w:rPr>
          <w:lang w:eastAsia="fr-FR"/>
        </w:rPr>
        <w:t xml:space="preserve"> Conférence des Parties </w:t>
      </w:r>
      <w:r>
        <w:rPr>
          <w:lang w:eastAsia="fr-FR"/>
        </w:rPr>
        <w:t>devrait faciliter l</w:t>
      </w:r>
      <w:r w:rsidR="00616FE4">
        <w:rPr>
          <w:lang w:eastAsia="fr-FR"/>
        </w:rPr>
        <w:t>’</w:t>
      </w:r>
      <w:r>
        <w:rPr>
          <w:lang w:eastAsia="fr-FR"/>
        </w:rPr>
        <w:t>adhésion à l</w:t>
      </w:r>
      <w:r w:rsidR="00616FE4">
        <w:rPr>
          <w:lang w:eastAsia="fr-FR"/>
        </w:rPr>
        <w:t>’</w:t>
      </w:r>
      <w:r>
        <w:rPr>
          <w:lang w:eastAsia="fr-FR"/>
        </w:rPr>
        <w:t>accord d</w:t>
      </w:r>
      <w:r w:rsidR="00616FE4">
        <w:rPr>
          <w:lang w:eastAsia="fr-FR"/>
        </w:rPr>
        <w:t>’</w:t>
      </w:r>
      <w:r>
        <w:rPr>
          <w:lang w:eastAsia="fr-FR"/>
        </w:rPr>
        <w:t xml:space="preserve">États qui ne sont pas membres de la </w:t>
      </w:r>
      <w:r w:rsidRPr="00930747">
        <w:rPr>
          <w:lang w:eastAsia="fr-FR"/>
        </w:rPr>
        <w:t>Commission économique pour l</w:t>
      </w:r>
      <w:r w:rsidR="00616FE4">
        <w:rPr>
          <w:lang w:eastAsia="fr-FR"/>
        </w:rPr>
        <w:t>’</w:t>
      </w:r>
      <w:r w:rsidRPr="00930747">
        <w:rPr>
          <w:lang w:eastAsia="fr-FR"/>
        </w:rPr>
        <w:t>Europe des Nations Unies</w:t>
      </w:r>
      <w:r>
        <w:rPr>
          <w:lang w:eastAsia="fr-FR"/>
        </w:rPr>
        <w:t xml:space="preserve"> et pour lesquels le mot </w:t>
      </w:r>
      <w:r w:rsidR="00F335C3">
        <w:rPr>
          <w:lang w:eastAsia="fr-FR"/>
        </w:rPr>
        <w:t>« </w:t>
      </w:r>
      <w:r w:rsidRPr="00930747">
        <w:rPr>
          <w:lang w:eastAsia="fr-FR"/>
        </w:rPr>
        <w:t>européen</w:t>
      </w:r>
      <w:r w:rsidR="00F335C3">
        <w:rPr>
          <w:lang w:eastAsia="fr-FR"/>
        </w:rPr>
        <w:t> »</w:t>
      </w:r>
      <w:r w:rsidRPr="00930747">
        <w:rPr>
          <w:lang w:eastAsia="fr-FR"/>
        </w:rPr>
        <w:t xml:space="preserve"> </w:t>
      </w:r>
      <w:r>
        <w:rPr>
          <w:lang w:eastAsia="fr-FR"/>
        </w:rPr>
        <w:t xml:space="preserve">peut constituer un </w:t>
      </w:r>
      <w:r w:rsidRPr="00930747">
        <w:rPr>
          <w:lang w:eastAsia="fr-FR"/>
        </w:rPr>
        <w:t xml:space="preserve">obstacle </w:t>
      </w:r>
      <w:r>
        <w:rPr>
          <w:lang w:eastAsia="fr-FR"/>
        </w:rPr>
        <w:t>à l</w:t>
      </w:r>
      <w:r w:rsidR="00616FE4">
        <w:rPr>
          <w:lang w:eastAsia="fr-FR"/>
        </w:rPr>
        <w:t>’</w:t>
      </w:r>
      <w:r>
        <w:rPr>
          <w:lang w:eastAsia="fr-FR"/>
        </w:rPr>
        <w:t>adhésion</w:t>
      </w:r>
      <w:r w:rsidRPr="00930747">
        <w:rPr>
          <w:lang w:eastAsia="fr-FR"/>
        </w:rPr>
        <w:t>.</w:t>
      </w:r>
    </w:p>
    <w:p w14:paraId="60FC6D6E" w14:textId="77777777" w:rsidR="001E6D3C" w:rsidRPr="008448BC" w:rsidRDefault="001E6D3C" w:rsidP="00615B2B">
      <w:pPr>
        <w:pStyle w:val="SingleTxtG"/>
        <w:rPr>
          <w:lang w:eastAsia="fr-FR"/>
        </w:rPr>
      </w:pPr>
      <w:r w:rsidRPr="00013537">
        <w:rPr>
          <w:lang w:eastAsia="fr-FR"/>
        </w:rPr>
        <w:t>66.</w:t>
      </w:r>
      <w:r w:rsidRPr="00013537">
        <w:rPr>
          <w:lang w:eastAsia="fr-FR"/>
        </w:rPr>
        <w:tab/>
        <w:t>La réunion d</w:t>
      </w:r>
      <w:r w:rsidR="00616FE4">
        <w:rPr>
          <w:lang w:eastAsia="fr-FR"/>
        </w:rPr>
        <w:t>’</w:t>
      </w:r>
      <w:r w:rsidRPr="00013537">
        <w:rPr>
          <w:lang w:eastAsia="fr-FR"/>
        </w:rPr>
        <w:t>experts commune RID/ADR/ADN s</w:t>
      </w:r>
      <w:r w:rsidR="00616FE4">
        <w:rPr>
          <w:lang w:eastAsia="fr-FR"/>
        </w:rPr>
        <w:t>’</w:t>
      </w:r>
      <w:r w:rsidRPr="00013537">
        <w:rPr>
          <w:lang w:eastAsia="fr-FR"/>
        </w:rPr>
        <w:t>est mise d</w:t>
      </w:r>
      <w:r w:rsidR="00616FE4">
        <w:rPr>
          <w:lang w:eastAsia="fr-FR"/>
        </w:rPr>
        <w:t>’</w:t>
      </w:r>
      <w:r w:rsidRPr="00013537">
        <w:rPr>
          <w:lang w:eastAsia="fr-FR"/>
        </w:rPr>
        <w:t>accord sur une</w:t>
      </w:r>
      <w:r>
        <w:rPr>
          <w:lang w:eastAsia="fr-FR"/>
        </w:rPr>
        <w:t xml:space="preserve"> série de</w:t>
      </w:r>
      <w:r w:rsidRPr="00013537">
        <w:rPr>
          <w:rFonts w:ascii="Segoe UI" w:hAnsi="Segoe UI" w:cs="Segoe UI"/>
        </w:rPr>
        <w:t xml:space="preserve"> </w:t>
      </w:r>
      <w:r w:rsidRPr="00013537">
        <w:rPr>
          <w:lang w:eastAsia="fr-FR"/>
        </w:rPr>
        <w:t>lignes directrices pour l</w:t>
      </w:r>
      <w:r w:rsidR="00616FE4">
        <w:rPr>
          <w:lang w:eastAsia="fr-FR"/>
        </w:rPr>
        <w:t>’</w:t>
      </w:r>
      <w:r w:rsidRPr="00013537">
        <w:rPr>
          <w:lang w:eastAsia="fr-FR"/>
        </w:rPr>
        <w:t>utilisation</w:t>
      </w:r>
      <w:r>
        <w:rPr>
          <w:lang w:eastAsia="fr-FR"/>
        </w:rPr>
        <w:t xml:space="preserve"> de la télématique dans le contexte du </w:t>
      </w:r>
      <w:r w:rsidRPr="008448BC">
        <w:rPr>
          <w:lang w:eastAsia="fr-FR"/>
        </w:rPr>
        <w:t xml:space="preserve">paragraphe 5.4.0.2 </w:t>
      </w:r>
      <w:r>
        <w:rPr>
          <w:lang w:eastAsia="fr-FR"/>
        </w:rPr>
        <w:t>de ces accords</w:t>
      </w:r>
      <w:r w:rsidRPr="008448BC">
        <w:rPr>
          <w:lang w:eastAsia="fr-FR"/>
        </w:rPr>
        <w:t xml:space="preserve">, </w:t>
      </w:r>
      <w:r>
        <w:rPr>
          <w:lang w:eastAsia="fr-FR"/>
        </w:rPr>
        <w:t xml:space="preserve">en ce qui concerne les documents de transport. </w:t>
      </w:r>
      <w:r w:rsidRPr="008448BC">
        <w:rPr>
          <w:lang w:eastAsia="fr-FR"/>
        </w:rPr>
        <w:t>Ces lignes directrices sont disponibles pour être mises en œuvre</w:t>
      </w:r>
      <w:r>
        <w:rPr>
          <w:lang w:eastAsia="fr-FR"/>
        </w:rPr>
        <w:t>,</w:t>
      </w:r>
      <w:r w:rsidRPr="008448BC">
        <w:rPr>
          <w:lang w:eastAsia="fr-FR"/>
        </w:rPr>
        <w:t xml:space="preserve"> sur une base volontaire</w:t>
      </w:r>
      <w:r>
        <w:rPr>
          <w:lang w:eastAsia="fr-FR"/>
        </w:rPr>
        <w:t>,</w:t>
      </w:r>
      <w:r w:rsidRPr="008448BC">
        <w:rPr>
          <w:lang w:eastAsia="fr-FR"/>
        </w:rPr>
        <w:t xml:space="preserve"> par les </w:t>
      </w:r>
      <w:r w:rsidR="00FF2B1F" w:rsidRPr="008448BC">
        <w:rPr>
          <w:lang w:eastAsia="fr-FR"/>
        </w:rPr>
        <w:t>P</w:t>
      </w:r>
      <w:r w:rsidRPr="008448BC">
        <w:rPr>
          <w:lang w:eastAsia="fr-FR"/>
        </w:rPr>
        <w:t xml:space="preserve">arties contractantes </w:t>
      </w:r>
      <w:r>
        <w:rPr>
          <w:lang w:eastAsia="fr-FR"/>
        </w:rPr>
        <w:t>à l</w:t>
      </w:r>
      <w:r w:rsidR="00616FE4">
        <w:rPr>
          <w:lang w:eastAsia="fr-FR"/>
        </w:rPr>
        <w:t>’</w:t>
      </w:r>
      <w:r w:rsidRPr="008448BC">
        <w:rPr>
          <w:lang w:eastAsia="fr-FR"/>
        </w:rPr>
        <w:t>ADR/RID/ADN.</w:t>
      </w:r>
    </w:p>
    <w:p w14:paraId="4EFF0DBF" w14:textId="77777777" w:rsidR="001E6D3C" w:rsidRPr="00AC2D52" w:rsidRDefault="001E6D3C" w:rsidP="00615B2B">
      <w:pPr>
        <w:pStyle w:val="SingleTxtG"/>
        <w:rPr>
          <w:lang w:eastAsia="fr-FR"/>
        </w:rPr>
      </w:pPr>
      <w:r w:rsidRPr="008448BC">
        <w:rPr>
          <w:lang w:eastAsia="fr-FR"/>
        </w:rPr>
        <w:t>67.</w:t>
      </w:r>
      <w:r w:rsidRPr="008448BC">
        <w:rPr>
          <w:lang w:eastAsia="fr-FR"/>
        </w:rPr>
        <w:tab/>
        <w:t>Le 31 décembre 2019 marque la fin de la période transitoire</w:t>
      </w:r>
      <w:r>
        <w:rPr>
          <w:lang w:eastAsia="fr-FR"/>
        </w:rPr>
        <w:t xml:space="preserve"> avant l</w:t>
      </w:r>
      <w:r w:rsidR="00616FE4">
        <w:rPr>
          <w:lang w:eastAsia="fr-FR"/>
        </w:rPr>
        <w:t>’</w:t>
      </w:r>
      <w:r>
        <w:rPr>
          <w:lang w:eastAsia="fr-FR"/>
        </w:rPr>
        <w:t>installation obligatoire d</w:t>
      </w:r>
      <w:r w:rsidR="00616FE4">
        <w:rPr>
          <w:lang w:eastAsia="fr-FR"/>
        </w:rPr>
        <w:t>’</w:t>
      </w:r>
      <w:r>
        <w:rPr>
          <w:lang w:eastAsia="fr-FR"/>
        </w:rPr>
        <w:t xml:space="preserve">un </w:t>
      </w:r>
      <w:r w:rsidRPr="008448BC">
        <w:rPr>
          <w:lang w:val="fr-FR" w:eastAsia="fr-FR"/>
        </w:rPr>
        <w:t>instrument de chargement</w:t>
      </w:r>
      <w:r>
        <w:rPr>
          <w:lang w:val="fr-FR" w:eastAsia="fr-FR"/>
        </w:rPr>
        <w:t xml:space="preserve"> destiné à accroître la stabilité dans tous les </w:t>
      </w:r>
      <w:r w:rsidRPr="00A05890">
        <w:rPr>
          <w:lang w:eastAsia="fr-FR"/>
        </w:rPr>
        <w:t>bateaux-citernes transportant des marchandises dangereuses</w:t>
      </w:r>
      <w:r>
        <w:rPr>
          <w:lang w:eastAsia="fr-FR"/>
        </w:rPr>
        <w:t xml:space="preserve">. </w:t>
      </w:r>
      <w:r w:rsidRPr="00A05890">
        <w:rPr>
          <w:lang w:eastAsia="fr-FR"/>
        </w:rPr>
        <w:t>Cette prescription obligatoire a été introduite dans l</w:t>
      </w:r>
      <w:r w:rsidR="00616FE4">
        <w:rPr>
          <w:lang w:eastAsia="fr-FR"/>
        </w:rPr>
        <w:t>’</w:t>
      </w:r>
      <w:r w:rsidRPr="00A05890">
        <w:rPr>
          <w:lang w:eastAsia="fr-FR"/>
        </w:rPr>
        <w:t>ADN à la suite de l</w:t>
      </w:r>
      <w:r w:rsidR="00616FE4">
        <w:rPr>
          <w:lang w:eastAsia="fr-FR"/>
        </w:rPr>
        <w:t>’</w:t>
      </w:r>
      <w:r w:rsidRPr="00A05890">
        <w:rPr>
          <w:lang w:eastAsia="fr-FR"/>
        </w:rPr>
        <w:t xml:space="preserve">accident du </w:t>
      </w:r>
      <w:r w:rsidR="00FF2B1F">
        <w:rPr>
          <w:lang w:eastAsia="fr-FR"/>
        </w:rPr>
        <w:t>« </w:t>
      </w:r>
      <w:r w:rsidRPr="00A05890">
        <w:rPr>
          <w:lang w:eastAsia="fr-FR"/>
        </w:rPr>
        <w:t>TMS Waldhof</w:t>
      </w:r>
      <w:r w:rsidR="00FF2B1F">
        <w:rPr>
          <w:lang w:eastAsia="fr-FR"/>
        </w:rPr>
        <w:t> »</w:t>
      </w:r>
      <w:r w:rsidRPr="00A05890">
        <w:rPr>
          <w:lang w:eastAsia="fr-FR"/>
        </w:rPr>
        <w:t xml:space="preserve"> </w:t>
      </w:r>
      <w:r>
        <w:rPr>
          <w:lang w:eastAsia="fr-FR"/>
        </w:rPr>
        <w:t xml:space="preserve">qui a chaviré </w:t>
      </w:r>
      <w:r w:rsidRPr="00A05890">
        <w:rPr>
          <w:lang w:eastAsia="fr-FR"/>
        </w:rPr>
        <w:t>le 13</w:t>
      </w:r>
      <w:r w:rsidR="00FF2B1F">
        <w:rPr>
          <w:lang w:eastAsia="fr-FR"/>
        </w:rPr>
        <w:t> </w:t>
      </w:r>
      <w:r w:rsidRPr="00A05890">
        <w:rPr>
          <w:lang w:eastAsia="fr-FR"/>
        </w:rPr>
        <w:t>janvier 2011</w:t>
      </w:r>
      <w:r>
        <w:rPr>
          <w:lang w:eastAsia="fr-FR"/>
        </w:rPr>
        <w:t xml:space="preserve"> sur le Rhin et laissé s</w:t>
      </w:r>
      <w:r w:rsidR="00616FE4">
        <w:rPr>
          <w:lang w:eastAsia="fr-FR"/>
        </w:rPr>
        <w:t>’</w:t>
      </w:r>
      <w:r>
        <w:rPr>
          <w:lang w:eastAsia="fr-FR"/>
        </w:rPr>
        <w:t xml:space="preserve">échapper près de </w:t>
      </w:r>
      <w:r w:rsidRPr="00A05890">
        <w:rPr>
          <w:lang w:eastAsia="fr-FR"/>
        </w:rPr>
        <w:t>900 tonnes d</w:t>
      </w:r>
      <w:r w:rsidR="00616FE4">
        <w:rPr>
          <w:lang w:eastAsia="fr-FR"/>
        </w:rPr>
        <w:t>’</w:t>
      </w:r>
      <w:r w:rsidRPr="00A05890">
        <w:rPr>
          <w:lang w:eastAsia="fr-FR"/>
        </w:rPr>
        <w:t xml:space="preserve">acide sulfurique </w:t>
      </w:r>
      <w:r>
        <w:rPr>
          <w:lang w:eastAsia="fr-FR"/>
        </w:rPr>
        <w:t xml:space="preserve">dans le fleuve. Au moment où les opérations de sauvetage ont pris fin, le Rhin avait été partiellement ou complétement fermé à la navigation pendant </w:t>
      </w:r>
      <w:r w:rsidR="00FF2B1F">
        <w:rPr>
          <w:lang w:eastAsia="fr-FR"/>
        </w:rPr>
        <w:t>trente-deux</w:t>
      </w:r>
      <w:r>
        <w:rPr>
          <w:lang w:eastAsia="fr-FR"/>
        </w:rPr>
        <w:t xml:space="preserve"> jours et quelque 450</w:t>
      </w:r>
      <w:r w:rsidR="00FF2B1F">
        <w:rPr>
          <w:lang w:eastAsia="fr-FR"/>
        </w:rPr>
        <w:t> </w:t>
      </w:r>
      <w:r>
        <w:rPr>
          <w:lang w:eastAsia="fr-FR"/>
        </w:rPr>
        <w:t>bateaux ont été empêchés de poursuivre leur voyage vers l</w:t>
      </w:r>
      <w:r w:rsidR="00616FE4">
        <w:rPr>
          <w:lang w:eastAsia="fr-FR"/>
        </w:rPr>
        <w:t>’</w:t>
      </w:r>
      <w:r>
        <w:rPr>
          <w:lang w:eastAsia="fr-FR"/>
        </w:rPr>
        <w:t xml:space="preserve">aval pendant plus de temps encore. </w:t>
      </w:r>
    </w:p>
    <w:p w14:paraId="29BF2ABC" w14:textId="77777777" w:rsidR="001E6D3C" w:rsidRPr="003D223D" w:rsidRDefault="001E6D3C" w:rsidP="00615B2B">
      <w:pPr>
        <w:pStyle w:val="H1G"/>
        <w:rPr>
          <w:lang w:eastAsia="fr-FR"/>
        </w:rPr>
      </w:pPr>
      <w:r w:rsidRPr="00AC2D52">
        <w:rPr>
          <w:lang w:eastAsia="fr-FR"/>
        </w:rPr>
        <w:lastRenderedPageBreak/>
        <w:tab/>
      </w:r>
      <w:r w:rsidRPr="003D223D">
        <w:rPr>
          <w:lang w:eastAsia="fr-FR"/>
        </w:rPr>
        <w:t>J.</w:t>
      </w:r>
      <w:r w:rsidRPr="003D223D">
        <w:rPr>
          <w:lang w:eastAsia="fr-FR"/>
        </w:rPr>
        <w:tab/>
        <w:t>Forum mondial de l</w:t>
      </w:r>
      <w:r w:rsidR="00616FE4">
        <w:rPr>
          <w:lang w:eastAsia="fr-FR"/>
        </w:rPr>
        <w:t>’</w:t>
      </w:r>
      <w:r w:rsidRPr="003D223D">
        <w:rPr>
          <w:lang w:eastAsia="fr-FR"/>
        </w:rPr>
        <w:t xml:space="preserve">harmonisation des Règlements concernant </w:t>
      </w:r>
      <w:r w:rsidR="00FF2B1F">
        <w:rPr>
          <w:lang w:eastAsia="fr-FR"/>
        </w:rPr>
        <w:br/>
      </w:r>
      <w:r w:rsidRPr="003D223D">
        <w:rPr>
          <w:lang w:eastAsia="fr-FR"/>
        </w:rPr>
        <w:t>les véhicules (WP.29)</w:t>
      </w:r>
    </w:p>
    <w:p w14:paraId="25D739AD" w14:textId="77777777" w:rsidR="001E6D3C" w:rsidRPr="008448BC" w:rsidRDefault="001E6D3C" w:rsidP="00615B2B">
      <w:pPr>
        <w:pStyle w:val="SingleTxtG"/>
        <w:rPr>
          <w:lang w:eastAsia="fr-FR"/>
        </w:rPr>
      </w:pPr>
      <w:r w:rsidRPr="008448BC">
        <w:rPr>
          <w:lang w:eastAsia="fr-FR"/>
        </w:rPr>
        <w:t>68.</w:t>
      </w:r>
      <w:r w:rsidRPr="008448BC">
        <w:rPr>
          <w:lang w:eastAsia="fr-FR"/>
        </w:rPr>
        <w:tab/>
        <w:t>Six nouveaux règlements de l</w:t>
      </w:r>
      <w:r w:rsidR="00616FE4">
        <w:rPr>
          <w:lang w:eastAsia="fr-FR"/>
        </w:rPr>
        <w:t>’</w:t>
      </w:r>
      <w:r w:rsidRPr="008448BC">
        <w:rPr>
          <w:lang w:eastAsia="fr-FR"/>
        </w:rPr>
        <w:t>ONU concernant les véhicules</w:t>
      </w:r>
      <w:r>
        <w:rPr>
          <w:lang w:eastAsia="fr-FR"/>
        </w:rPr>
        <w:t xml:space="preserve">, destinés à améliorer la sécurité et le bilan environnemental des véhicules sont entrés en vigueur en 2019 : </w:t>
      </w:r>
    </w:p>
    <w:p w14:paraId="4CCC7159" w14:textId="77777777" w:rsidR="001E6D3C" w:rsidRPr="00DA1C24" w:rsidRDefault="00615B2B" w:rsidP="00615B2B">
      <w:pPr>
        <w:pStyle w:val="SingleTxtG"/>
        <w:rPr>
          <w:lang w:eastAsia="fr-FR"/>
        </w:rPr>
      </w:pPr>
      <w:r>
        <w:rPr>
          <w:lang w:eastAsia="fr-FR"/>
        </w:rPr>
        <w:tab/>
      </w:r>
      <w:r w:rsidR="001E6D3C" w:rsidRPr="00DA1C24">
        <w:rPr>
          <w:lang w:eastAsia="fr-FR"/>
        </w:rPr>
        <w:t>a)</w:t>
      </w:r>
      <w:r w:rsidR="001E6D3C" w:rsidRPr="00DA1C24">
        <w:rPr>
          <w:lang w:eastAsia="fr-FR"/>
        </w:rPr>
        <w:tab/>
      </w:r>
      <w:r w:rsidR="001E6D3C">
        <w:rPr>
          <w:lang w:eastAsia="fr-FR"/>
        </w:rPr>
        <w:t xml:space="preserve">Le </w:t>
      </w:r>
      <w:r w:rsidR="001E6D3C" w:rsidRPr="00DA1C24">
        <w:rPr>
          <w:lang w:eastAsia="fr-FR"/>
        </w:rPr>
        <w:t xml:space="preserve">Règlement ONU </w:t>
      </w:r>
      <w:r w:rsidR="00FF2B1F" w:rsidRPr="00FF2B1F">
        <w:rPr>
          <w:rFonts w:eastAsia="MS Mincho"/>
          <w:lang w:eastAsia="fr-FR"/>
        </w:rPr>
        <w:t>n</w:t>
      </w:r>
      <w:r w:rsidR="00FF2B1F" w:rsidRPr="00FF2B1F">
        <w:rPr>
          <w:rFonts w:eastAsia="MS Mincho"/>
          <w:vertAlign w:val="superscript"/>
          <w:lang w:eastAsia="fr-FR"/>
        </w:rPr>
        <w:t>o</w:t>
      </w:r>
      <w:r w:rsidR="00FF2B1F">
        <w:rPr>
          <w:lang w:eastAsia="fr-FR"/>
        </w:rPr>
        <w:t> </w:t>
      </w:r>
      <w:r w:rsidR="001E6D3C" w:rsidRPr="00DA1C24">
        <w:rPr>
          <w:lang w:eastAsia="fr-FR"/>
        </w:rPr>
        <w:t xml:space="preserve">146 sur les véhicules à hydrogène </w:t>
      </w:r>
      <w:r w:rsidR="001E6D3C">
        <w:rPr>
          <w:lang w:eastAsia="fr-FR"/>
        </w:rPr>
        <w:t xml:space="preserve">et </w:t>
      </w:r>
      <w:r w:rsidR="001E6D3C" w:rsidRPr="00DA1C24">
        <w:rPr>
          <w:lang w:eastAsia="fr-FR"/>
        </w:rPr>
        <w:t xml:space="preserve">à pile à combustible de catégorie L (véhicules </w:t>
      </w:r>
      <w:r w:rsidR="001E6D3C">
        <w:rPr>
          <w:lang w:eastAsia="fr-FR"/>
        </w:rPr>
        <w:t xml:space="preserve">motorisés </w:t>
      </w:r>
      <w:r w:rsidR="001E6D3C" w:rsidRPr="00DA1C24">
        <w:rPr>
          <w:lang w:eastAsia="fr-FR"/>
        </w:rPr>
        <w:t xml:space="preserve">à </w:t>
      </w:r>
      <w:r w:rsidR="001E6D3C">
        <w:rPr>
          <w:lang w:eastAsia="fr-FR"/>
        </w:rPr>
        <w:t xml:space="preserve">deux ou </w:t>
      </w:r>
      <w:r w:rsidR="001E6D3C" w:rsidRPr="00DA1C24">
        <w:rPr>
          <w:lang w:eastAsia="fr-FR"/>
        </w:rPr>
        <w:t>trois roues)</w:t>
      </w:r>
      <w:r w:rsidR="001E6D3C">
        <w:rPr>
          <w:lang w:eastAsia="fr-FR"/>
        </w:rPr>
        <w:t>, entré en vigueur le 2</w:t>
      </w:r>
      <w:r w:rsidR="00FF2B1F">
        <w:rPr>
          <w:lang w:eastAsia="fr-FR"/>
        </w:rPr>
        <w:t> </w:t>
      </w:r>
      <w:r w:rsidR="001E6D3C">
        <w:rPr>
          <w:lang w:eastAsia="fr-FR"/>
        </w:rPr>
        <w:t xml:space="preserve">janvier </w:t>
      </w:r>
      <w:r w:rsidR="001E6D3C" w:rsidRPr="00DA1C24">
        <w:rPr>
          <w:lang w:eastAsia="fr-FR"/>
        </w:rPr>
        <w:t>2019</w:t>
      </w:r>
      <w:r w:rsidR="00FF2B1F">
        <w:rPr>
          <w:lang w:eastAsia="fr-FR"/>
        </w:rPr>
        <w:t> </w:t>
      </w:r>
      <w:r w:rsidR="001E6D3C" w:rsidRPr="00DA1C24">
        <w:rPr>
          <w:lang w:eastAsia="fr-FR"/>
        </w:rPr>
        <w:t>;</w:t>
      </w:r>
    </w:p>
    <w:p w14:paraId="5A253274" w14:textId="77777777" w:rsidR="001E6D3C" w:rsidRPr="002B6BBD" w:rsidRDefault="00615B2B" w:rsidP="00615B2B">
      <w:pPr>
        <w:pStyle w:val="SingleTxtG"/>
        <w:rPr>
          <w:lang w:eastAsia="fr-FR"/>
        </w:rPr>
      </w:pPr>
      <w:r>
        <w:rPr>
          <w:lang w:eastAsia="fr-FR"/>
        </w:rPr>
        <w:tab/>
      </w:r>
      <w:r w:rsidR="001E6D3C" w:rsidRPr="002B6BBD">
        <w:rPr>
          <w:lang w:eastAsia="fr-FR"/>
        </w:rPr>
        <w:t>b)</w:t>
      </w:r>
      <w:r w:rsidR="001E6D3C" w:rsidRPr="002B6BBD">
        <w:rPr>
          <w:lang w:eastAsia="fr-FR"/>
        </w:rPr>
        <w:tab/>
        <w:t xml:space="preserve">Règlement ONU </w:t>
      </w:r>
      <w:r w:rsidR="00FF2B1F" w:rsidRPr="00FF2B1F">
        <w:rPr>
          <w:rFonts w:eastAsia="MS Mincho"/>
          <w:lang w:eastAsia="fr-FR"/>
        </w:rPr>
        <w:t>n</w:t>
      </w:r>
      <w:r w:rsidR="00FF2B1F" w:rsidRPr="00FF2B1F">
        <w:rPr>
          <w:rFonts w:eastAsia="MS Mincho"/>
          <w:vertAlign w:val="superscript"/>
          <w:lang w:eastAsia="fr-FR"/>
        </w:rPr>
        <w:t>o</w:t>
      </w:r>
      <w:r w:rsidR="00FF2B1F">
        <w:rPr>
          <w:lang w:eastAsia="fr-FR"/>
        </w:rPr>
        <w:t> </w:t>
      </w:r>
      <w:r w:rsidR="001E6D3C" w:rsidRPr="002B6BBD">
        <w:rPr>
          <w:lang w:eastAsia="fr-FR"/>
        </w:rPr>
        <w:t>147 sur les pièces mécaniques d</w:t>
      </w:r>
      <w:r w:rsidR="00616FE4">
        <w:rPr>
          <w:lang w:eastAsia="fr-FR"/>
        </w:rPr>
        <w:t>’</w:t>
      </w:r>
      <w:r w:rsidR="001E6D3C" w:rsidRPr="002B6BBD">
        <w:rPr>
          <w:lang w:eastAsia="fr-FR"/>
        </w:rPr>
        <w:t>attelage des ensembles de véhicules agrico</w:t>
      </w:r>
      <w:r w:rsidR="001E6D3C">
        <w:rPr>
          <w:lang w:eastAsia="fr-FR"/>
        </w:rPr>
        <w:t xml:space="preserve">les, </w:t>
      </w:r>
      <w:r w:rsidR="001E6D3C" w:rsidRPr="000D49CA">
        <w:rPr>
          <w:lang w:eastAsia="fr-FR"/>
        </w:rPr>
        <w:t>entré en vigueur le 2 janvier 2019</w:t>
      </w:r>
      <w:r w:rsidR="001E6D3C">
        <w:rPr>
          <w:lang w:eastAsia="fr-FR"/>
        </w:rPr>
        <w:t> ;</w:t>
      </w:r>
    </w:p>
    <w:p w14:paraId="600D8526" w14:textId="77777777" w:rsidR="001E6D3C" w:rsidRDefault="00615B2B" w:rsidP="00615B2B">
      <w:pPr>
        <w:pStyle w:val="SingleTxtG"/>
        <w:rPr>
          <w:lang w:eastAsia="fr-FR"/>
        </w:rPr>
      </w:pPr>
      <w:r>
        <w:rPr>
          <w:lang w:eastAsia="fr-FR"/>
        </w:rPr>
        <w:tab/>
      </w:r>
      <w:r w:rsidR="001E6D3C" w:rsidRPr="000D49CA">
        <w:rPr>
          <w:lang w:eastAsia="fr-FR"/>
        </w:rPr>
        <w:t>c)</w:t>
      </w:r>
      <w:r w:rsidR="001E6D3C" w:rsidRPr="000D49CA">
        <w:rPr>
          <w:lang w:eastAsia="fr-FR"/>
        </w:rPr>
        <w:tab/>
      </w:r>
      <w:r w:rsidR="001E6D3C">
        <w:rPr>
          <w:lang w:eastAsia="fr-FR"/>
        </w:rPr>
        <w:t>Les t</w:t>
      </w:r>
      <w:r w:rsidR="001E6D3C" w:rsidRPr="000D49CA">
        <w:rPr>
          <w:lang w:eastAsia="fr-FR"/>
        </w:rPr>
        <w:t xml:space="preserve">rois nouveaux Règlements ONU </w:t>
      </w:r>
      <w:r w:rsidR="001E6D3C">
        <w:rPr>
          <w:lang w:eastAsia="fr-FR"/>
        </w:rPr>
        <w:t xml:space="preserve">destinés à </w:t>
      </w:r>
      <w:r w:rsidR="001E6D3C" w:rsidRPr="000D49CA">
        <w:rPr>
          <w:lang w:eastAsia="fr-FR"/>
        </w:rPr>
        <w:t>simplifier les dispositions applicables en matière d</w:t>
      </w:r>
      <w:r w:rsidR="00616FE4">
        <w:rPr>
          <w:lang w:eastAsia="fr-FR"/>
        </w:rPr>
        <w:t>’</w:t>
      </w:r>
      <w:r w:rsidR="001E6D3C" w:rsidRPr="000D49CA">
        <w:rPr>
          <w:lang w:eastAsia="fr-FR"/>
        </w:rPr>
        <w:t xml:space="preserve">éclairage en regroupant les prescriptions de </w:t>
      </w:r>
      <w:r w:rsidR="00FF2B1F">
        <w:rPr>
          <w:lang w:eastAsia="fr-FR"/>
        </w:rPr>
        <w:t>21 </w:t>
      </w:r>
      <w:r w:rsidR="001E6D3C" w:rsidRPr="000D49CA">
        <w:rPr>
          <w:lang w:eastAsia="fr-FR"/>
        </w:rPr>
        <w:t>Règlements ONU distincts, entrés en vigueur le 15 novembre</w:t>
      </w:r>
      <w:r w:rsidR="00963304">
        <w:rPr>
          <w:lang w:eastAsia="fr-FR"/>
        </w:rPr>
        <w:t xml:space="preserve"> </w:t>
      </w:r>
      <w:r w:rsidR="001E6D3C" w:rsidRPr="000D49CA">
        <w:rPr>
          <w:lang w:eastAsia="fr-FR"/>
        </w:rPr>
        <w:t>2019</w:t>
      </w:r>
      <w:r w:rsidR="001E6D3C">
        <w:rPr>
          <w:lang w:eastAsia="fr-FR"/>
        </w:rPr>
        <w:t> :</w:t>
      </w:r>
      <w:r w:rsidR="001E6D3C" w:rsidRPr="000D49CA">
        <w:rPr>
          <w:lang w:eastAsia="fr-FR"/>
        </w:rPr>
        <w:t xml:space="preserve"> </w:t>
      </w:r>
    </w:p>
    <w:p w14:paraId="01B9EA0F" w14:textId="77777777" w:rsidR="001E6D3C" w:rsidRPr="000D49CA" w:rsidRDefault="00615B2B" w:rsidP="00615B2B">
      <w:pPr>
        <w:pStyle w:val="SingleTxtG"/>
        <w:rPr>
          <w:lang w:eastAsia="fr-FR"/>
        </w:rPr>
      </w:pPr>
      <w:r>
        <w:rPr>
          <w:lang w:eastAsia="fr-FR"/>
        </w:rPr>
        <w:tab/>
      </w:r>
      <w:r w:rsidR="001E6D3C" w:rsidRPr="000D49CA">
        <w:rPr>
          <w:lang w:eastAsia="fr-FR"/>
        </w:rPr>
        <w:t>i)</w:t>
      </w:r>
      <w:r w:rsidR="001E6D3C" w:rsidRPr="000D49CA">
        <w:rPr>
          <w:lang w:eastAsia="fr-FR"/>
        </w:rPr>
        <w:tab/>
        <w:t xml:space="preserve">Règlement ONU </w:t>
      </w:r>
      <w:r w:rsidR="00963304" w:rsidRPr="00963304">
        <w:rPr>
          <w:rFonts w:eastAsia="MS Mincho"/>
          <w:lang w:eastAsia="fr-FR"/>
        </w:rPr>
        <w:t>n</w:t>
      </w:r>
      <w:r w:rsidR="00963304" w:rsidRPr="00963304">
        <w:rPr>
          <w:rFonts w:eastAsia="MS Mincho"/>
          <w:vertAlign w:val="superscript"/>
          <w:lang w:eastAsia="fr-FR"/>
        </w:rPr>
        <w:t>o</w:t>
      </w:r>
      <w:r w:rsidR="00963304">
        <w:rPr>
          <w:lang w:eastAsia="fr-FR"/>
        </w:rPr>
        <w:t xml:space="preserve"> </w:t>
      </w:r>
      <w:r w:rsidR="001E6D3C" w:rsidRPr="000D49CA">
        <w:rPr>
          <w:lang w:eastAsia="fr-FR"/>
        </w:rPr>
        <w:t xml:space="preserve">148 sur les dispositifs </w:t>
      </w:r>
      <w:r w:rsidR="001E6D3C">
        <w:rPr>
          <w:lang w:eastAsia="fr-FR"/>
        </w:rPr>
        <w:t>de</w:t>
      </w:r>
      <w:r w:rsidR="001E6D3C" w:rsidRPr="000D49CA">
        <w:rPr>
          <w:lang w:eastAsia="fr-FR"/>
        </w:rPr>
        <w:t xml:space="preserve"> signalisation lumineuse</w:t>
      </w:r>
      <w:r w:rsidR="00963304">
        <w:rPr>
          <w:lang w:eastAsia="fr-FR"/>
        </w:rPr>
        <w:t> </w:t>
      </w:r>
      <w:r w:rsidR="001E6D3C" w:rsidRPr="000D49CA">
        <w:rPr>
          <w:rFonts w:asciiTheme="majorBidi" w:hAnsiTheme="majorBidi" w:cstheme="majorBidi"/>
          <w:lang w:eastAsia="fr-FR"/>
        </w:rPr>
        <w:t>;</w:t>
      </w:r>
    </w:p>
    <w:p w14:paraId="54550077" w14:textId="77777777" w:rsidR="001E6D3C" w:rsidRPr="00BE0DD2" w:rsidRDefault="00615B2B" w:rsidP="00615B2B">
      <w:pPr>
        <w:pStyle w:val="SingleTxtG"/>
        <w:rPr>
          <w:lang w:eastAsia="fr-FR"/>
        </w:rPr>
      </w:pPr>
      <w:r>
        <w:rPr>
          <w:lang w:eastAsia="fr-FR"/>
        </w:rPr>
        <w:tab/>
      </w:r>
      <w:r w:rsidR="001E6D3C" w:rsidRPr="00BE0DD2">
        <w:rPr>
          <w:lang w:eastAsia="fr-FR"/>
        </w:rPr>
        <w:t>ii)</w:t>
      </w:r>
      <w:r w:rsidR="001E6D3C" w:rsidRPr="00BE0DD2">
        <w:rPr>
          <w:lang w:eastAsia="fr-FR"/>
        </w:rPr>
        <w:tab/>
        <w:t xml:space="preserve">Règlement ONU </w:t>
      </w:r>
      <w:r w:rsidR="00963304" w:rsidRPr="00963304">
        <w:rPr>
          <w:rFonts w:eastAsia="MS Mincho"/>
          <w:lang w:eastAsia="fr-FR"/>
        </w:rPr>
        <w:t>n</w:t>
      </w:r>
      <w:r w:rsidR="00963304" w:rsidRPr="00963304">
        <w:rPr>
          <w:rFonts w:eastAsia="MS Mincho"/>
          <w:vertAlign w:val="superscript"/>
          <w:lang w:eastAsia="fr-FR"/>
        </w:rPr>
        <w:t>o</w:t>
      </w:r>
      <w:r w:rsidR="00963304">
        <w:rPr>
          <w:lang w:eastAsia="fr-FR"/>
        </w:rPr>
        <w:t> </w:t>
      </w:r>
      <w:r w:rsidR="001E6D3C" w:rsidRPr="00BE0DD2">
        <w:rPr>
          <w:lang w:eastAsia="fr-FR"/>
        </w:rPr>
        <w:t xml:space="preserve">149 </w:t>
      </w:r>
      <w:r w:rsidR="001E6D3C" w:rsidRPr="000D49CA">
        <w:rPr>
          <w:lang w:eastAsia="fr-FR"/>
        </w:rPr>
        <w:t>sur les dispositifs d</w:t>
      </w:r>
      <w:r w:rsidR="00616FE4">
        <w:rPr>
          <w:lang w:eastAsia="fr-FR"/>
        </w:rPr>
        <w:t>’</w:t>
      </w:r>
      <w:r w:rsidR="001E6D3C" w:rsidRPr="000D49CA">
        <w:rPr>
          <w:lang w:eastAsia="fr-FR"/>
        </w:rPr>
        <w:t>éclairage de la route</w:t>
      </w:r>
      <w:r w:rsidR="00963304">
        <w:rPr>
          <w:lang w:eastAsia="fr-FR"/>
        </w:rPr>
        <w:t> </w:t>
      </w:r>
      <w:r w:rsidR="001E6D3C" w:rsidRPr="00BE0DD2">
        <w:rPr>
          <w:rFonts w:asciiTheme="majorBidi" w:hAnsiTheme="majorBidi" w:cstheme="majorBidi"/>
          <w:lang w:eastAsia="fr-FR"/>
        </w:rPr>
        <w:t>;</w:t>
      </w:r>
    </w:p>
    <w:p w14:paraId="5BFFA5DB" w14:textId="77777777" w:rsidR="001E6D3C" w:rsidRPr="00BE0DD2" w:rsidRDefault="00615B2B" w:rsidP="00615B2B">
      <w:pPr>
        <w:pStyle w:val="SingleTxtG"/>
        <w:rPr>
          <w:lang w:eastAsia="fr-FR"/>
        </w:rPr>
      </w:pPr>
      <w:r>
        <w:rPr>
          <w:lang w:eastAsia="fr-FR"/>
        </w:rPr>
        <w:tab/>
      </w:r>
      <w:r w:rsidR="001E6D3C" w:rsidRPr="00BE0DD2">
        <w:rPr>
          <w:lang w:eastAsia="fr-FR"/>
        </w:rPr>
        <w:t>iii)</w:t>
      </w:r>
      <w:r w:rsidR="001E6D3C" w:rsidRPr="00BE0DD2">
        <w:rPr>
          <w:lang w:eastAsia="fr-FR"/>
        </w:rPr>
        <w:tab/>
        <w:t xml:space="preserve">Règlement ONU </w:t>
      </w:r>
      <w:r w:rsidR="00963304" w:rsidRPr="00963304">
        <w:rPr>
          <w:rFonts w:eastAsia="MS Mincho"/>
          <w:lang w:eastAsia="fr-FR"/>
        </w:rPr>
        <w:t>n</w:t>
      </w:r>
      <w:r w:rsidR="00963304" w:rsidRPr="00963304">
        <w:rPr>
          <w:rFonts w:eastAsia="MS Mincho"/>
          <w:vertAlign w:val="superscript"/>
          <w:lang w:eastAsia="fr-FR"/>
        </w:rPr>
        <w:t>o</w:t>
      </w:r>
      <w:r w:rsidR="00963304">
        <w:rPr>
          <w:lang w:eastAsia="fr-FR"/>
        </w:rPr>
        <w:t> </w:t>
      </w:r>
      <w:r w:rsidR="001E6D3C" w:rsidRPr="00BE0DD2">
        <w:rPr>
          <w:lang w:eastAsia="fr-FR"/>
        </w:rPr>
        <w:t xml:space="preserve">150 </w:t>
      </w:r>
      <w:r w:rsidR="001E6D3C">
        <w:rPr>
          <w:lang w:eastAsia="fr-FR"/>
        </w:rPr>
        <w:t xml:space="preserve">sur </w:t>
      </w:r>
      <w:r w:rsidR="001E6D3C" w:rsidRPr="000D49CA">
        <w:rPr>
          <w:lang w:eastAsia="fr-FR"/>
        </w:rPr>
        <w:t>les dispositifs rétroréfléchissants</w:t>
      </w:r>
      <w:r w:rsidR="00963304">
        <w:rPr>
          <w:lang w:eastAsia="fr-FR"/>
        </w:rPr>
        <w:t> </w:t>
      </w:r>
      <w:r w:rsidR="001E6D3C" w:rsidRPr="00BE0DD2">
        <w:rPr>
          <w:rFonts w:asciiTheme="majorBidi" w:hAnsiTheme="majorBidi" w:cstheme="majorBidi"/>
          <w:lang w:eastAsia="fr-FR"/>
        </w:rPr>
        <w:t>;</w:t>
      </w:r>
    </w:p>
    <w:p w14:paraId="798A9E1E" w14:textId="77777777" w:rsidR="001E6D3C" w:rsidRPr="0007779F" w:rsidRDefault="00615B2B" w:rsidP="00615B2B">
      <w:pPr>
        <w:pStyle w:val="SingleTxtG"/>
        <w:rPr>
          <w:lang w:eastAsia="fr-FR"/>
        </w:rPr>
      </w:pPr>
      <w:r>
        <w:rPr>
          <w:lang w:eastAsia="fr-FR"/>
        </w:rPr>
        <w:tab/>
      </w:r>
      <w:r w:rsidR="001E6D3C" w:rsidRPr="0007779F">
        <w:rPr>
          <w:lang w:eastAsia="fr-FR"/>
        </w:rPr>
        <w:t>d)</w:t>
      </w:r>
      <w:r w:rsidR="001E6D3C" w:rsidRPr="0007779F">
        <w:rPr>
          <w:lang w:eastAsia="fr-FR"/>
        </w:rPr>
        <w:tab/>
        <w:t xml:space="preserve">Règlement ONU </w:t>
      </w:r>
      <w:r w:rsidR="00963304" w:rsidRPr="00963304">
        <w:rPr>
          <w:rFonts w:eastAsia="MS Mincho"/>
          <w:lang w:eastAsia="fr-FR"/>
        </w:rPr>
        <w:t>n</w:t>
      </w:r>
      <w:r w:rsidR="00963304" w:rsidRPr="00963304">
        <w:rPr>
          <w:rFonts w:eastAsia="MS Mincho"/>
          <w:vertAlign w:val="superscript"/>
          <w:lang w:eastAsia="fr-FR"/>
        </w:rPr>
        <w:t>o</w:t>
      </w:r>
      <w:r w:rsidR="00963304">
        <w:rPr>
          <w:lang w:eastAsia="fr-FR"/>
        </w:rPr>
        <w:t> </w:t>
      </w:r>
      <w:r w:rsidR="001E6D3C" w:rsidRPr="0007779F">
        <w:rPr>
          <w:lang w:eastAsia="fr-FR"/>
        </w:rPr>
        <w:t>151 sur les systèmes de surveillance de l</w:t>
      </w:r>
      <w:r w:rsidR="00616FE4">
        <w:rPr>
          <w:lang w:eastAsia="fr-FR"/>
        </w:rPr>
        <w:t>’</w:t>
      </w:r>
      <w:r w:rsidR="001E6D3C" w:rsidRPr="0007779F">
        <w:rPr>
          <w:lang w:eastAsia="fr-FR"/>
        </w:rPr>
        <w:t xml:space="preserve">angle mort </w:t>
      </w:r>
      <w:r w:rsidR="001E6D3C" w:rsidRPr="0007779F">
        <w:rPr>
          <w:lang w:val="fr-FR" w:eastAsia="fr-FR"/>
        </w:rPr>
        <w:t>pour la détection des vélos</w:t>
      </w:r>
      <w:r w:rsidR="001E6D3C" w:rsidRPr="0007779F">
        <w:rPr>
          <w:lang w:eastAsia="fr-FR"/>
        </w:rPr>
        <w:t xml:space="preserve"> </w:t>
      </w:r>
      <w:r w:rsidR="001E6D3C">
        <w:rPr>
          <w:lang w:eastAsia="fr-FR"/>
        </w:rPr>
        <w:t xml:space="preserve">par les </w:t>
      </w:r>
      <w:r w:rsidR="001E6D3C" w:rsidRPr="0007779F">
        <w:rPr>
          <w:lang w:eastAsia="fr-FR"/>
        </w:rPr>
        <w:t>véhicules utilitaires lourds</w:t>
      </w:r>
      <w:r w:rsidR="001E6D3C">
        <w:rPr>
          <w:lang w:eastAsia="fr-FR"/>
        </w:rPr>
        <w:t xml:space="preserve">, </w:t>
      </w:r>
      <w:r w:rsidR="001E6D3C" w:rsidRPr="0007779F">
        <w:rPr>
          <w:lang w:eastAsia="fr-FR"/>
        </w:rPr>
        <w:t>entré en vigueur le 15 novembre</w:t>
      </w:r>
      <w:r w:rsidR="00963304">
        <w:rPr>
          <w:lang w:eastAsia="fr-FR"/>
        </w:rPr>
        <w:t xml:space="preserve"> </w:t>
      </w:r>
      <w:r w:rsidR="001E6D3C" w:rsidRPr="0007779F">
        <w:rPr>
          <w:lang w:eastAsia="fr-FR"/>
        </w:rPr>
        <w:t>2019</w:t>
      </w:r>
      <w:r w:rsidR="001E6D3C">
        <w:rPr>
          <w:lang w:eastAsia="fr-FR"/>
        </w:rPr>
        <w:t>.</w:t>
      </w:r>
      <w:r w:rsidR="001E6D3C" w:rsidRPr="0007779F">
        <w:rPr>
          <w:lang w:eastAsia="fr-FR"/>
        </w:rPr>
        <w:t> </w:t>
      </w:r>
    </w:p>
    <w:p w14:paraId="55E0E3C0" w14:textId="77777777" w:rsidR="001E6D3C" w:rsidRPr="0007779F" w:rsidRDefault="001E6D3C" w:rsidP="00615B2B">
      <w:pPr>
        <w:pStyle w:val="SingleTxtG"/>
        <w:rPr>
          <w:lang w:eastAsia="fr-FR"/>
        </w:rPr>
      </w:pPr>
      <w:r w:rsidRPr="0007779F">
        <w:rPr>
          <w:lang w:eastAsia="fr-FR"/>
        </w:rPr>
        <w:t>69.</w:t>
      </w:r>
      <w:r w:rsidRPr="0007779F">
        <w:rPr>
          <w:lang w:eastAsia="fr-FR"/>
        </w:rPr>
        <w:tab/>
        <w:t xml:space="preserve">Le </w:t>
      </w:r>
      <w:r w:rsidRPr="00BE0DD2">
        <w:rPr>
          <w:lang w:eastAsia="fr-FR"/>
        </w:rPr>
        <w:t xml:space="preserve">Règlement ONU </w:t>
      </w:r>
      <w:r w:rsidR="00963304" w:rsidRPr="00963304">
        <w:rPr>
          <w:rFonts w:eastAsia="MS Mincho"/>
          <w:lang w:eastAsia="fr-FR"/>
        </w:rPr>
        <w:t>n</w:t>
      </w:r>
      <w:r w:rsidR="00963304" w:rsidRPr="00963304">
        <w:rPr>
          <w:rFonts w:eastAsia="MS Mincho"/>
          <w:vertAlign w:val="superscript"/>
          <w:lang w:eastAsia="fr-FR"/>
        </w:rPr>
        <w:t>o</w:t>
      </w:r>
      <w:r w:rsidR="00963304">
        <w:rPr>
          <w:lang w:eastAsia="fr-FR"/>
        </w:rPr>
        <w:t> </w:t>
      </w:r>
      <w:r w:rsidRPr="0007779F">
        <w:rPr>
          <w:lang w:eastAsia="fr-FR"/>
        </w:rPr>
        <w:t xml:space="preserve">152 sur les </w:t>
      </w:r>
      <w:r>
        <w:rPr>
          <w:lang w:eastAsia="fr-FR"/>
        </w:rPr>
        <w:t>s</w:t>
      </w:r>
      <w:r w:rsidRPr="0007779F">
        <w:rPr>
          <w:lang w:eastAsia="fr-FR"/>
        </w:rPr>
        <w:t>ystèmes avancés de freinage d</w:t>
      </w:r>
      <w:r w:rsidR="00616FE4">
        <w:rPr>
          <w:lang w:eastAsia="fr-FR"/>
        </w:rPr>
        <w:t>’</w:t>
      </w:r>
      <w:r w:rsidRPr="0007779F">
        <w:rPr>
          <w:lang w:eastAsia="fr-FR"/>
        </w:rPr>
        <w:t>urgence des véhicules des catégories M</w:t>
      </w:r>
      <w:r w:rsidRPr="0007779F">
        <w:rPr>
          <w:vertAlign w:val="subscript"/>
          <w:lang w:eastAsia="fr-FR"/>
        </w:rPr>
        <w:t>1</w:t>
      </w:r>
      <w:r w:rsidRPr="0007779F">
        <w:rPr>
          <w:lang w:eastAsia="fr-FR"/>
        </w:rPr>
        <w:t xml:space="preserve"> </w:t>
      </w:r>
      <w:r>
        <w:rPr>
          <w:lang w:eastAsia="fr-FR"/>
        </w:rPr>
        <w:t xml:space="preserve">(voitures) </w:t>
      </w:r>
      <w:r w:rsidRPr="0007779F">
        <w:rPr>
          <w:lang w:eastAsia="fr-FR"/>
        </w:rPr>
        <w:t>et N</w:t>
      </w:r>
      <w:r w:rsidRPr="001652FE">
        <w:rPr>
          <w:vertAlign w:val="subscript"/>
          <w:lang w:eastAsia="fr-FR"/>
        </w:rPr>
        <w:t>1</w:t>
      </w:r>
      <w:r>
        <w:rPr>
          <w:lang w:eastAsia="fr-FR"/>
        </w:rPr>
        <w:t xml:space="preserve"> (fourgons) a été adopté à la session de juin 2019 du </w:t>
      </w:r>
      <w:r w:rsidRPr="0007779F">
        <w:rPr>
          <w:lang w:eastAsia="fr-FR"/>
        </w:rPr>
        <w:t>WP.29 et devait entrer en vigueur vers le 23 janvier 2020.</w:t>
      </w:r>
    </w:p>
    <w:p w14:paraId="2F8E2A85" w14:textId="77777777" w:rsidR="001E6D3C" w:rsidRPr="00AC2D52" w:rsidRDefault="001E6D3C" w:rsidP="00615B2B">
      <w:pPr>
        <w:pStyle w:val="SingleTxtG"/>
        <w:rPr>
          <w:lang w:eastAsia="fr-FR"/>
        </w:rPr>
      </w:pPr>
      <w:r w:rsidRPr="0007779F">
        <w:rPr>
          <w:lang w:eastAsia="fr-FR"/>
        </w:rPr>
        <w:t>70.</w:t>
      </w:r>
      <w:r w:rsidRPr="0007779F">
        <w:rPr>
          <w:lang w:eastAsia="fr-FR"/>
        </w:rPr>
        <w:tab/>
        <w:t>Le WP.29 a ac</w:t>
      </w:r>
      <w:r>
        <w:rPr>
          <w:lang w:eastAsia="fr-FR"/>
        </w:rPr>
        <w:t>t</w:t>
      </w:r>
      <w:r w:rsidRPr="0007779F">
        <w:rPr>
          <w:lang w:eastAsia="fr-FR"/>
        </w:rPr>
        <w:t>ualisé les Règlements de l</w:t>
      </w:r>
      <w:r w:rsidR="00616FE4">
        <w:rPr>
          <w:lang w:eastAsia="fr-FR"/>
        </w:rPr>
        <w:t>’</w:t>
      </w:r>
      <w:r w:rsidRPr="0007779F">
        <w:rPr>
          <w:lang w:eastAsia="fr-FR"/>
        </w:rPr>
        <w:t xml:space="preserve">ONU </w:t>
      </w:r>
      <w:r>
        <w:rPr>
          <w:lang w:eastAsia="fr-FR"/>
        </w:rPr>
        <w:t xml:space="preserve">au moyen de </w:t>
      </w:r>
      <w:r w:rsidRPr="0007779F">
        <w:rPr>
          <w:lang w:eastAsia="fr-FR"/>
        </w:rPr>
        <w:t>139 amendements</w:t>
      </w:r>
      <w:r>
        <w:rPr>
          <w:lang w:eastAsia="fr-FR"/>
        </w:rPr>
        <w:t xml:space="preserve"> pour adapter ces règlements aux plus récentes innovations techniques et introduire des limites plus sévères afin d</w:t>
      </w:r>
      <w:r w:rsidR="00616FE4">
        <w:rPr>
          <w:lang w:eastAsia="fr-FR"/>
        </w:rPr>
        <w:t>’</w:t>
      </w:r>
      <w:r>
        <w:rPr>
          <w:lang w:eastAsia="fr-FR"/>
        </w:rPr>
        <w:t>améliorer à la fois la sécurité et</w:t>
      </w:r>
      <w:r w:rsidRPr="001652FE">
        <w:rPr>
          <w:rFonts w:eastAsia="Times New Roman"/>
          <w:lang w:eastAsia="fr-FR"/>
        </w:rPr>
        <w:t xml:space="preserve"> </w:t>
      </w:r>
      <w:r w:rsidRPr="001652FE">
        <w:rPr>
          <w:lang w:eastAsia="fr-FR"/>
        </w:rPr>
        <w:t>le bilan environnemental des véhicules</w:t>
      </w:r>
      <w:r>
        <w:rPr>
          <w:lang w:eastAsia="fr-FR"/>
        </w:rPr>
        <w:t>.</w:t>
      </w:r>
      <w:r w:rsidRPr="0007779F">
        <w:rPr>
          <w:lang w:eastAsia="fr-FR"/>
        </w:rPr>
        <w:t xml:space="preserve"> </w:t>
      </w:r>
    </w:p>
    <w:p w14:paraId="7C020E20" w14:textId="77777777" w:rsidR="001E6D3C" w:rsidRPr="00737B57" w:rsidRDefault="001E6D3C" w:rsidP="00615B2B">
      <w:pPr>
        <w:pStyle w:val="SingleTxtG"/>
        <w:rPr>
          <w:lang w:eastAsia="fr-FR"/>
        </w:rPr>
      </w:pPr>
      <w:r w:rsidRPr="001652FE">
        <w:rPr>
          <w:bCs/>
          <w:lang w:eastAsia="fr-FR"/>
        </w:rPr>
        <w:t>71.</w:t>
      </w:r>
      <w:r w:rsidRPr="001652FE">
        <w:rPr>
          <w:bCs/>
          <w:lang w:eastAsia="fr-FR"/>
        </w:rPr>
        <w:tab/>
        <w:t>Le</w:t>
      </w:r>
      <w:r w:rsidRPr="001652FE">
        <w:rPr>
          <w:lang w:eastAsia="fr-FR"/>
        </w:rPr>
        <w:t xml:space="preserve"> 13 novembre 2019 est entré </w:t>
      </w:r>
      <w:r>
        <w:rPr>
          <w:lang w:eastAsia="fr-FR"/>
        </w:rPr>
        <w:t>e</w:t>
      </w:r>
      <w:r w:rsidRPr="001652FE">
        <w:rPr>
          <w:lang w:eastAsia="fr-FR"/>
        </w:rPr>
        <w:t>n vigueur l</w:t>
      </w:r>
      <w:r w:rsidR="00616FE4">
        <w:rPr>
          <w:lang w:eastAsia="fr-FR"/>
        </w:rPr>
        <w:t>’</w:t>
      </w:r>
      <w:r w:rsidRPr="001652FE">
        <w:rPr>
          <w:lang w:eastAsia="fr-FR"/>
        </w:rPr>
        <w:t>amendement propos</w:t>
      </w:r>
      <w:r>
        <w:rPr>
          <w:lang w:eastAsia="fr-FR"/>
        </w:rPr>
        <w:t>é</w:t>
      </w:r>
      <w:r w:rsidRPr="001652FE">
        <w:rPr>
          <w:lang w:eastAsia="fr-FR"/>
        </w:rPr>
        <w:t xml:space="preserve"> à</w:t>
      </w:r>
      <w:r>
        <w:rPr>
          <w:lang w:eastAsia="fr-FR"/>
        </w:rPr>
        <w:t xml:space="preserve"> l</w:t>
      </w:r>
      <w:r w:rsidR="00616FE4">
        <w:rPr>
          <w:lang w:eastAsia="fr-FR"/>
        </w:rPr>
        <w:t>’</w:t>
      </w:r>
      <w:r>
        <w:rPr>
          <w:lang w:eastAsia="fr-FR"/>
        </w:rPr>
        <w:t xml:space="preserve">Accord de 1997 pour introduire de nouvelles définitions, la </w:t>
      </w:r>
      <w:r w:rsidRPr="001652FE">
        <w:rPr>
          <w:lang w:eastAsia="fr-FR"/>
        </w:rPr>
        <w:t>possibilité</w:t>
      </w:r>
      <w:r w:rsidRPr="001652FE">
        <w:t xml:space="preserve"> de </w:t>
      </w:r>
      <w:r>
        <w:t xml:space="preserve">recourir à des </w:t>
      </w:r>
      <w:r w:rsidRPr="001652FE">
        <w:rPr>
          <w:lang w:eastAsia="fr-FR"/>
        </w:rPr>
        <w:t>certificats d</w:t>
      </w:r>
      <w:r w:rsidR="00616FE4">
        <w:rPr>
          <w:lang w:eastAsia="fr-FR"/>
        </w:rPr>
        <w:t>’</w:t>
      </w:r>
      <w:r w:rsidRPr="001652FE">
        <w:rPr>
          <w:lang w:eastAsia="fr-FR"/>
        </w:rPr>
        <w:t>inspection internationaux électroniques et des dispositions sur la conformité des contrôles techniques périodiques</w:t>
      </w:r>
      <w:r>
        <w:rPr>
          <w:lang w:eastAsia="fr-FR"/>
        </w:rPr>
        <w:t xml:space="preserve">. </w:t>
      </w:r>
      <w:r w:rsidRPr="00737B57">
        <w:rPr>
          <w:lang w:eastAsia="fr-FR"/>
        </w:rPr>
        <w:t>Cet amendement permet non seulement de préciser les dispositions en y ajoutant de nouvelles définitions, mais aussi d</w:t>
      </w:r>
      <w:r w:rsidR="00616FE4">
        <w:rPr>
          <w:lang w:eastAsia="fr-FR"/>
        </w:rPr>
        <w:t>’</w:t>
      </w:r>
      <w:r w:rsidRPr="00737B57">
        <w:rPr>
          <w:lang w:eastAsia="fr-FR"/>
        </w:rPr>
        <w:t>offrir un niveau de qualité amélioré sur la base des prescriptions du nouvel appendice 3 concernant la conformité de la procédure du contrôle technique périodique.</w:t>
      </w:r>
    </w:p>
    <w:p w14:paraId="75E4CB59" w14:textId="77777777" w:rsidR="001E6D3C" w:rsidRPr="00D5127D" w:rsidRDefault="001E6D3C" w:rsidP="00615B2B">
      <w:pPr>
        <w:pStyle w:val="SingleTxtG"/>
        <w:rPr>
          <w:lang w:eastAsia="fr-FR"/>
        </w:rPr>
      </w:pPr>
      <w:r w:rsidRPr="00D5127D">
        <w:rPr>
          <w:lang w:eastAsia="fr-FR"/>
        </w:rPr>
        <w:t>72.</w:t>
      </w:r>
      <w:r w:rsidRPr="00D5127D">
        <w:rPr>
          <w:lang w:eastAsia="fr-FR"/>
        </w:rPr>
        <w:tab/>
        <w:t xml:space="preserve">Deux nouvelles </w:t>
      </w:r>
      <w:r>
        <w:rPr>
          <w:lang w:eastAsia="fr-FR"/>
        </w:rPr>
        <w:t>R</w:t>
      </w:r>
      <w:r w:rsidRPr="00D5127D">
        <w:rPr>
          <w:lang w:eastAsia="fr-FR"/>
        </w:rPr>
        <w:t>ègles de l</w:t>
      </w:r>
      <w:r w:rsidR="00616FE4">
        <w:rPr>
          <w:lang w:eastAsia="fr-FR"/>
        </w:rPr>
        <w:t>’</w:t>
      </w:r>
      <w:r w:rsidRPr="00D5127D">
        <w:rPr>
          <w:lang w:eastAsia="fr-FR"/>
        </w:rPr>
        <w:t>ONU annexées à l</w:t>
      </w:r>
      <w:r w:rsidR="00616FE4">
        <w:rPr>
          <w:lang w:eastAsia="fr-FR"/>
        </w:rPr>
        <w:t>’</w:t>
      </w:r>
      <w:r w:rsidRPr="00D5127D">
        <w:rPr>
          <w:lang w:eastAsia="fr-FR"/>
        </w:rPr>
        <w:t>Accord de 1997 sont entrées en vigueur le 10 juin 2019.</w:t>
      </w:r>
    </w:p>
    <w:p w14:paraId="6559FA8F" w14:textId="77777777" w:rsidR="001E6D3C" w:rsidRPr="00711529" w:rsidRDefault="00615B2B" w:rsidP="00615B2B">
      <w:pPr>
        <w:pStyle w:val="SingleTxtG"/>
        <w:rPr>
          <w:lang w:eastAsia="fr-FR"/>
        </w:rPr>
      </w:pPr>
      <w:r>
        <w:rPr>
          <w:lang w:eastAsia="fr-FR"/>
        </w:rPr>
        <w:tab/>
      </w:r>
      <w:r w:rsidR="001E6D3C" w:rsidRPr="00711529">
        <w:rPr>
          <w:lang w:eastAsia="fr-FR"/>
        </w:rPr>
        <w:t>a)</w:t>
      </w:r>
      <w:r w:rsidR="001E6D3C" w:rsidRPr="00711529">
        <w:rPr>
          <w:lang w:eastAsia="fr-FR"/>
        </w:rPr>
        <w:tab/>
        <w:t xml:space="preserve">La Règle ONU </w:t>
      </w:r>
      <w:r w:rsidR="00EE14DC" w:rsidRPr="00EE14DC">
        <w:rPr>
          <w:rFonts w:eastAsia="MS Mincho"/>
          <w:lang w:eastAsia="fr-FR"/>
        </w:rPr>
        <w:t>n</w:t>
      </w:r>
      <w:r w:rsidR="00EE14DC" w:rsidRPr="00EE14DC">
        <w:rPr>
          <w:rFonts w:eastAsia="MS Mincho"/>
          <w:vertAlign w:val="superscript"/>
          <w:lang w:eastAsia="fr-FR"/>
        </w:rPr>
        <w:t>o</w:t>
      </w:r>
      <w:r w:rsidR="00EE14DC">
        <w:rPr>
          <w:lang w:eastAsia="fr-FR"/>
        </w:rPr>
        <w:t> </w:t>
      </w:r>
      <w:r w:rsidR="001E6D3C" w:rsidRPr="00711529">
        <w:rPr>
          <w:lang w:eastAsia="fr-FR"/>
        </w:rPr>
        <w:t xml:space="preserve">3 énonce des dispositions uniformes pour le contrôle technique périodique des véhicules automobiles utilisant du gaz naturel comprimé (GNC), du gaz de pétrole liquéfié (GPL) et/ou du gaz naturel liquéfié (GNL) dans leur système de propulsion </w:t>
      </w:r>
      <w:r w:rsidR="001E6D3C">
        <w:rPr>
          <w:lang w:eastAsia="fr-FR"/>
        </w:rPr>
        <w:t xml:space="preserve">en ce qui concerne </w:t>
      </w:r>
      <w:r w:rsidR="001E6D3C" w:rsidRPr="00711529">
        <w:rPr>
          <w:lang w:eastAsia="fr-FR"/>
        </w:rPr>
        <w:t xml:space="preserve">leur aptitude à la circulation. </w:t>
      </w:r>
    </w:p>
    <w:p w14:paraId="47EE2913" w14:textId="77777777" w:rsidR="001E6D3C" w:rsidRPr="00711529" w:rsidRDefault="00615B2B" w:rsidP="00615B2B">
      <w:pPr>
        <w:pStyle w:val="SingleTxtG"/>
        <w:rPr>
          <w:bCs/>
          <w:lang w:eastAsia="fr-FR"/>
        </w:rPr>
      </w:pPr>
      <w:r>
        <w:rPr>
          <w:lang w:eastAsia="fr-FR"/>
        </w:rPr>
        <w:tab/>
      </w:r>
      <w:r w:rsidR="001E6D3C" w:rsidRPr="00711529">
        <w:rPr>
          <w:lang w:eastAsia="fr-FR"/>
        </w:rPr>
        <w:t>b)</w:t>
      </w:r>
      <w:r w:rsidR="001E6D3C" w:rsidRPr="00711529">
        <w:rPr>
          <w:lang w:eastAsia="fr-FR"/>
        </w:rPr>
        <w:tab/>
        <w:t xml:space="preserve">La Règle ONU </w:t>
      </w:r>
      <w:r w:rsidR="00EE14DC" w:rsidRPr="00EE14DC">
        <w:rPr>
          <w:rFonts w:eastAsia="MS Mincho"/>
          <w:lang w:eastAsia="fr-FR"/>
        </w:rPr>
        <w:t>n</w:t>
      </w:r>
      <w:r w:rsidR="00EE14DC" w:rsidRPr="00EE14DC">
        <w:rPr>
          <w:rFonts w:eastAsia="MS Mincho"/>
          <w:vertAlign w:val="superscript"/>
          <w:lang w:eastAsia="fr-FR"/>
        </w:rPr>
        <w:t>o</w:t>
      </w:r>
      <w:r w:rsidR="00EE14DC">
        <w:rPr>
          <w:lang w:eastAsia="fr-FR"/>
        </w:rPr>
        <w:t> </w:t>
      </w:r>
      <w:r w:rsidR="001E6D3C" w:rsidRPr="00711529">
        <w:rPr>
          <w:lang w:eastAsia="fr-FR"/>
        </w:rPr>
        <w:t xml:space="preserve">4 établit des dispositions uniformes pour le contrôle technique périodique des véhicules à moteur à propulsion électrique et hybride-électrique </w:t>
      </w:r>
      <w:r w:rsidR="001E6D3C" w:rsidRPr="00B7332A">
        <w:rPr>
          <w:lang w:eastAsia="fr-FR"/>
        </w:rPr>
        <w:t xml:space="preserve">en ce qui concerne </w:t>
      </w:r>
      <w:r w:rsidR="001E6D3C" w:rsidRPr="00711529">
        <w:rPr>
          <w:lang w:eastAsia="fr-FR"/>
        </w:rPr>
        <w:t xml:space="preserve">leur aptitude à la circulation. </w:t>
      </w:r>
    </w:p>
    <w:p w14:paraId="16AA91AD" w14:textId="77777777" w:rsidR="001E6D3C" w:rsidRDefault="001E6D3C" w:rsidP="00615B2B">
      <w:pPr>
        <w:pStyle w:val="SingleTxtG"/>
        <w:rPr>
          <w:bCs/>
          <w:lang w:eastAsia="fr-FR"/>
        </w:rPr>
      </w:pPr>
      <w:r w:rsidRPr="00711529">
        <w:rPr>
          <w:lang w:eastAsia="fr-FR"/>
        </w:rPr>
        <w:t>73.</w:t>
      </w:r>
      <w:r w:rsidRPr="00711529">
        <w:rPr>
          <w:lang w:eastAsia="fr-FR"/>
        </w:rPr>
        <w:tab/>
        <w:t>Pour tenir compte de l</w:t>
      </w:r>
      <w:r w:rsidR="00616FE4">
        <w:rPr>
          <w:lang w:eastAsia="fr-FR"/>
        </w:rPr>
        <w:t>’</w:t>
      </w:r>
      <w:r w:rsidRPr="00711529">
        <w:rPr>
          <w:lang w:eastAsia="fr-FR"/>
        </w:rPr>
        <w:t>importance de l</w:t>
      </w:r>
      <w:r w:rsidR="00616FE4">
        <w:rPr>
          <w:lang w:eastAsia="fr-FR"/>
        </w:rPr>
        <w:t>’</w:t>
      </w:r>
      <w:r w:rsidRPr="00711529">
        <w:rPr>
          <w:lang w:eastAsia="fr-FR"/>
        </w:rPr>
        <w:t>automatisation des véhicules</w:t>
      </w:r>
      <w:r>
        <w:rPr>
          <w:lang w:eastAsia="fr-FR"/>
        </w:rPr>
        <w:t>, le Groupe de travail des</w:t>
      </w:r>
      <w:r w:rsidRPr="00711529">
        <w:rPr>
          <w:lang w:eastAsia="fr-FR"/>
        </w:rPr>
        <w:t xml:space="preserve"> véhicules automatisés/autonomes et connectés </w:t>
      </w:r>
      <w:r>
        <w:rPr>
          <w:lang w:eastAsia="fr-FR"/>
        </w:rPr>
        <w:t xml:space="preserve">(GRVA) a été créé lors de la restructuration du WP.29. </w:t>
      </w:r>
      <w:r w:rsidRPr="00711529">
        <w:rPr>
          <w:lang w:eastAsia="fr-FR"/>
        </w:rPr>
        <w:t xml:space="preserve">Son document-cadre (ECE/TRANS/WP.29/2019/34/Rev.1) porte sur </w:t>
      </w:r>
      <w:r w:rsidRPr="00711529">
        <w:rPr>
          <w:bCs/>
          <w:lang w:eastAsia="fr-FR"/>
        </w:rPr>
        <w:t>la sûreté et la sécurité</w:t>
      </w:r>
      <w:r>
        <w:rPr>
          <w:bCs/>
          <w:lang w:eastAsia="fr-FR"/>
        </w:rPr>
        <w:t xml:space="preserve"> des véhicules automatisés des niveaux 3 et supérieurs selon l</w:t>
      </w:r>
      <w:r w:rsidRPr="00583ABF">
        <w:rPr>
          <w:bCs/>
          <w:lang w:eastAsia="fr-FR"/>
        </w:rPr>
        <w:t xml:space="preserve">a Société des ingénieurs automobiles (Society of Automotive Engineers </w:t>
      </w:r>
      <w:r w:rsidR="00EE14DC">
        <w:rPr>
          <w:bCs/>
          <w:lang w:eastAsia="fr-FR"/>
        </w:rPr>
        <w:t>−</w:t>
      </w:r>
      <w:r w:rsidRPr="00583ABF">
        <w:rPr>
          <w:bCs/>
          <w:lang w:eastAsia="fr-FR"/>
        </w:rPr>
        <w:t xml:space="preserve"> SAE)</w:t>
      </w:r>
      <w:r>
        <w:rPr>
          <w:bCs/>
          <w:lang w:eastAsia="fr-FR"/>
        </w:rPr>
        <w:t>. Il établit une liste des éléments qui en font partie, tels que s</w:t>
      </w:r>
      <w:r w:rsidRPr="00E24D16">
        <w:rPr>
          <w:bCs/>
          <w:lang w:eastAsia="fr-FR"/>
        </w:rPr>
        <w:t>écurité du système</w:t>
      </w:r>
      <w:r>
        <w:rPr>
          <w:bCs/>
          <w:lang w:eastAsia="fr-FR"/>
        </w:rPr>
        <w:t>, r</w:t>
      </w:r>
      <w:r w:rsidRPr="00E24D16">
        <w:rPr>
          <w:bCs/>
          <w:lang w:eastAsia="fr-FR"/>
        </w:rPr>
        <w:t>éactivité en situation d</w:t>
      </w:r>
      <w:r w:rsidR="00616FE4">
        <w:rPr>
          <w:bCs/>
          <w:lang w:eastAsia="fr-FR"/>
        </w:rPr>
        <w:t>’</w:t>
      </w:r>
      <w:r w:rsidRPr="00E24D16">
        <w:rPr>
          <w:bCs/>
          <w:lang w:eastAsia="fr-FR"/>
        </w:rPr>
        <w:t>urgence</w:t>
      </w:r>
      <w:r>
        <w:rPr>
          <w:bCs/>
          <w:lang w:eastAsia="fr-FR"/>
        </w:rPr>
        <w:t>, f</w:t>
      </w:r>
      <w:r w:rsidRPr="00E24D16">
        <w:rPr>
          <w:bCs/>
          <w:lang w:eastAsia="fr-FR"/>
        </w:rPr>
        <w:t>onction de détection d</w:t>
      </w:r>
      <w:r w:rsidR="00616FE4">
        <w:rPr>
          <w:bCs/>
          <w:lang w:eastAsia="fr-FR"/>
        </w:rPr>
        <w:t>’</w:t>
      </w:r>
      <w:r w:rsidRPr="00E24D16">
        <w:rPr>
          <w:bCs/>
          <w:lang w:eastAsia="fr-FR"/>
        </w:rPr>
        <w:t>objets et d</w:t>
      </w:r>
      <w:r w:rsidR="00616FE4">
        <w:rPr>
          <w:bCs/>
          <w:lang w:eastAsia="fr-FR"/>
        </w:rPr>
        <w:t>’</w:t>
      </w:r>
      <w:r w:rsidRPr="00E24D16">
        <w:rPr>
          <w:bCs/>
          <w:lang w:eastAsia="fr-FR"/>
        </w:rPr>
        <w:t>événements et de réaction</w:t>
      </w:r>
      <w:r>
        <w:rPr>
          <w:bCs/>
          <w:lang w:eastAsia="fr-FR"/>
        </w:rPr>
        <w:t>,</w:t>
      </w:r>
      <w:r w:rsidRPr="00E24D16">
        <w:rPr>
          <w:rFonts w:ascii="Segoe UI" w:hAnsi="Segoe UI" w:cs="Segoe UI"/>
        </w:rPr>
        <w:t xml:space="preserve"> </w:t>
      </w:r>
      <w:r w:rsidRPr="00E24D16">
        <w:rPr>
          <w:bCs/>
          <w:lang w:eastAsia="fr-FR"/>
        </w:rPr>
        <w:t>domaine fonctionnel</w:t>
      </w:r>
      <w:r>
        <w:rPr>
          <w:bCs/>
          <w:lang w:eastAsia="fr-FR"/>
        </w:rPr>
        <w:t>, c</w:t>
      </w:r>
      <w:r w:rsidRPr="00E24D16">
        <w:rPr>
          <w:bCs/>
          <w:lang w:eastAsia="fr-FR"/>
        </w:rPr>
        <w:t>yber sécurité</w:t>
      </w:r>
      <w:r>
        <w:rPr>
          <w:bCs/>
          <w:lang w:eastAsia="fr-FR"/>
        </w:rPr>
        <w:t>, m</w:t>
      </w:r>
      <w:r w:rsidRPr="00E24D16">
        <w:rPr>
          <w:bCs/>
          <w:lang w:eastAsia="fr-FR"/>
        </w:rPr>
        <w:t xml:space="preserve">ises à jour de logiciels </w:t>
      </w:r>
      <w:r w:rsidRPr="00E24D16">
        <w:t xml:space="preserve">ou </w:t>
      </w:r>
      <w:r w:rsidRPr="00E24D16">
        <w:rPr>
          <w:bCs/>
          <w:lang w:eastAsia="fr-FR"/>
        </w:rPr>
        <w:t>systèmes de stockage des données</w:t>
      </w:r>
      <w:r>
        <w:rPr>
          <w:bCs/>
          <w:lang w:eastAsia="fr-FR"/>
        </w:rPr>
        <w:t>. Il vise</w:t>
      </w:r>
      <w:r w:rsidRPr="00E24D16">
        <w:rPr>
          <w:bCs/>
          <w:lang w:eastAsia="fr-FR"/>
        </w:rPr>
        <w:t xml:space="preserve"> à l</w:t>
      </w:r>
      <w:r w:rsidR="00616FE4">
        <w:rPr>
          <w:bCs/>
          <w:lang w:eastAsia="fr-FR"/>
        </w:rPr>
        <w:t>’</w:t>
      </w:r>
      <w:r w:rsidRPr="00E24D16">
        <w:rPr>
          <w:bCs/>
          <w:lang w:eastAsia="fr-FR"/>
        </w:rPr>
        <w:t xml:space="preserve">efficacité et </w:t>
      </w:r>
      <w:r>
        <w:rPr>
          <w:bCs/>
          <w:lang w:eastAsia="fr-FR"/>
        </w:rPr>
        <w:t xml:space="preserve">à la </w:t>
      </w:r>
      <w:r w:rsidRPr="00E24D16">
        <w:rPr>
          <w:bCs/>
          <w:lang w:eastAsia="fr-FR"/>
        </w:rPr>
        <w:t>neutr</w:t>
      </w:r>
      <w:r>
        <w:rPr>
          <w:bCs/>
          <w:lang w:eastAsia="fr-FR"/>
        </w:rPr>
        <w:t xml:space="preserve">alité </w:t>
      </w:r>
      <w:r w:rsidRPr="00E24D16">
        <w:rPr>
          <w:bCs/>
          <w:lang w:eastAsia="fr-FR"/>
        </w:rPr>
        <w:t>technique</w:t>
      </w:r>
      <w:r>
        <w:rPr>
          <w:bCs/>
          <w:lang w:eastAsia="fr-FR"/>
        </w:rPr>
        <w:t xml:space="preserve"> des dispositions, qui reposent sur des </w:t>
      </w:r>
      <w:r w:rsidRPr="00E24D16">
        <w:rPr>
          <w:bCs/>
          <w:lang w:eastAsia="fr-FR"/>
        </w:rPr>
        <w:t>technologies de pointe</w:t>
      </w:r>
      <w:r>
        <w:rPr>
          <w:bCs/>
          <w:lang w:eastAsia="fr-FR"/>
        </w:rPr>
        <w:t xml:space="preserve"> sans exclure les innovations futures. Il a aussi déterminé des priorités et établi un plan de travail. Ces dispositions techniques devraient être élaborées de </w:t>
      </w:r>
      <w:r>
        <w:rPr>
          <w:bCs/>
          <w:lang w:eastAsia="fr-FR"/>
        </w:rPr>
        <w:lastRenderedPageBreak/>
        <w:t>manière neutre par rapport aux a</w:t>
      </w:r>
      <w:r w:rsidRPr="00027A3C">
        <w:rPr>
          <w:bCs/>
          <w:lang w:eastAsia="fr-FR"/>
        </w:rPr>
        <w:t>ccord</w:t>
      </w:r>
      <w:r>
        <w:rPr>
          <w:bCs/>
          <w:lang w:eastAsia="fr-FR"/>
        </w:rPr>
        <w:t>s et donc fournir les bases pour l</w:t>
      </w:r>
      <w:r w:rsidR="00616FE4">
        <w:rPr>
          <w:bCs/>
          <w:lang w:eastAsia="fr-FR"/>
        </w:rPr>
        <w:t>’</w:t>
      </w:r>
      <w:r>
        <w:rPr>
          <w:bCs/>
          <w:lang w:eastAsia="fr-FR"/>
        </w:rPr>
        <w:t>adoption de règlements ou même de lignes directrices au titre des trois accords assistés par le WP.29.   </w:t>
      </w:r>
    </w:p>
    <w:p w14:paraId="28A3502C" w14:textId="77777777" w:rsidR="001E6D3C" w:rsidRPr="00583ABF" w:rsidRDefault="001E6D3C" w:rsidP="00615B2B">
      <w:pPr>
        <w:pStyle w:val="SingleTxtG"/>
        <w:rPr>
          <w:lang w:eastAsia="fr-FR"/>
        </w:rPr>
      </w:pPr>
      <w:r w:rsidRPr="00583ABF">
        <w:rPr>
          <w:lang w:eastAsia="fr-FR"/>
        </w:rPr>
        <w:t>74.</w:t>
      </w:r>
      <w:r w:rsidRPr="00583ABF">
        <w:rPr>
          <w:lang w:eastAsia="fr-FR"/>
        </w:rPr>
        <w:tab/>
        <w:t>Afin de mettre en œuvre le document cadre, le GRVA a mis sur pied quatre nouveaux groupe</w:t>
      </w:r>
      <w:r w:rsidR="00EE14DC">
        <w:rPr>
          <w:lang w:eastAsia="fr-FR"/>
        </w:rPr>
        <w:t>s</w:t>
      </w:r>
      <w:r w:rsidRPr="00583ABF">
        <w:rPr>
          <w:lang w:eastAsia="fr-FR"/>
        </w:rPr>
        <w:t xml:space="preserve"> de travail informels, </w:t>
      </w:r>
      <w:r>
        <w:rPr>
          <w:lang w:eastAsia="fr-FR"/>
        </w:rPr>
        <w:t xml:space="preserve">qui </w:t>
      </w:r>
      <w:r w:rsidRPr="00583ABF">
        <w:rPr>
          <w:lang w:eastAsia="fr-FR"/>
        </w:rPr>
        <w:t>rend</w:t>
      </w:r>
      <w:r>
        <w:rPr>
          <w:lang w:eastAsia="fr-FR"/>
        </w:rPr>
        <w:t xml:space="preserve">ent des </w:t>
      </w:r>
      <w:r w:rsidRPr="00583ABF">
        <w:rPr>
          <w:lang w:eastAsia="fr-FR"/>
        </w:rPr>
        <w:t>compte</w:t>
      </w:r>
      <w:r>
        <w:rPr>
          <w:lang w:eastAsia="fr-FR"/>
        </w:rPr>
        <w:t>s</w:t>
      </w:r>
      <w:r w:rsidRPr="00583ABF">
        <w:rPr>
          <w:lang w:eastAsia="fr-FR"/>
        </w:rPr>
        <w:t xml:space="preserve"> au GRVA </w:t>
      </w:r>
      <w:r>
        <w:rPr>
          <w:lang w:eastAsia="fr-FR"/>
        </w:rPr>
        <w:t>mais sans être toutefois assistés par le s</w:t>
      </w:r>
      <w:r w:rsidRPr="00583ABF">
        <w:rPr>
          <w:lang w:eastAsia="fr-FR"/>
        </w:rPr>
        <w:t>ecrétariat</w:t>
      </w:r>
      <w:r w:rsidR="00EE14DC">
        <w:rPr>
          <w:lang w:eastAsia="fr-FR"/>
        </w:rPr>
        <w:t> </w:t>
      </w:r>
      <w:r w:rsidRPr="00583ABF">
        <w:rPr>
          <w:lang w:eastAsia="fr-FR"/>
        </w:rPr>
        <w:t>:</w:t>
      </w:r>
    </w:p>
    <w:p w14:paraId="1C4775EA" w14:textId="77777777" w:rsidR="001E6D3C" w:rsidRPr="001D18E8" w:rsidRDefault="00615B2B" w:rsidP="00615B2B">
      <w:pPr>
        <w:pStyle w:val="SingleTxtG"/>
        <w:rPr>
          <w:lang w:eastAsia="fr-FR"/>
        </w:rPr>
      </w:pPr>
      <w:r>
        <w:rPr>
          <w:lang w:eastAsia="fr-FR"/>
        </w:rPr>
        <w:tab/>
      </w:r>
      <w:r w:rsidR="001E6D3C" w:rsidRPr="001D18E8">
        <w:rPr>
          <w:lang w:eastAsia="fr-FR"/>
        </w:rPr>
        <w:t>a)</w:t>
      </w:r>
      <w:r w:rsidR="001E6D3C" w:rsidRPr="001D18E8">
        <w:rPr>
          <w:lang w:eastAsia="fr-FR"/>
        </w:rPr>
        <w:tab/>
        <w:t>Prescriptions fonctionnelles applicables aux véhicules automatisés</w:t>
      </w:r>
      <w:r w:rsidR="00EE14DC">
        <w:rPr>
          <w:lang w:eastAsia="fr-FR"/>
        </w:rPr>
        <w:t> </w:t>
      </w:r>
      <w:r w:rsidR="001E6D3C" w:rsidRPr="001D18E8">
        <w:rPr>
          <w:lang w:eastAsia="fr-FR"/>
        </w:rPr>
        <w:t>;</w:t>
      </w:r>
    </w:p>
    <w:p w14:paraId="7C8341E2" w14:textId="77777777" w:rsidR="001E6D3C" w:rsidRPr="001D18E8" w:rsidRDefault="00615B2B" w:rsidP="00615B2B">
      <w:pPr>
        <w:pStyle w:val="SingleTxtG"/>
        <w:rPr>
          <w:lang w:eastAsia="fr-FR"/>
        </w:rPr>
      </w:pPr>
      <w:r>
        <w:rPr>
          <w:lang w:eastAsia="fr-FR"/>
        </w:rPr>
        <w:tab/>
      </w:r>
      <w:r w:rsidR="001E6D3C" w:rsidRPr="001D18E8">
        <w:rPr>
          <w:lang w:eastAsia="fr-FR"/>
        </w:rPr>
        <w:t>b)</w:t>
      </w:r>
      <w:r w:rsidR="001E6D3C" w:rsidRPr="001D18E8">
        <w:rPr>
          <w:lang w:eastAsia="fr-FR"/>
        </w:rPr>
        <w:tab/>
      </w:r>
      <w:r w:rsidR="001E6D3C">
        <w:rPr>
          <w:lang w:eastAsia="fr-FR"/>
        </w:rPr>
        <w:t>Méthodes de v</w:t>
      </w:r>
      <w:r w:rsidR="001E6D3C" w:rsidRPr="001D18E8">
        <w:rPr>
          <w:lang w:eastAsia="fr-FR"/>
        </w:rPr>
        <w:t xml:space="preserve">alidation </w:t>
      </w:r>
      <w:r w:rsidR="001E6D3C">
        <w:rPr>
          <w:lang w:eastAsia="fr-FR"/>
        </w:rPr>
        <w:t xml:space="preserve">des </w:t>
      </w:r>
      <w:r w:rsidR="001E6D3C" w:rsidRPr="001D18E8">
        <w:rPr>
          <w:lang w:eastAsia="fr-FR"/>
        </w:rPr>
        <w:t>technologies de conduite automatisée</w:t>
      </w:r>
      <w:r w:rsidR="00EE14DC">
        <w:rPr>
          <w:lang w:eastAsia="fr-FR"/>
        </w:rPr>
        <w:t> </w:t>
      </w:r>
      <w:r w:rsidR="001E6D3C" w:rsidRPr="001D18E8">
        <w:rPr>
          <w:lang w:eastAsia="fr-FR"/>
        </w:rPr>
        <w:t>;</w:t>
      </w:r>
    </w:p>
    <w:p w14:paraId="52837DED" w14:textId="77777777" w:rsidR="001E6D3C" w:rsidRPr="001D18E8" w:rsidRDefault="00615B2B" w:rsidP="00615B2B">
      <w:pPr>
        <w:pStyle w:val="SingleTxtG"/>
        <w:rPr>
          <w:lang w:eastAsia="fr-FR"/>
        </w:rPr>
      </w:pPr>
      <w:r>
        <w:rPr>
          <w:lang w:eastAsia="fr-FR"/>
        </w:rPr>
        <w:tab/>
      </w:r>
      <w:r w:rsidR="001E6D3C" w:rsidRPr="001D18E8">
        <w:rPr>
          <w:lang w:eastAsia="fr-FR"/>
        </w:rPr>
        <w:t>c)</w:t>
      </w:r>
      <w:r w:rsidR="001E6D3C" w:rsidRPr="001D18E8">
        <w:rPr>
          <w:lang w:eastAsia="fr-FR"/>
        </w:rPr>
        <w:tab/>
        <w:t>Systèmes de stockage des données pour la conduite automatisée</w:t>
      </w:r>
      <w:r w:rsidR="00EE14DC">
        <w:rPr>
          <w:lang w:eastAsia="fr-FR"/>
        </w:rPr>
        <w:t> </w:t>
      </w:r>
      <w:r w:rsidR="001E6D3C" w:rsidRPr="001D18E8">
        <w:rPr>
          <w:lang w:eastAsia="fr-FR"/>
        </w:rPr>
        <w:t>;</w:t>
      </w:r>
    </w:p>
    <w:p w14:paraId="1982CCA2" w14:textId="77777777" w:rsidR="001E6D3C" w:rsidRPr="001D18E8" w:rsidRDefault="00615B2B" w:rsidP="00615B2B">
      <w:pPr>
        <w:pStyle w:val="SingleTxtG"/>
        <w:rPr>
          <w:lang w:eastAsia="fr-FR"/>
        </w:rPr>
      </w:pPr>
      <w:r>
        <w:rPr>
          <w:lang w:eastAsia="fr-FR"/>
        </w:rPr>
        <w:tab/>
      </w:r>
      <w:r w:rsidR="001E6D3C" w:rsidRPr="001D18E8">
        <w:rPr>
          <w:lang w:eastAsia="fr-FR"/>
        </w:rPr>
        <w:t>d)</w:t>
      </w:r>
      <w:r w:rsidR="001E6D3C" w:rsidRPr="001D18E8">
        <w:rPr>
          <w:lang w:eastAsia="fr-FR"/>
        </w:rPr>
        <w:tab/>
        <w:t>Cybersécurité et mises à jour de logiciels, y compris à distance.</w:t>
      </w:r>
    </w:p>
    <w:p w14:paraId="49F12D08" w14:textId="77777777" w:rsidR="001E6D3C" w:rsidRPr="003D223D" w:rsidRDefault="001E6D3C" w:rsidP="00615B2B">
      <w:pPr>
        <w:pStyle w:val="H1G"/>
        <w:rPr>
          <w:lang w:eastAsia="fr-FR"/>
        </w:rPr>
      </w:pPr>
      <w:r w:rsidRPr="001D18E8">
        <w:rPr>
          <w:lang w:eastAsia="fr-FR"/>
        </w:rPr>
        <w:tab/>
      </w:r>
      <w:r w:rsidRPr="003D223D">
        <w:rPr>
          <w:lang w:eastAsia="fr-FR"/>
        </w:rPr>
        <w:t>K.</w:t>
      </w:r>
      <w:r w:rsidRPr="003D223D">
        <w:rPr>
          <w:lang w:eastAsia="fr-FR"/>
        </w:rPr>
        <w:tab/>
        <w:t xml:space="preserve">Groupe de travail des problèmes douaniers intéressant les transports (WP.30) </w:t>
      </w:r>
    </w:p>
    <w:p w14:paraId="44595F00" w14:textId="77777777" w:rsidR="001E6D3C" w:rsidRPr="00AC2D52" w:rsidRDefault="001E6D3C" w:rsidP="00615B2B">
      <w:pPr>
        <w:pStyle w:val="SingleTxtG"/>
        <w:rPr>
          <w:lang w:eastAsia="fr-FR"/>
        </w:rPr>
      </w:pPr>
      <w:r w:rsidRPr="00583ABF">
        <w:rPr>
          <w:lang w:eastAsia="fr-FR"/>
        </w:rPr>
        <w:t>75.</w:t>
      </w:r>
      <w:r w:rsidRPr="00583ABF">
        <w:rPr>
          <w:lang w:eastAsia="fr-FR"/>
        </w:rPr>
        <w:tab/>
        <w:t>Après des années de négociations, le WP.30 a adopté le texte</w:t>
      </w:r>
      <w:r>
        <w:rPr>
          <w:lang w:eastAsia="fr-FR"/>
        </w:rPr>
        <w:t xml:space="preserve"> d</w:t>
      </w:r>
      <w:r w:rsidR="00616FE4">
        <w:rPr>
          <w:lang w:eastAsia="fr-FR"/>
        </w:rPr>
        <w:t>’</w:t>
      </w:r>
      <w:r>
        <w:rPr>
          <w:lang w:eastAsia="fr-FR"/>
        </w:rPr>
        <w:t xml:space="preserve">une nouvelle </w:t>
      </w:r>
      <w:r w:rsidRPr="001D18E8">
        <w:rPr>
          <w:lang w:eastAsia="fr-FR"/>
        </w:rPr>
        <w:t>Convention relative à la facilitation du franchissement des frontières pour les voyageurs, les bagages et les bagages non accompagnés dans le cadre du transport ferroviaire international</w:t>
      </w:r>
      <w:r>
        <w:rPr>
          <w:lang w:eastAsia="fr-FR"/>
        </w:rPr>
        <w:t>. Cette convention a principalement pour but d</w:t>
      </w:r>
      <w:r w:rsidR="00616FE4">
        <w:rPr>
          <w:lang w:eastAsia="fr-FR"/>
        </w:rPr>
        <w:t>’</w:t>
      </w:r>
      <w:r>
        <w:rPr>
          <w:lang w:eastAsia="fr-FR"/>
        </w:rPr>
        <w:t>inciter les pays d</w:t>
      </w:r>
      <w:r w:rsidR="00616FE4">
        <w:rPr>
          <w:lang w:eastAsia="fr-FR"/>
        </w:rPr>
        <w:t>’</w:t>
      </w:r>
      <w:r>
        <w:rPr>
          <w:lang w:eastAsia="fr-FR"/>
        </w:rPr>
        <w:t>Asie et d</w:t>
      </w:r>
      <w:r w:rsidR="00616FE4">
        <w:rPr>
          <w:lang w:eastAsia="fr-FR"/>
        </w:rPr>
        <w:t>’</w:t>
      </w:r>
      <w:r>
        <w:rPr>
          <w:lang w:eastAsia="fr-FR"/>
        </w:rPr>
        <w:t>Europe à mettre en œuvre de nouveaux projets ferroviaires le long des principaux c</w:t>
      </w:r>
      <w:r w:rsidRPr="001D18E8">
        <w:rPr>
          <w:lang w:eastAsia="fr-FR"/>
        </w:rPr>
        <w:t>ouloirs de transport</w:t>
      </w:r>
      <w:r>
        <w:rPr>
          <w:lang w:eastAsia="fr-FR"/>
        </w:rPr>
        <w:t xml:space="preserve"> de la région eurasienne. La </w:t>
      </w:r>
      <w:r w:rsidRPr="0033721D">
        <w:rPr>
          <w:lang w:eastAsia="fr-FR"/>
        </w:rPr>
        <w:t>nouvelle Convention</w:t>
      </w:r>
      <w:r>
        <w:rPr>
          <w:lang w:eastAsia="fr-FR"/>
        </w:rPr>
        <w:t xml:space="preserve"> a été adoptée par le Comité des transports intérieurs lors de sa session de février 2019. Depuis, le Tchad en est devenu le premier signataire. </w:t>
      </w:r>
    </w:p>
    <w:p w14:paraId="339E6DB3" w14:textId="77777777" w:rsidR="001E6D3C" w:rsidRDefault="001E6D3C" w:rsidP="00615B2B">
      <w:pPr>
        <w:pStyle w:val="SingleTxtG"/>
        <w:rPr>
          <w:lang w:eastAsia="fr-FR"/>
        </w:rPr>
      </w:pPr>
      <w:r w:rsidRPr="0033721D">
        <w:rPr>
          <w:lang w:eastAsia="fr-FR"/>
        </w:rPr>
        <w:t>76.</w:t>
      </w:r>
      <w:r w:rsidRPr="0033721D">
        <w:rPr>
          <w:lang w:eastAsia="fr-FR"/>
        </w:rPr>
        <w:tab/>
      </w:r>
      <w:r w:rsidR="002C50E2">
        <w:rPr>
          <w:lang w:eastAsia="fr-FR"/>
        </w:rPr>
        <w:t>À</w:t>
      </w:r>
      <w:r w:rsidRPr="0033721D">
        <w:rPr>
          <w:lang w:eastAsia="fr-FR"/>
        </w:rPr>
        <w:t xml:space="preserve"> la demande du Président du Comité</w:t>
      </w:r>
      <w:r>
        <w:rPr>
          <w:lang w:eastAsia="fr-FR"/>
        </w:rPr>
        <w:t xml:space="preserve"> et du </w:t>
      </w:r>
      <w:r w:rsidRPr="0033721D">
        <w:rPr>
          <w:lang w:eastAsia="fr-FR"/>
        </w:rPr>
        <w:t>Directeur de la Division des transports durables</w:t>
      </w:r>
      <w:r>
        <w:rPr>
          <w:lang w:eastAsia="fr-FR"/>
        </w:rPr>
        <w:t xml:space="preserve">, le WP.30 a réalisé une enquête sur </w:t>
      </w:r>
      <w:r w:rsidRPr="004A3076">
        <w:rPr>
          <w:lang w:eastAsia="fr-FR"/>
        </w:rPr>
        <w:t>les rôles et les tâches des autorités douanières dans le domaine de l</w:t>
      </w:r>
      <w:r w:rsidR="00616FE4">
        <w:rPr>
          <w:lang w:eastAsia="fr-FR"/>
        </w:rPr>
        <w:t>’</w:t>
      </w:r>
      <w:r w:rsidRPr="004A3076">
        <w:rPr>
          <w:lang w:eastAsia="fr-FR"/>
        </w:rPr>
        <w:t>application des règles de sécurité routière</w:t>
      </w:r>
      <w:r>
        <w:rPr>
          <w:lang w:eastAsia="fr-FR"/>
        </w:rPr>
        <w:t>, afin d</w:t>
      </w:r>
      <w:r w:rsidR="00616FE4">
        <w:rPr>
          <w:lang w:eastAsia="fr-FR"/>
        </w:rPr>
        <w:t>’</w:t>
      </w:r>
      <w:r>
        <w:rPr>
          <w:lang w:eastAsia="fr-FR"/>
        </w:rPr>
        <w:t xml:space="preserve">harmoniser son travail avec la </w:t>
      </w:r>
      <w:r w:rsidR="004372AF">
        <w:rPr>
          <w:lang w:eastAsia="fr-FR"/>
        </w:rPr>
        <w:t>S</w:t>
      </w:r>
      <w:r>
        <w:rPr>
          <w:lang w:eastAsia="fr-FR"/>
        </w:rPr>
        <w:t>tratégie du Comité des transports intérieurs à l</w:t>
      </w:r>
      <w:r w:rsidR="00616FE4">
        <w:rPr>
          <w:lang w:eastAsia="fr-FR"/>
        </w:rPr>
        <w:t>’</w:t>
      </w:r>
      <w:r>
        <w:rPr>
          <w:lang w:eastAsia="fr-FR"/>
        </w:rPr>
        <w:t xml:space="preserve">horizon 2030.  </w:t>
      </w:r>
      <w:r w:rsidRPr="004A3076">
        <w:rPr>
          <w:lang w:eastAsia="fr-FR"/>
        </w:rPr>
        <w:t xml:space="preserve"> </w:t>
      </w:r>
      <w:r>
        <w:rPr>
          <w:lang w:eastAsia="fr-FR"/>
        </w:rPr>
        <w:t xml:space="preserve"> </w:t>
      </w:r>
    </w:p>
    <w:p w14:paraId="5FE338AD" w14:textId="77777777" w:rsidR="001E6D3C" w:rsidRPr="004A3076" w:rsidRDefault="001E6D3C" w:rsidP="00615B2B">
      <w:pPr>
        <w:pStyle w:val="SingleTxtG"/>
        <w:rPr>
          <w:lang w:eastAsia="fr-FR"/>
        </w:rPr>
      </w:pPr>
      <w:r w:rsidRPr="004A3076">
        <w:rPr>
          <w:lang w:eastAsia="fr-FR"/>
        </w:rPr>
        <w:t>77.</w:t>
      </w:r>
      <w:r w:rsidRPr="004A3076">
        <w:rPr>
          <w:lang w:eastAsia="fr-FR"/>
        </w:rPr>
        <w:tab/>
        <w:t>Le WP.30 a terminé l</w:t>
      </w:r>
      <w:r w:rsidR="00616FE4">
        <w:rPr>
          <w:lang w:eastAsia="fr-FR"/>
        </w:rPr>
        <w:t>’</w:t>
      </w:r>
      <w:r w:rsidRPr="004A3076">
        <w:rPr>
          <w:lang w:eastAsia="fr-FR"/>
        </w:rPr>
        <w:t>examen de</w:t>
      </w:r>
      <w:r>
        <w:rPr>
          <w:lang w:eastAsia="fr-FR"/>
        </w:rPr>
        <w:t xml:space="preserve"> toute une série de propositions visant à modifier diverses dispositions de la </w:t>
      </w:r>
      <w:r w:rsidRPr="004A3076">
        <w:rPr>
          <w:lang w:eastAsia="fr-FR"/>
        </w:rPr>
        <w:t>Convention ainsi que d</w:t>
      </w:r>
      <w:r w:rsidR="00616FE4">
        <w:rPr>
          <w:lang w:eastAsia="fr-FR"/>
        </w:rPr>
        <w:t>’</w:t>
      </w:r>
      <w:r w:rsidRPr="004A3076">
        <w:rPr>
          <w:lang w:eastAsia="fr-FR"/>
        </w:rPr>
        <w:t xml:space="preserve">une nouvelle annexe 11 </w:t>
      </w:r>
      <w:r>
        <w:rPr>
          <w:lang w:eastAsia="fr-FR"/>
        </w:rPr>
        <w:t xml:space="preserve">à la Convention TIR de </w:t>
      </w:r>
      <w:r w:rsidRPr="004A3076">
        <w:rPr>
          <w:lang w:eastAsia="fr-FR"/>
        </w:rPr>
        <w:t>1975 afin d</w:t>
      </w:r>
      <w:r w:rsidR="00616FE4">
        <w:rPr>
          <w:lang w:eastAsia="fr-FR"/>
        </w:rPr>
        <w:t>’</w:t>
      </w:r>
      <w:r>
        <w:rPr>
          <w:lang w:eastAsia="fr-FR"/>
        </w:rPr>
        <w:t xml:space="preserve">y </w:t>
      </w:r>
      <w:r w:rsidRPr="004A3076">
        <w:rPr>
          <w:lang w:eastAsia="fr-FR"/>
        </w:rPr>
        <w:t>intégrer le système eTIR</w:t>
      </w:r>
      <w:r>
        <w:rPr>
          <w:lang w:eastAsia="fr-FR"/>
        </w:rPr>
        <w:t>, propositions qu</w:t>
      </w:r>
      <w:r w:rsidR="00616FE4">
        <w:rPr>
          <w:lang w:eastAsia="fr-FR"/>
        </w:rPr>
        <w:t>’</w:t>
      </w:r>
      <w:r>
        <w:rPr>
          <w:lang w:eastAsia="fr-FR"/>
        </w:rPr>
        <w:t xml:space="preserve">il a transmises </w:t>
      </w:r>
      <w:r w:rsidRPr="004A3076">
        <w:rPr>
          <w:lang w:eastAsia="fr-FR"/>
        </w:rPr>
        <w:t xml:space="preserve">au Comité de gestion de la Convention TIR (AC.2) pour examen </w:t>
      </w:r>
      <w:r>
        <w:rPr>
          <w:lang w:eastAsia="fr-FR"/>
        </w:rPr>
        <w:t xml:space="preserve">final. </w:t>
      </w:r>
      <w:r w:rsidRPr="004A3076">
        <w:rPr>
          <w:lang w:eastAsia="fr-FR"/>
        </w:rPr>
        <w:t>Lors de sa session d</w:t>
      </w:r>
      <w:r w:rsidR="00616FE4">
        <w:rPr>
          <w:lang w:eastAsia="fr-FR"/>
        </w:rPr>
        <w:t>’</w:t>
      </w:r>
      <w:r w:rsidRPr="004A3076">
        <w:rPr>
          <w:lang w:eastAsia="fr-FR"/>
        </w:rPr>
        <w:t>octobre 2019, l</w:t>
      </w:r>
      <w:r w:rsidR="00616FE4">
        <w:rPr>
          <w:lang w:eastAsia="fr-FR"/>
        </w:rPr>
        <w:t>’</w:t>
      </w:r>
      <w:r w:rsidRPr="004A3076">
        <w:rPr>
          <w:lang w:eastAsia="fr-FR"/>
        </w:rPr>
        <w:t>AC.2 s</w:t>
      </w:r>
      <w:r w:rsidR="00616FE4">
        <w:rPr>
          <w:lang w:eastAsia="fr-FR"/>
        </w:rPr>
        <w:t>’</w:t>
      </w:r>
      <w:r w:rsidRPr="004A3076">
        <w:rPr>
          <w:lang w:eastAsia="fr-FR"/>
        </w:rPr>
        <w:t>est entendu sur les textes définitifs de ces propositions</w:t>
      </w:r>
      <w:r>
        <w:rPr>
          <w:lang w:eastAsia="fr-FR"/>
        </w:rPr>
        <w:t>, qui ont été soumises à sa session de février 2020 pour adoption formelle.</w:t>
      </w:r>
    </w:p>
    <w:p w14:paraId="2B023E15" w14:textId="77777777" w:rsidR="001E6D3C" w:rsidRPr="004A3076" w:rsidRDefault="001E6D3C" w:rsidP="00615B2B">
      <w:pPr>
        <w:pStyle w:val="SingleTxtG"/>
        <w:rPr>
          <w:lang w:eastAsia="fr-FR"/>
        </w:rPr>
      </w:pPr>
      <w:r w:rsidRPr="004A3076">
        <w:rPr>
          <w:lang w:eastAsia="fr-FR"/>
        </w:rPr>
        <w:t>78.</w:t>
      </w:r>
      <w:r w:rsidRPr="004A3076">
        <w:rPr>
          <w:lang w:eastAsia="fr-FR"/>
        </w:rPr>
        <w:tab/>
        <w:t>En 2019, divers projets pilotes eTIR ont été menés à bien</w:t>
      </w:r>
      <w:r w:rsidR="0094106E">
        <w:rPr>
          <w:lang w:eastAsia="fr-FR"/>
        </w:rPr>
        <w:t> </w:t>
      </w:r>
      <w:r w:rsidRPr="004A3076">
        <w:rPr>
          <w:lang w:eastAsia="fr-FR"/>
        </w:rPr>
        <w:t>:</w:t>
      </w:r>
    </w:p>
    <w:p w14:paraId="1014816D" w14:textId="77777777" w:rsidR="001E6D3C" w:rsidRPr="0033721D" w:rsidRDefault="00615B2B" w:rsidP="00615B2B">
      <w:pPr>
        <w:pStyle w:val="SingleTxtG"/>
        <w:rPr>
          <w:lang w:eastAsia="fr-FR"/>
        </w:rPr>
      </w:pPr>
      <w:r>
        <w:rPr>
          <w:lang w:eastAsia="fr-FR"/>
        </w:rPr>
        <w:tab/>
      </w:r>
      <w:r w:rsidR="001E6D3C" w:rsidRPr="0033721D">
        <w:rPr>
          <w:lang w:eastAsia="fr-FR"/>
        </w:rPr>
        <w:t>a)</w:t>
      </w:r>
      <w:r w:rsidR="001E6D3C" w:rsidRPr="0033721D">
        <w:rPr>
          <w:lang w:eastAsia="fr-FR"/>
        </w:rPr>
        <w:tab/>
      </w:r>
      <w:r w:rsidR="0094106E" w:rsidRPr="0033721D">
        <w:rPr>
          <w:lang w:eastAsia="fr-FR"/>
        </w:rPr>
        <w:t>E</w:t>
      </w:r>
      <w:r w:rsidR="001E6D3C" w:rsidRPr="0033721D">
        <w:rPr>
          <w:lang w:eastAsia="fr-FR"/>
        </w:rPr>
        <w:t>ntre la République islamique d</w:t>
      </w:r>
      <w:r w:rsidR="00616FE4">
        <w:rPr>
          <w:lang w:eastAsia="fr-FR"/>
        </w:rPr>
        <w:t>’</w:t>
      </w:r>
      <w:r w:rsidR="001E6D3C" w:rsidRPr="0033721D">
        <w:rPr>
          <w:lang w:eastAsia="fr-FR"/>
        </w:rPr>
        <w:t>Iran et la Turquie, les parties envisageant d</w:t>
      </w:r>
      <w:r w:rsidR="00616FE4">
        <w:rPr>
          <w:lang w:eastAsia="fr-FR"/>
        </w:rPr>
        <w:t>’</w:t>
      </w:r>
      <w:r w:rsidR="001E6D3C" w:rsidRPr="0033721D">
        <w:rPr>
          <w:lang w:eastAsia="fr-FR"/>
        </w:rPr>
        <w:t>en étendre la portée à tous les bureaux de douane et à tous les titulaires de carnets TIR des deux pays</w:t>
      </w:r>
      <w:r w:rsidR="0094106E">
        <w:rPr>
          <w:lang w:eastAsia="fr-FR"/>
        </w:rPr>
        <w:t> </w:t>
      </w:r>
      <w:r w:rsidR="001E6D3C" w:rsidRPr="0033721D">
        <w:rPr>
          <w:lang w:eastAsia="fr-FR"/>
        </w:rPr>
        <w:t xml:space="preserve">; </w:t>
      </w:r>
    </w:p>
    <w:p w14:paraId="7DB5E53F" w14:textId="77777777" w:rsidR="001E6D3C" w:rsidRPr="0033721D" w:rsidRDefault="00615B2B" w:rsidP="00615B2B">
      <w:pPr>
        <w:pStyle w:val="SingleTxtG"/>
        <w:rPr>
          <w:lang w:eastAsia="fr-FR"/>
        </w:rPr>
      </w:pPr>
      <w:r>
        <w:rPr>
          <w:lang w:eastAsia="fr-FR"/>
        </w:rPr>
        <w:tab/>
      </w:r>
      <w:r w:rsidR="001E6D3C" w:rsidRPr="0033721D">
        <w:rPr>
          <w:lang w:eastAsia="fr-FR"/>
        </w:rPr>
        <w:t>b)</w:t>
      </w:r>
      <w:r w:rsidR="001E6D3C" w:rsidRPr="0033721D">
        <w:rPr>
          <w:lang w:eastAsia="fr-FR"/>
        </w:rPr>
        <w:tab/>
      </w:r>
      <w:r w:rsidR="0094106E" w:rsidRPr="0033721D">
        <w:rPr>
          <w:lang w:eastAsia="fr-FR"/>
        </w:rPr>
        <w:t>E</w:t>
      </w:r>
      <w:r w:rsidR="001E6D3C" w:rsidRPr="0033721D">
        <w:rPr>
          <w:lang w:eastAsia="fr-FR"/>
        </w:rPr>
        <w:t>ntre la Géorgie et la Turquie</w:t>
      </w:r>
      <w:r w:rsidR="0094106E">
        <w:rPr>
          <w:lang w:eastAsia="fr-FR"/>
        </w:rPr>
        <w:t> </w:t>
      </w:r>
      <w:r w:rsidR="001E6D3C" w:rsidRPr="0033721D">
        <w:rPr>
          <w:lang w:eastAsia="fr-FR"/>
        </w:rPr>
        <w:t>;</w:t>
      </w:r>
    </w:p>
    <w:p w14:paraId="462899FF" w14:textId="77777777" w:rsidR="001E6D3C" w:rsidRPr="0033721D" w:rsidRDefault="00615B2B" w:rsidP="00615B2B">
      <w:pPr>
        <w:pStyle w:val="SingleTxtG"/>
        <w:rPr>
          <w:lang w:eastAsia="fr-FR"/>
        </w:rPr>
      </w:pPr>
      <w:r>
        <w:rPr>
          <w:lang w:eastAsia="fr-FR"/>
        </w:rPr>
        <w:tab/>
      </w:r>
      <w:r w:rsidR="001E6D3C" w:rsidRPr="0033721D">
        <w:rPr>
          <w:lang w:eastAsia="fr-FR"/>
        </w:rPr>
        <w:t>c)</w:t>
      </w:r>
      <w:r w:rsidR="001E6D3C" w:rsidRPr="0033721D">
        <w:rPr>
          <w:lang w:eastAsia="fr-FR"/>
        </w:rPr>
        <w:tab/>
      </w:r>
      <w:r w:rsidR="0094106E" w:rsidRPr="0033721D">
        <w:rPr>
          <w:lang w:eastAsia="fr-FR"/>
        </w:rPr>
        <w:t>E</w:t>
      </w:r>
      <w:r w:rsidR="001E6D3C" w:rsidRPr="0033721D">
        <w:rPr>
          <w:lang w:eastAsia="fr-FR"/>
        </w:rPr>
        <w:t>ntre l</w:t>
      </w:r>
      <w:r w:rsidR="00616FE4">
        <w:rPr>
          <w:lang w:eastAsia="fr-FR"/>
        </w:rPr>
        <w:t>’</w:t>
      </w:r>
      <w:r w:rsidR="001E6D3C" w:rsidRPr="0033721D">
        <w:rPr>
          <w:lang w:eastAsia="fr-FR"/>
        </w:rPr>
        <w:t>Azerbaïdjan et la République islamique d</w:t>
      </w:r>
      <w:r w:rsidR="00616FE4">
        <w:rPr>
          <w:lang w:eastAsia="fr-FR"/>
        </w:rPr>
        <w:t>’</w:t>
      </w:r>
      <w:r w:rsidR="001E6D3C" w:rsidRPr="0033721D">
        <w:rPr>
          <w:lang w:eastAsia="fr-FR"/>
        </w:rPr>
        <w:t>Iran.</w:t>
      </w:r>
    </w:p>
    <w:p w14:paraId="1EA8AC12" w14:textId="77777777" w:rsidR="001E6D3C" w:rsidRPr="000620EE" w:rsidRDefault="001E6D3C" w:rsidP="00615B2B">
      <w:pPr>
        <w:pStyle w:val="SingleTxtG"/>
        <w:rPr>
          <w:lang w:eastAsia="fr-FR"/>
        </w:rPr>
      </w:pPr>
      <w:r w:rsidRPr="000620EE">
        <w:rPr>
          <w:lang w:eastAsia="fr-FR"/>
        </w:rPr>
        <w:t>79.</w:t>
      </w:r>
      <w:r w:rsidRPr="000620EE">
        <w:rPr>
          <w:lang w:eastAsia="fr-FR"/>
        </w:rPr>
        <w:tab/>
        <w:t xml:space="preserve">Trois experts en </w:t>
      </w:r>
      <w:r w:rsidRPr="008271B9">
        <w:rPr>
          <w:lang w:eastAsia="fr-FR"/>
        </w:rPr>
        <w:t>technologies de l</w:t>
      </w:r>
      <w:r w:rsidR="00616FE4">
        <w:rPr>
          <w:lang w:eastAsia="fr-FR"/>
        </w:rPr>
        <w:t>’</w:t>
      </w:r>
      <w:r w:rsidRPr="008271B9">
        <w:rPr>
          <w:lang w:eastAsia="fr-FR"/>
        </w:rPr>
        <w:t>information</w:t>
      </w:r>
      <w:r w:rsidRPr="008271B9">
        <w:t xml:space="preserve"> ont </w:t>
      </w:r>
      <w:r w:rsidRPr="008271B9">
        <w:rPr>
          <w:lang w:eastAsia="fr-FR"/>
        </w:rPr>
        <w:t>rejoint le secrétariat</w:t>
      </w:r>
      <w:r w:rsidRPr="000620EE">
        <w:rPr>
          <w:lang w:eastAsia="fr-FR"/>
        </w:rPr>
        <w:t xml:space="preserve"> TIR</w:t>
      </w:r>
      <w:r>
        <w:rPr>
          <w:lang w:eastAsia="fr-FR"/>
        </w:rPr>
        <w:t xml:space="preserve"> et ont commencé à travailler à la mise en œuvre du </w:t>
      </w:r>
      <w:r w:rsidRPr="000620EE">
        <w:rPr>
          <w:lang w:eastAsia="fr-FR"/>
        </w:rPr>
        <w:t>système international eTIR</w:t>
      </w:r>
      <w:r>
        <w:rPr>
          <w:lang w:eastAsia="fr-FR"/>
        </w:rPr>
        <w:t xml:space="preserve">. Les priorités fixées pour ce système sont la fiabilité, la sécurité et la facilité de connexion pour les </w:t>
      </w:r>
      <w:r w:rsidR="0094106E">
        <w:rPr>
          <w:lang w:eastAsia="fr-FR"/>
        </w:rPr>
        <w:t>P</w:t>
      </w:r>
      <w:r>
        <w:rPr>
          <w:lang w:eastAsia="fr-FR"/>
        </w:rPr>
        <w:t xml:space="preserve">arties contractantes à la </w:t>
      </w:r>
      <w:r w:rsidRPr="000620EE">
        <w:rPr>
          <w:lang w:eastAsia="fr-FR"/>
        </w:rPr>
        <w:t xml:space="preserve">Convention TIR. </w:t>
      </w:r>
    </w:p>
    <w:p w14:paraId="47DDFF9C" w14:textId="77777777" w:rsidR="001E6D3C" w:rsidRPr="003D223D" w:rsidRDefault="001E6D3C" w:rsidP="00615B2B">
      <w:pPr>
        <w:pStyle w:val="H1G"/>
        <w:rPr>
          <w:lang w:eastAsia="fr-FR"/>
        </w:rPr>
      </w:pPr>
      <w:r w:rsidRPr="000620EE">
        <w:rPr>
          <w:lang w:eastAsia="fr-FR"/>
        </w:rPr>
        <w:tab/>
      </w:r>
      <w:r w:rsidRPr="003D223D">
        <w:rPr>
          <w:lang w:eastAsia="fr-FR"/>
        </w:rPr>
        <w:t>L.</w:t>
      </w:r>
      <w:r w:rsidRPr="003D223D">
        <w:rPr>
          <w:lang w:eastAsia="fr-FR"/>
        </w:rPr>
        <w:tab/>
        <w:t xml:space="preserve">Assistance technique </w:t>
      </w:r>
      <w:r>
        <w:rPr>
          <w:lang w:eastAsia="fr-FR"/>
        </w:rPr>
        <w:t>et</w:t>
      </w:r>
      <w:r w:rsidRPr="003D223D">
        <w:rPr>
          <w:lang w:eastAsia="fr-FR"/>
        </w:rPr>
        <w:t xml:space="preserve"> activités de développement des capacités</w:t>
      </w:r>
    </w:p>
    <w:p w14:paraId="2AA3F20B" w14:textId="77777777" w:rsidR="001E6D3C" w:rsidRPr="003D223D" w:rsidRDefault="001E6D3C" w:rsidP="00A13E6D">
      <w:pPr>
        <w:pStyle w:val="H23G"/>
        <w:rPr>
          <w:lang w:eastAsia="fr-FR"/>
        </w:rPr>
      </w:pPr>
      <w:r w:rsidRPr="003D223D">
        <w:rPr>
          <w:lang w:eastAsia="fr-FR"/>
        </w:rPr>
        <w:tab/>
        <w:t>1.</w:t>
      </w:r>
      <w:r w:rsidRPr="003D223D">
        <w:rPr>
          <w:lang w:eastAsia="fr-FR"/>
        </w:rPr>
        <w:tab/>
        <w:t>Plan d</w:t>
      </w:r>
      <w:r w:rsidR="00616FE4">
        <w:rPr>
          <w:lang w:eastAsia="fr-FR"/>
        </w:rPr>
        <w:t>’</w:t>
      </w:r>
      <w:r w:rsidRPr="003D223D">
        <w:rPr>
          <w:lang w:eastAsia="fr-FR"/>
        </w:rPr>
        <w:t>action pour le renforcement des capacités</w:t>
      </w:r>
    </w:p>
    <w:p w14:paraId="6E8958D3" w14:textId="77777777" w:rsidR="001E6D3C" w:rsidRDefault="001E6D3C" w:rsidP="00A13E6D">
      <w:pPr>
        <w:pStyle w:val="SingleTxtG"/>
        <w:rPr>
          <w:lang w:eastAsia="fr-FR"/>
        </w:rPr>
      </w:pPr>
      <w:r w:rsidRPr="00CF2B29">
        <w:rPr>
          <w:lang w:eastAsia="fr-FR"/>
        </w:rPr>
        <w:t>80.</w:t>
      </w:r>
      <w:r w:rsidRPr="00CF2B29">
        <w:rPr>
          <w:lang w:eastAsia="fr-FR"/>
        </w:rPr>
        <w:tab/>
        <w:t>L</w:t>
      </w:r>
      <w:r w:rsidR="00616FE4">
        <w:rPr>
          <w:lang w:eastAsia="fr-FR"/>
        </w:rPr>
        <w:t>’</w:t>
      </w:r>
      <w:r w:rsidRPr="00CF2B29">
        <w:rPr>
          <w:lang w:eastAsia="fr-FR"/>
        </w:rPr>
        <w:t xml:space="preserve">année 2019 a connu plusieurs événements marquants </w:t>
      </w:r>
      <w:r>
        <w:rPr>
          <w:lang w:eastAsia="fr-FR"/>
        </w:rPr>
        <w:t>en matière d</w:t>
      </w:r>
      <w:r w:rsidR="00616FE4">
        <w:rPr>
          <w:lang w:eastAsia="fr-FR"/>
        </w:rPr>
        <w:t>’</w:t>
      </w:r>
      <w:r w:rsidRPr="00CF2B29">
        <w:rPr>
          <w:lang w:eastAsia="fr-FR"/>
        </w:rPr>
        <w:t>activités d</w:t>
      </w:r>
      <w:r w:rsidR="00616FE4">
        <w:rPr>
          <w:lang w:eastAsia="fr-FR"/>
        </w:rPr>
        <w:t>’</w:t>
      </w:r>
      <w:r w:rsidRPr="00CF2B29">
        <w:rPr>
          <w:lang w:eastAsia="fr-FR"/>
        </w:rPr>
        <w:t>assistance</w:t>
      </w:r>
      <w:r>
        <w:rPr>
          <w:lang w:eastAsia="fr-FR"/>
        </w:rPr>
        <w:t xml:space="preserve"> technique </w:t>
      </w:r>
      <w:r w:rsidRPr="00783137">
        <w:rPr>
          <w:lang w:eastAsia="fr-FR"/>
        </w:rPr>
        <w:t>(renforcement des capacités et</w:t>
      </w:r>
      <w:r w:rsidRPr="00783137">
        <w:t xml:space="preserve"> </w:t>
      </w:r>
      <w:r w:rsidRPr="00783137">
        <w:rPr>
          <w:lang w:eastAsia="fr-FR"/>
        </w:rPr>
        <w:t xml:space="preserve">services </w:t>
      </w:r>
      <w:r>
        <w:rPr>
          <w:lang w:eastAsia="fr-FR"/>
        </w:rPr>
        <w:t>consultatifs</w:t>
      </w:r>
      <w:r w:rsidRPr="00783137">
        <w:rPr>
          <w:lang w:eastAsia="fr-FR"/>
        </w:rPr>
        <w:t xml:space="preserve">) </w:t>
      </w:r>
      <w:r w:rsidRPr="00CF2B29">
        <w:rPr>
          <w:lang w:eastAsia="fr-FR"/>
        </w:rPr>
        <w:t xml:space="preserve">de la </w:t>
      </w:r>
      <w:r w:rsidRPr="00783137">
        <w:rPr>
          <w:lang w:eastAsia="fr-FR"/>
        </w:rPr>
        <w:t>Division des transports durables</w:t>
      </w:r>
      <w:r>
        <w:rPr>
          <w:lang w:eastAsia="fr-FR"/>
        </w:rPr>
        <w:t xml:space="preserve">. Comme le demandait la </w:t>
      </w:r>
      <w:r w:rsidR="0094106E" w:rsidRPr="00783137">
        <w:rPr>
          <w:lang w:eastAsia="fr-FR"/>
        </w:rPr>
        <w:t>S</w:t>
      </w:r>
      <w:r w:rsidRPr="00783137">
        <w:rPr>
          <w:lang w:eastAsia="fr-FR"/>
        </w:rPr>
        <w:t>tratégie du C</w:t>
      </w:r>
      <w:r>
        <w:rPr>
          <w:lang w:eastAsia="fr-FR"/>
        </w:rPr>
        <w:t xml:space="preserve">TI </w:t>
      </w:r>
      <w:r w:rsidRPr="00783137">
        <w:rPr>
          <w:lang w:eastAsia="fr-FR"/>
        </w:rPr>
        <w:t>à l</w:t>
      </w:r>
      <w:r w:rsidR="00616FE4">
        <w:rPr>
          <w:lang w:eastAsia="fr-FR"/>
        </w:rPr>
        <w:t>’</w:t>
      </w:r>
      <w:r w:rsidRPr="00783137">
        <w:rPr>
          <w:lang w:eastAsia="fr-FR"/>
        </w:rPr>
        <w:t>horizon 2030</w:t>
      </w:r>
      <w:r>
        <w:rPr>
          <w:lang w:eastAsia="fr-FR"/>
        </w:rPr>
        <w:t xml:space="preserve">, le secrétariat a élaboré le </w:t>
      </w:r>
      <w:r w:rsidRPr="00783137">
        <w:rPr>
          <w:lang w:eastAsia="fr-FR"/>
        </w:rPr>
        <w:t>Plan d</w:t>
      </w:r>
      <w:r w:rsidR="00616FE4">
        <w:rPr>
          <w:lang w:eastAsia="fr-FR"/>
        </w:rPr>
        <w:t>’</w:t>
      </w:r>
      <w:r w:rsidRPr="00783137">
        <w:rPr>
          <w:lang w:eastAsia="fr-FR"/>
        </w:rPr>
        <w:t>action du CTI pour le renforcement des capacités</w:t>
      </w:r>
      <w:r>
        <w:rPr>
          <w:lang w:eastAsia="fr-FR"/>
        </w:rPr>
        <w:t xml:space="preserve"> qui est soumis au Comité pour adoption en février 2020. </w:t>
      </w:r>
      <w:r w:rsidRPr="00783137">
        <w:rPr>
          <w:lang w:eastAsia="fr-FR"/>
        </w:rPr>
        <w:t>Ce plan d</w:t>
      </w:r>
      <w:r w:rsidR="00616FE4">
        <w:rPr>
          <w:lang w:eastAsia="fr-FR"/>
        </w:rPr>
        <w:t>’</w:t>
      </w:r>
      <w:r w:rsidRPr="00783137">
        <w:rPr>
          <w:lang w:eastAsia="fr-FR"/>
        </w:rPr>
        <w:t xml:space="preserve">action a fixé quatre domaines stratégiques : i) </w:t>
      </w:r>
      <w:r>
        <w:rPr>
          <w:lang w:eastAsia="fr-FR"/>
        </w:rPr>
        <w:t>s</w:t>
      </w:r>
      <w:r w:rsidRPr="00783137">
        <w:rPr>
          <w:lang w:eastAsia="fr-FR"/>
        </w:rPr>
        <w:t>ensibilisation</w:t>
      </w:r>
      <w:r w:rsidR="0094106E">
        <w:rPr>
          <w:lang w:eastAsia="fr-FR"/>
        </w:rPr>
        <w:t> ;</w:t>
      </w:r>
      <w:r>
        <w:rPr>
          <w:lang w:eastAsia="fr-FR"/>
        </w:rPr>
        <w:t xml:space="preserve"> </w:t>
      </w:r>
      <w:r w:rsidRPr="00F13B5B">
        <w:rPr>
          <w:lang w:eastAsia="fr-FR"/>
        </w:rPr>
        <w:t xml:space="preserve">ii) </w:t>
      </w:r>
      <w:r>
        <w:rPr>
          <w:lang w:eastAsia="fr-FR"/>
        </w:rPr>
        <w:t>r</w:t>
      </w:r>
      <w:r w:rsidRPr="00F13B5B">
        <w:rPr>
          <w:lang w:eastAsia="fr-FR"/>
        </w:rPr>
        <w:t>enforcement des capacités</w:t>
      </w:r>
      <w:r w:rsidR="0094106E">
        <w:rPr>
          <w:lang w:eastAsia="fr-FR"/>
        </w:rPr>
        <w:t> ;</w:t>
      </w:r>
      <w:r>
        <w:rPr>
          <w:lang w:eastAsia="fr-FR"/>
        </w:rPr>
        <w:t xml:space="preserve"> </w:t>
      </w:r>
      <w:r w:rsidRPr="00F13B5B">
        <w:rPr>
          <w:lang w:eastAsia="fr-FR"/>
        </w:rPr>
        <w:t>iii) recherche de synergies</w:t>
      </w:r>
      <w:r w:rsidR="0094106E">
        <w:rPr>
          <w:lang w:eastAsia="fr-FR"/>
        </w:rPr>
        <w:t> ;</w:t>
      </w:r>
      <w:r w:rsidRPr="00F13B5B">
        <w:rPr>
          <w:lang w:eastAsia="fr-FR"/>
        </w:rPr>
        <w:t xml:space="preserve"> </w:t>
      </w:r>
      <w:r>
        <w:rPr>
          <w:lang w:eastAsia="fr-FR"/>
        </w:rPr>
        <w:lastRenderedPageBreak/>
        <w:t xml:space="preserve">et </w:t>
      </w:r>
      <w:r w:rsidRPr="00F13B5B">
        <w:rPr>
          <w:lang w:eastAsia="fr-FR"/>
        </w:rPr>
        <w:t xml:space="preserve">iv) </w:t>
      </w:r>
      <w:r>
        <w:rPr>
          <w:lang w:eastAsia="fr-FR"/>
        </w:rPr>
        <w:t>s</w:t>
      </w:r>
      <w:r w:rsidRPr="00F13B5B">
        <w:rPr>
          <w:lang w:eastAsia="fr-FR"/>
        </w:rPr>
        <w:t>uivi et évaluation des résultats</w:t>
      </w:r>
      <w:r>
        <w:rPr>
          <w:lang w:eastAsia="fr-FR"/>
        </w:rPr>
        <w:t>, et activités à mettre en œuvre par le secrétariat au cours des années à venir. À la suite de l</w:t>
      </w:r>
      <w:r w:rsidR="00616FE4">
        <w:rPr>
          <w:lang w:eastAsia="fr-FR"/>
        </w:rPr>
        <w:t>’</w:t>
      </w:r>
      <w:r>
        <w:rPr>
          <w:lang w:eastAsia="fr-FR"/>
        </w:rPr>
        <w:t xml:space="preserve">étude </w:t>
      </w:r>
      <w:r w:rsidRPr="00F13B5B">
        <w:rPr>
          <w:lang w:eastAsia="fr-FR"/>
        </w:rPr>
        <w:t xml:space="preserve">de performance </w:t>
      </w:r>
      <w:r w:rsidRPr="00F13B5B">
        <w:t xml:space="preserve">de la Géorgie </w:t>
      </w:r>
      <w:r w:rsidRPr="00F13B5B">
        <w:rPr>
          <w:lang w:eastAsia="fr-FR"/>
        </w:rPr>
        <w:t>en matière de sécurité routière</w:t>
      </w:r>
      <w:r>
        <w:rPr>
          <w:lang w:eastAsia="fr-FR"/>
        </w:rPr>
        <w:t>, il a été fait appel pour la première fois à des experts extérieurs en vue de l</w:t>
      </w:r>
      <w:r w:rsidR="00616FE4">
        <w:rPr>
          <w:lang w:eastAsia="fr-FR"/>
        </w:rPr>
        <w:t>’</w:t>
      </w:r>
      <w:r>
        <w:rPr>
          <w:lang w:eastAsia="fr-FR"/>
        </w:rPr>
        <w:t>élaboration d</w:t>
      </w:r>
      <w:r w:rsidR="00616FE4">
        <w:rPr>
          <w:lang w:eastAsia="fr-FR"/>
        </w:rPr>
        <w:t>’</w:t>
      </w:r>
      <w:r>
        <w:rPr>
          <w:lang w:eastAsia="fr-FR"/>
        </w:rPr>
        <w:t xml:space="preserve">une </w:t>
      </w:r>
      <w:r w:rsidRPr="00607FFB">
        <w:rPr>
          <w:lang w:eastAsia="fr-FR"/>
        </w:rPr>
        <w:t>réglementation technique nationale</w:t>
      </w:r>
      <w:r>
        <w:rPr>
          <w:lang w:eastAsia="fr-FR"/>
        </w:rPr>
        <w:t xml:space="preserve"> pour la mise en œuvre efficace de l</w:t>
      </w:r>
      <w:r w:rsidR="00616FE4">
        <w:rPr>
          <w:lang w:eastAsia="fr-FR"/>
        </w:rPr>
        <w:t>’</w:t>
      </w:r>
      <w:r>
        <w:rPr>
          <w:lang w:eastAsia="fr-FR"/>
        </w:rPr>
        <w:t xml:space="preserve">Accord de 1958. De pair avec une concertation politique et un atelier de renforcement des capacités, les activités </w:t>
      </w:r>
      <w:r w:rsidRPr="00607FFB">
        <w:rPr>
          <w:lang w:eastAsia="fr-FR"/>
        </w:rPr>
        <w:t>d</w:t>
      </w:r>
      <w:r w:rsidR="00616FE4">
        <w:rPr>
          <w:lang w:eastAsia="fr-FR"/>
        </w:rPr>
        <w:t>’</w:t>
      </w:r>
      <w:r w:rsidRPr="00607FFB">
        <w:rPr>
          <w:lang w:eastAsia="fr-FR"/>
        </w:rPr>
        <w:t xml:space="preserve">assistance technique </w:t>
      </w:r>
      <w:r>
        <w:rPr>
          <w:lang w:eastAsia="fr-FR"/>
        </w:rPr>
        <w:t>ont porté sur tous les aspects liés à la mise en œuvre des instruments juridiques de l</w:t>
      </w:r>
      <w:r w:rsidR="00616FE4">
        <w:rPr>
          <w:lang w:eastAsia="fr-FR"/>
        </w:rPr>
        <w:t>’</w:t>
      </w:r>
      <w:r>
        <w:rPr>
          <w:lang w:eastAsia="fr-FR"/>
        </w:rPr>
        <w:t>ONU liés à la sécurité routière (approche de a à z). L</w:t>
      </w:r>
      <w:r w:rsidR="00616FE4">
        <w:rPr>
          <w:lang w:eastAsia="fr-FR"/>
        </w:rPr>
        <w:t>’</w:t>
      </w:r>
      <w:r>
        <w:rPr>
          <w:lang w:eastAsia="fr-FR"/>
        </w:rPr>
        <w:t xml:space="preserve">importance de la </w:t>
      </w:r>
      <w:r w:rsidRPr="00AC2D52">
        <w:rPr>
          <w:lang w:eastAsia="fr-FR"/>
        </w:rPr>
        <w:t>connectivité des transports régionaux</w:t>
      </w:r>
      <w:r>
        <w:rPr>
          <w:lang w:eastAsia="fr-FR"/>
        </w:rPr>
        <w:t xml:space="preserve"> et le rôle de la coopération du </w:t>
      </w:r>
      <w:r w:rsidRPr="00AC2D52">
        <w:rPr>
          <w:lang w:eastAsia="fr-FR"/>
        </w:rPr>
        <w:t>Programme spécial des Nations Unies pour les économies des pays d</w:t>
      </w:r>
      <w:r w:rsidR="00616FE4">
        <w:rPr>
          <w:lang w:eastAsia="fr-FR"/>
        </w:rPr>
        <w:t>’</w:t>
      </w:r>
      <w:r w:rsidRPr="00AC2D52">
        <w:rPr>
          <w:lang w:eastAsia="fr-FR"/>
        </w:rPr>
        <w:t xml:space="preserve">Asie centrale </w:t>
      </w:r>
      <w:r>
        <w:rPr>
          <w:lang w:eastAsia="fr-FR"/>
        </w:rPr>
        <w:t>(SPECA) ont été clairement mis en évidence à l</w:t>
      </w:r>
      <w:r w:rsidR="00616FE4">
        <w:rPr>
          <w:lang w:eastAsia="fr-FR"/>
        </w:rPr>
        <w:t>’</w:t>
      </w:r>
      <w:r>
        <w:rPr>
          <w:lang w:eastAsia="fr-FR"/>
        </w:rPr>
        <w:t>occasion du Forum économique 2019 du SPECA. Les sept pays participants au SPECA ont fortement plaidé en faveur d</w:t>
      </w:r>
      <w:r w:rsidR="00616FE4">
        <w:rPr>
          <w:lang w:eastAsia="fr-FR"/>
        </w:rPr>
        <w:t>’</w:t>
      </w:r>
      <w:r>
        <w:rPr>
          <w:lang w:eastAsia="fr-FR"/>
        </w:rPr>
        <w:t>une meilleure coopération par la création d</w:t>
      </w:r>
      <w:r w:rsidR="00616FE4">
        <w:rPr>
          <w:lang w:eastAsia="fr-FR"/>
        </w:rPr>
        <w:t>’</w:t>
      </w:r>
      <w:r>
        <w:rPr>
          <w:lang w:eastAsia="fr-FR"/>
        </w:rPr>
        <w:t>un système efficace de transports régionaux. Enfin, la coopération en matière de connectivité ferroviaire régionale dans le s</w:t>
      </w:r>
      <w:r w:rsidRPr="00AD7ADE">
        <w:rPr>
          <w:lang w:eastAsia="fr-FR"/>
        </w:rPr>
        <w:t>ud-est de l</w:t>
      </w:r>
      <w:r w:rsidR="00616FE4">
        <w:rPr>
          <w:lang w:eastAsia="fr-FR"/>
        </w:rPr>
        <w:t>’</w:t>
      </w:r>
      <w:r w:rsidRPr="00AD7ADE">
        <w:rPr>
          <w:lang w:eastAsia="fr-FR"/>
        </w:rPr>
        <w:t>Europe</w:t>
      </w:r>
      <w:r>
        <w:rPr>
          <w:lang w:eastAsia="fr-FR"/>
        </w:rPr>
        <w:t xml:space="preserve"> et la région du Danube s</w:t>
      </w:r>
      <w:r w:rsidR="00616FE4">
        <w:rPr>
          <w:lang w:eastAsia="fr-FR"/>
        </w:rPr>
        <w:t>’</w:t>
      </w:r>
      <w:r>
        <w:rPr>
          <w:lang w:eastAsia="fr-FR"/>
        </w:rPr>
        <w:t>est poursuivie, mettant l</w:t>
      </w:r>
      <w:r w:rsidR="00616FE4">
        <w:rPr>
          <w:lang w:eastAsia="fr-FR"/>
        </w:rPr>
        <w:t>’</w:t>
      </w:r>
      <w:r>
        <w:rPr>
          <w:lang w:eastAsia="fr-FR"/>
        </w:rPr>
        <w:t xml:space="preserve">accent sur le </w:t>
      </w:r>
      <w:r w:rsidRPr="00AD7ADE">
        <w:rPr>
          <w:lang w:eastAsia="fr-FR"/>
        </w:rPr>
        <w:t>transport de marchandises</w:t>
      </w:r>
      <w:r>
        <w:rPr>
          <w:lang w:eastAsia="fr-FR"/>
        </w:rPr>
        <w:t>.</w:t>
      </w:r>
    </w:p>
    <w:p w14:paraId="262185C6" w14:textId="77777777" w:rsidR="001E6D3C" w:rsidRPr="003D223D" w:rsidRDefault="001E6D3C" w:rsidP="00A13E6D">
      <w:pPr>
        <w:pStyle w:val="H23G"/>
        <w:rPr>
          <w:lang w:eastAsia="fr-FR"/>
        </w:rPr>
      </w:pPr>
      <w:r w:rsidRPr="001E6D3C">
        <w:rPr>
          <w:lang w:eastAsia="fr-FR"/>
        </w:rPr>
        <w:tab/>
      </w:r>
      <w:r w:rsidRPr="003D223D">
        <w:rPr>
          <w:lang w:eastAsia="fr-FR"/>
        </w:rPr>
        <w:t>2.</w:t>
      </w:r>
      <w:r w:rsidRPr="003D223D">
        <w:rPr>
          <w:lang w:eastAsia="fr-FR"/>
        </w:rPr>
        <w:tab/>
        <w:t>Projet d</w:t>
      </w:r>
      <w:r w:rsidR="00616FE4">
        <w:rPr>
          <w:lang w:eastAsia="fr-FR"/>
        </w:rPr>
        <w:t>’</w:t>
      </w:r>
      <w:r w:rsidRPr="003D223D">
        <w:rPr>
          <w:lang w:eastAsia="fr-FR"/>
        </w:rPr>
        <w:t xml:space="preserve">autoroute transeuropéenne Nord-Sud (TEM) </w:t>
      </w:r>
    </w:p>
    <w:p w14:paraId="6F15BECA" w14:textId="77777777" w:rsidR="001E6D3C" w:rsidRDefault="001E6D3C" w:rsidP="00A13E6D">
      <w:pPr>
        <w:pStyle w:val="SingleTxtG"/>
        <w:rPr>
          <w:lang w:eastAsia="fr-FR"/>
        </w:rPr>
      </w:pPr>
      <w:r w:rsidRPr="00E86050">
        <w:rPr>
          <w:lang w:eastAsia="fr-FR"/>
        </w:rPr>
        <w:t>81.</w:t>
      </w:r>
      <w:r w:rsidRPr="00E86050">
        <w:rPr>
          <w:lang w:eastAsia="fr-FR"/>
        </w:rPr>
        <w:tab/>
        <w:t xml:space="preserve">La soixante-douzième session </w:t>
      </w:r>
      <w:r>
        <w:rPr>
          <w:lang w:eastAsia="fr-FR"/>
        </w:rPr>
        <w:t xml:space="preserve">du </w:t>
      </w:r>
      <w:r w:rsidRPr="00E86050">
        <w:rPr>
          <w:lang w:eastAsia="fr-FR"/>
        </w:rPr>
        <w:t>Comité directeur du projet TEM</w:t>
      </w:r>
      <w:r>
        <w:rPr>
          <w:lang w:eastAsia="fr-FR"/>
        </w:rPr>
        <w:t xml:space="preserve"> s</w:t>
      </w:r>
      <w:r w:rsidR="00616FE4">
        <w:rPr>
          <w:lang w:eastAsia="fr-FR"/>
        </w:rPr>
        <w:t>’</w:t>
      </w:r>
      <w:r>
        <w:rPr>
          <w:lang w:eastAsia="fr-FR"/>
        </w:rPr>
        <w:t>est tenue à Antalya les 1</w:t>
      </w:r>
      <w:r w:rsidRPr="00E86050">
        <w:rPr>
          <w:vertAlign w:val="superscript"/>
          <w:lang w:eastAsia="fr-FR"/>
        </w:rPr>
        <w:t>er</w:t>
      </w:r>
      <w:r>
        <w:rPr>
          <w:lang w:eastAsia="fr-FR"/>
        </w:rPr>
        <w:t xml:space="preserve"> et 2 mai 2019, et la soixante-treizième à Varsovie les </w:t>
      </w:r>
      <w:r w:rsidRPr="00E86050">
        <w:rPr>
          <w:lang w:eastAsia="fr-FR"/>
        </w:rPr>
        <w:t xml:space="preserve">3 et 4 décembre 2019. </w:t>
      </w:r>
      <w:r>
        <w:rPr>
          <w:lang w:eastAsia="fr-FR"/>
        </w:rPr>
        <w:t xml:space="preserve">Toutes les activités recensées dans le plan stratégique du TEM pour </w:t>
      </w:r>
      <w:r w:rsidRPr="00E86050">
        <w:rPr>
          <w:lang w:eastAsia="fr-FR"/>
        </w:rPr>
        <w:t>2017</w:t>
      </w:r>
      <w:r w:rsidR="000D2BEC">
        <w:rPr>
          <w:lang w:eastAsia="fr-FR"/>
        </w:rPr>
        <w:t>-</w:t>
      </w:r>
      <w:r w:rsidRPr="00E86050">
        <w:rPr>
          <w:lang w:eastAsia="fr-FR"/>
        </w:rPr>
        <w:t xml:space="preserve">2021 </w:t>
      </w:r>
      <w:r>
        <w:rPr>
          <w:lang w:eastAsia="fr-FR"/>
        </w:rPr>
        <w:t>ont été mises en œuvre.</w:t>
      </w:r>
    </w:p>
    <w:p w14:paraId="30453EA0" w14:textId="77777777" w:rsidR="001E6D3C" w:rsidRDefault="001E6D3C" w:rsidP="00A13E6D">
      <w:pPr>
        <w:pStyle w:val="SingleTxtG"/>
        <w:rPr>
          <w:lang w:eastAsia="fr-FR"/>
        </w:rPr>
      </w:pPr>
      <w:r w:rsidRPr="00E86050">
        <w:rPr>
          <w:lang w:eastAsia="fr-FR"/>
        </w:rPr>
        <w:t>82.</w:t>
      </w:r>
      <w:r w:rsidRPr="00E86050">
        <w:rPr>
          <w:lang w:eastAsia="fr-FR"/>
        </w:rPr>
        <w:tab/>
        <w:t>Deux rapports thématiques ont été élaborés</w:t>
      </w:r>
      <w:r>
        <w:rPr>
          <w:lang w:eastAsia="fr-FR"/>
        </w:rPr>
        <w:t>, l</w:t>
      </w:r>
      <w:r w:rsidR="00616FE4">
        <w:rPr>
          <w:lang w:eastAsia="fr-FR"/>
        </w:rPr>
        <w:t>’</w:t>
      </w:r>
      <w:r>
        <w:rPr>
          <w:lang w:eastAsia="fr-FR"/>
        </w:rPr>
        <w:t xml:space="preserve">un </w:t>
      </w:r>
      <w:r w:rsidRPr="00E86050">
        <w:rPr>
          <w:lang w:eastAsia="fr-FR"/>
        </w:rPr>
        <w:t>portant sur la modélisation des données de construction dans le domaine des infrastructures routières</w:t>
      </w:r>
      <w:r>
        <w:rPr>
          <w:lang w:eastAsia="fr-FR"/>
        </w:rPr>
        <w:t xml:space="preserve"> ainsi que sur les exigences et recommandation du projet TEM à ce sujet, et l</w:t>
      </w:r>
      <w:r w:rsidR="00616FE4">
        <w:rPr>
          <w:lang w:eastAsia="fr-FR"/>
        </w:rPr>
        <w:t>’</w:t>
      </w:r>
      <w:r>
        <w:rPr>
          <w:lang w:eastAsia="fr-FR"/>
        </w:rPr>
        <w:t>autre sur le déploiement des systèmes d</w:t>
      </w:r>
      <w:r w:rsidR="00616FE4">
        <w:rPr>
          <w:lang w:eastAsia="fr-FR"/>
        </w:rPr>
        <w:t>’</w:t>
      </w:r>
      <w:r>
        <w:rPr>
          <w:lang w:eastAsia="fr-FR"/>
        </w:rPr>
        <w:t>outillage et d</w:t>
      </w:r>
      <w:r w:rsidR="00616FE4">
        <w:rPr>
          <w:lang w:eastAsia="fr-FR"/>
        </w:rPr>
        <w:t>’</w:t>
      </w:r>
      <w:r>
        <w:rPr>
          <w:lang w:eastAsia="fr-FR"/>
        </w:rPr>
        <w:t xml:space="preserve">équipement sur le réseau TEM, assorti de considérations et de recommandations. </w:t>
      </w:r>
    </w:p>
    <w:p w14:paraId="6B8041AF" w14:textId="77777777" w:rsidR="001E6D3C" w:rsidRPr="00474718" w:rsidRDefault="001E6D3C" w:rsidP="00A13E6D">
      <w:pPr>
        <w:pStyle w:val="SingleTxtG"/>
        <w:rPr>
          <w:lang w:eastAsia="fr-FR"/>
        </w:rPr>
      </w:pPr>
      <w:r w:rsidRPr="00474718">
        <w:rPr>
          <w:lang w:eastAsia="fr-FR"/>
        </w:rPr>
        <w:t>83.</w:t>
      </w:r>
      <w:r w:rsidRPr="00474718">
        <w:rPr>
          <w:lang w:eastAsia="fr-FR"/>
        </w:rPr>
        <w:tab/>
      </w:r>
      <w:r>
        <w:rPr>
          <w:lang w:eastAsia="fr-FR"/>
        </w:rPr>
        <w:t>A</w:t>
      </w:r>
      <w:r w:rsidRPr="00474718">
        <w:rPr>
          <w:lang w:eastAsia="fr-FR"/>
        </w:rPr>
        <w:t xml:space="preserve">telier </w:t>
      </w:r>
      <w:r>
        <w:rPr>
          <w:lang w:eastAsia="fr-FR"/>
        </w:rPr>
        <w:t>sur l</w:t>
      </w:r>
      <w:r w:rsidR="00616FE4">
        <w:rPr>
          <w:lang w:eastAsia="fr-FR"/>
        </w:rPr>
        <w:t>’</w:t>
      </w:r>
      <w:r>
        <w:rPr>
          <w:lang w:eastAsia="fr-FR"/>
        </w:rPr>
        <w:t>é</w:t>
      </w:r>
      <w:r w:rsidRPr="00474718">
        <w:rPr>
          <w:lang w:eastAsia="fr-FR"/>
        </w:rPr>
        <w:t>valuation de l</w:t>
      </w:r>
      <w:r w:rsidR="00616FE4">
        <w:rPr>
          <w:lang w:eastAsia="fr-FR"/>
        </w:rPr>
        <w:t>’</w:t>
      </w:r>
      <w:r w:rsidRPr="00474718">
        <w:rPr>
          <w:lang w:eastAsia="fr-FR"/>
        </w:rPr>
        <w:t>efficacité du système de perception des péage</w:t>
      </w:r>
      <w:r w:rsidR="000D2BEC">
        <w:rPr>
          <w:lang w:eastAsia="fr-FR"/>
        </w:rPr>
        <w:t>s</w:t>
      </w:r>
      <w:r w:rsidRPr="00474718">
        <w:rPr>
          <w:lang w:eastAsia="fr-FR"/>
        </w:rPr>
        <w:t xml:space="preserve"> (Antalya, </w:t>
      </w:r>
      <w:r>
        <w:rPr>
          <w:lang w:eastAsia="fr-FR"/>
        </w:rPr>
        <w:t xml:space="preserve">avril </w:t>
      </w:r>
      <w:r w:rsidRPr="00474718">
        <w:rPr>
          <w:lang w:eastAsia="fr-FR"/>
        </w:rPr>
        <w:t xml:space="preserve">2019) </w:t>
      </w:r>
      <w:r>
        <w:rPr>
          <w:lang w:eastAsia="fr-FR"/>
        </w:rPr>
        <w:t xml:space="preserve">et atelier sur la gestion des actifs </w:t>
      </w:r>
      <w:r w:rsidRPr="00474718">
        <w:rPr>
          <w:lang w:eastAsia="fr-FR"/>
        </w:rPr>
        <w:t>(</w:t>
      </w:r>
      <w:r>
        <w:rPr>
          <w:lang w:eastAsia="fr-FR"/>
        </w:rPr>
        <w:t>Varsovie</w:t>
      </w:r>
      <w:r w:rsidRPr="00474718">
        <w:rPr>
          <w:lang w:eastAsia="fr-FR"/>
        </w:rPr>
        <w:t xml:space="preserve">, </w:t>
      </w:r>
      <w:r>
        <w:rPr>
          <w:lang w:eastAsia="fr-FR"/>
        </w:rPr>
        <w:t>décembre</w:t>
      </w:r>
      <w:r w:rsidRPr="00474718">
        <w:rPr>
          <w:lang w:eastAsia="fr-FR"/>
        </w:rPr>
        <w:t xml:space="preserve"> 2019). </w:t>
      </w:r>
    </w:p>
    <w:p w14:paraId="3264D44E" w14:textId="77777777" w:rsidR="001E6D3C" w:rsidRPr="00A0273C" w:rsidRDefault="001E6D3C" w:rsidP="00A13E6D">
      <w:pPr>
        <w:pStyle w:val="SingleTxtG"/>
        <w:rPr>
          <w:lang w:eastAsia="fr-FR"/>
        </w:rPr>
      </w:pPr>
      <w:r w:rsidRPr="00A0273C">
        <w:rPr>
          <w:lang w:eastAsia="fr-FR"/>
        </w:rPr>
        <w:t>84.</w:t>
      </w:r>
      <w:r w:rsidRPr="00A0273C">
        <w:rPr>
          <w:lang w:eastAsia="fr-FR"/>
        </w:rPr>
        <w:tab/>
        <w:t>La vingt-sixième réunion annuelle TEM/volet V du programme iHEEP s</w:t>
      </w:r>
      <w:r w:rsidR="00616FE4">
        <w:rPr>
          <w:lang w:eastAsia="fr-FR"/>
        </w:rPr>
        <w:t>’</w:t>
      </w:r>
      <w:r w:rsidRPr="00A0273C">
        <w:rPr>
          <w:lang w:eastAsia="fr-FR"/>
        </w:rPr>
        <w:t xml:space="preserve">est tenue à Varsovie et Cracovie (Pologne) du </w:t>
      </w:r>
      <w:r>
        <w:rPr>
          <w:lang w:eastAsia="fr-FR"/>
        </w:rPr>
        <w:t>10</w:t>
      </w:r>
      <w:r w:rsidRPr="00A0273C">
        <w:rPr>
          <w:lang w:eastAsia="fr-FR"/>
        </w:rPr>
        <w:t xml:space="preserve"> au 1</w:t>
      </w:r>
      <w:r>
        <w:rPr>
          <w:lang w:eastAsia="fr-FR"/>
        </w:rPr>
        <w:t>3</w:t>
      </w:r>
      <w:r w:rsidRPr="00A0273C">
        <w:rPr>
          <w:lang w:eastAsia="fr-FR"/>
        </w:rPr>
        <w:t xml:space="preserve"> juin 2019.</w:t>
      </w:r>
      <w:r w:rsidRPr="00A0273C">
        <w:rPr>
          <w:rFonts w:ascii="Segoe UI" w:hAnsi="Segoe UI" w:cs="Segoe UI"/>
        </w:rPr>
        <w:t xml:space="preserve"> </w:t>
      </w:r>
      <w:r w:rsidRPr="00A0273C">
        <w:t xml:space="preserve">Cette </w:t>
      </w:r>
      <w:r w:rsidRPr="00A0273C">
        <w:rPr>
          <w:lang w:eastAsia="fr-FR"/>
        </w:rPr>
        <w:t xml:space="preserve">réunion était consacrée </w:t>
      </w:r>
      <w:r>
        <w:rPr>
          <w:lang w:eastAsia="fr-FR"/>
        </w:rPr>
        <w:t xml:space="preserve">aux techniques et pratiques de </w:t>
      </w:r>
      <w:r w:rsidRPr="00A0273C">
        <w:rPr>
          <w:lang w:eastAsia="fr-FR"/>
        </w:rPr>
        <w:t>modélisation des données sur la construction</w:t>
      </w:r>
      <w:r>
        <w:rPr>
          <w:lang w:eastAsia="fr-FR"/>
        </w:rPr>
        <w:t xml:space="preserve"> (BIM), qui est </w:t>
      </w:r>
      <w:r w:rsidRPr="00A0273C">
        <w:rPr>
          <w:lang w:eastAsia="fr-FR"/>
        </w:rPr>
        <w:t>l</w:t>
      </w:r>
      <w:r w:rsidR="00616FE4">
        <w:rPr>
          <w:lang w:eastAsia="fr-FR"/>
        </w:rPr>
        <w:t>’</w:t>
      </w:r>
      <w:r w:rsidRPr="00A0273C">
        <w:rPr>
          <w:lang w:eastAsia="fr-FR"/>
        </w:rPr>
        <w:t xml:space="preserve">un des thèmes prioritaires </w:t>
      </w:r>
      <w:r>
        <w:rPr>
          <w:lang w:eastAsia="fr-FR"/>
        </w:rPr>
        <w:t xml:space="preserve">de la </w:t>
      </w:r>
      <w:r w:rsidRPr="00A0273C">
        <w:rPr>
          <w:lang w:eastAsia="fr-FR"/>
        </w:rPr>
        <w:t xml:space="preserve">conception de projets futurs </w:t>
      </w:r>
      <w:r>
        <w:rPr>
          <w:lang w:eastAsia="fr-FR"/>
        </w:rPr>
        <w:t xml:space="preserve">pour les pays qui participent au </w:t>
      </w:r>
      <w:r w:rsidRPr="00A0273C">
        <w:rPr>
          <w:lang w:eastAsia="fr-FR"/>
        </w:rPr>
        <w:t>projet TEM.</w:t>
      </w:r>
    </w:p>
    <w:p w14:paraId="61318661" w14:textId="77777777" w:rsidR="001E6D3C" w:rsidRPr="00A0273C" w:rsidRDefault="001E6D3C" w:rsidP="00A13E6D">
      <w:pPr>
        <w:pStyle w:val="SingleTxtG"/>
        <w:rPr>
          <w:lang w:eastAsia="fr-FR"/>
        </w:rPr>
      </w:pPr>
      <w:r w:rsidRPr="00A0273C">
        <w:rPr>
          <w:lang w:eastAsia="fr-FR"/>
        </w:rPr>
        <w:t>85.</w:t>
      </w:r>
      <w:r w:rsidRPr="00A0273C">
        <w:rPr>
          <w:lang w:eastAsia="fr-FR"/>
        </w:rPr>
        <w:tab/>
        <w:t>Deux gouvernements participants au projet TEM (Croatie et Pologne) ont désigné</w:t>
      </w:r>
      <w:r>
        <w:rPr>
          <w:lang w:eastAsia="fr-FR"/>
        </w:rPr>
        <w:t xml:space="preserve"> des membres de la direction du projet TEM pour 2020-2021, ce qui permettra la mise en œuvre à grande échelle des activités prévues dans le plan stratégique.</w:t>
      </w:r>
    </w:p>
    <w:p w14:paraId="43FD3378" w14:textId="77777777" w:rsidR="001E6D3C" w:rsidRPr="003D223D" w:rsidRDefault="001E6D3C" w:rsidP="00135983">
      <w:pPr>
        <w:pStyle w:val="H23G"/>
        <w:rPr>
          <w:lang w:eastAsia="fr-FR"/>
        </w:rPr>
      </w:pPr>
      <w:r w:rsidRPr="001E6D3C">
        <w:rPr>
          <w:lang w:eastAsia="fr-FR"/>
        </w:rPr>
        <w:tab/>
      </w:r>
      <w:r w:rsidRPr="003D223D">
        <w:rPr>
          <w:lang w:eastAsia="fr-FR"/>
        </w:rPr>
        <w:t>3.</w:t>
      </w:r>
      <w:r w:rsidRPr="003D223D">
        <w:rPr>
          <w:lang w:eastAsia="fr-FR"/>
        </w:rPr>
        <w:tab/>
        <w:t xml:space="preserve">Projets de chemin de fer transeuropéen (TER) </w:t>
      </w:r>
    </w:p>
    <w:p w14:paraId="63AC6293" w14:textId="77777777" w:rsidR="001E6D3C" w:rsidRDefault="001E6D3C" w:rsidP="00135983">
      <w:pPr>
        <w:pStyle w:val="SingleTxtG"/>
        <w:rPr>
          <w:lang w:eastAsia="fr-FR"/>
        </w:rPr>
      </w:pPr>
      <w:r w:rsidRPr="00863616">
        <w:rPr>
          <w:lang w:eastAsia="fr-FR"/>
        </w:rPr>
        <w:t>86.</w:t>
      </w:r>
      <w:r w:rsidRPr="00863616">
        <w:rPr>
          <w:lang w:eastAsia="fr-FR"/>
        </w:rPr>
        <w:tab/>
        <w:t>Le projet de rapport sur</w:t>
      </w:r>
      <w:r w:rsidRPr="00863616">
        <w:rPr>
          <w:rFonts w:ascii="Segoe UI" w:hAnsi="Segoe UI" w:cs="Segoe UI"/>
        </w:rPr>
        <w:t xml:space="preserve"> </w:t>
      </w:r>
      <w:r w:rsidRPr="00863616">
        <w:rPr>
          <w:lang w:eastAsia="fr-FR"/>
        </w:rPr>
        <w:t>la phase II du plan directeur du TER pour le réseau ferroviaire à grande vitesse</w:t>
      </w:r>
      <w:r>
        <w:rPr>
          <w:lang w:eastAsia="fr-FR"/>
        </w:rPr>
        <w:t xml:space="preserve"> a été présenté au Comité directeur du projet TER pour </w:t>
      </w:r>
      <w:r w:rsidRPr="00863616">
        <w:rPr>
          <w:lang w:eastAsia="fr-FR"/>
        </w:rPr>
        <w:t>qu</w:t>
      </w:r>
      <w:r w:rsidR="00616FE4">
        <w:rPr>
          <w:lang w:eastAsia="fr-FR"/>
        </w:rPr>
        <w:t>’</w:t>
      </w:r>
      <w:r w:rsidRPr="00863616">
        <w:rPr>
          <w:lang w:eastAsia="fr-FR"/>
        </w:rPr>
        <w:t>il</w:t>
      </w:r>
      <w:r>
        <w:rPr>
          <w:lang w:eastAsia="fr-FR"/>
        </w:rPr>
        <w:t xml:space="preserve"> </w:t>
      </w:r>
      <w:r w:rsidRPr="00863616">
        <w:rPr>
          <w:lang w:eastAsia="fr-FR"/>
        </w:rPr>
        <w:t xml:space="preserve">fasse </w:t>
      </w:r>
      <w:r w:rsidRPr="00863616">
        <w:rPr>
          <w:bCs/>
          <w:lang w:eastAsia="fr-FR"/>
        </w:rPr>
        <w:t>part de ses observations et suggestions</w:t>
      </w:r>
      <w:r w:rsidRPr="00863616">
        <w:rPr>
          <w:lang w:eastAsia="fr-FR"/>
        </w:rPr>
        <w:t xml:space="preserve">. </w:t>
      </w:r>
      <w:r>
        <w:rPr>
          <w:lang w:eastAsia="fr-FR"/>
        </w:rPr>
        <w:t>Le rapport final devrait être prêt au premier trimestre de 2020.</w:t>
      </w:r>
    </w:p>
    <w:p w14:paraId="674E9564" w14:textId="77777777" w:rsidR="001E6D3C" w:rsidRPr="00866400" w:rsidRDefault="001E6D3C" w:rsidP="00135983">
      <w:pPr>
        <w:pStyle w:val="H23G"/>
        <w:rPr>
          <w:lang w:eastAsia="fr-FR"/>
        </w:rPr>
      </w:pPr>
      <w:r w:rsidRPr="001E6D3C">
        <w:rPr>
          <w:lang w:eastAsia="fr-FR"/>
        </w:rPr>
        <w:tab/>
      </w:r>
      <w:r w:rsidRPr="00866400">
        <w:rPr>
          <w:lang w:eastAsia="fr-FR"/>
        </w:rPr>
        <w:t>4.</w:t>
      </w:r>
      <w:r w:rsidRPr="00866400">
        <w:rPr>
          <w:lang w:eastAsia="fr-FR"/>
        </w:rPr>
        <w:tab/>
        <w:t xml:space="preserve">Groupe de travail thématique du transport durable, du transit et de la connectivité </w:t>
      </w:r>
      <w:r w:rsidR="00E27441">
        <w:rPr>
          <w:lang w:eastAsia="fr-FR"/>
        </w:rPr>
        <w:br/>
      </w:r>
      <w:r w:rsidRPr="00866400">
        <w:rPr>
          <w:lang w:eastAsia="fr-FR"/>
        </w:rPr>
        <w:t>du Programme spécial des Nations Unies pour les pays d</w:t>
      </w:r>
      <w:r w:rsidR="00616FE4">
        <w:rPr>
          <w:lang w:eastAsia="fr-FR"/>
        </w:rPr>
        <w:t>’</w:t>
      </w:r>
      <w:r w:rsidRPr="00866400">
        <w:rPr>
          <w:lang w:eastAsia="fr-FR"/>
        </w:rPr>
        <w:t xml:space="preserve">Asie centrale (SPECA) </w:t>
      </w:r>
    </w:p>
    <w:p w14:paraId="4CC5FE0F" w14:textId="77777777" w:rsidR="001E6D3C" w:rsidRDefault="001E6D3C" w:rsidP="00135983">
      <w:pPr>
        <w:pStyle w:val="SingleTxtG"/>
        <w:rPr>
          <w:lang w:eastAsia="fr-FR"/>
        </w:rPr>
      </w:pPr>
      <w:r w:rsidRPr="009E61C0">
        <w:rPr>
          <w:lang w:eastAsia="fr-FR"/>
        </w:rPr>
        <w:t>87.</w:t>
      </w:r>
      <w:r w:rsidRPr="009E61C0">
        <w:rPr>
          <w:lang w:eastAsia="fr-FR"/>
        </w:rPr>
        <w:tab/>
        <w:t>Après plusieurs années, la connectivité des transports</w:t>
      </w:r>
      <w:r>
        <w:rPr>
          <w:lang w:eastAsia="fr-FR"/>
        </w:rPr>
        <w:t xml:space="preserve"> a constitué l</w:t>
      </w:r>
      <w:r w:rsidR="00616FE4">
        <w:rPr>
          <w:lang w:eastAsia="fr-FR"/>
        </w:rPr>
        <w:t>’</w:t>
      </w:r>
      <w:r>
        <w:rPr>
          <w:lang w:eastAsia="fr-FR"/>
        </w:rPr>
        <w:t xml:space="preserve">un des thèmes principaux du Forum économique 2019 </w:t>
      </w:r>
      <w:r w:rsidRPr="009E61C0">
        <w:rPr>
          <w:lang w:eastAsia="fr-FR"/>
        </w:rPr>
        <w:t>du Programme spécial des Nations Unies pour les économies des pays d</w:t>
      </w:r>
      <w:r w:rsidR="00616FE4">
        <w:rPr>
          <w:lang w:eastAsia="fr-FR"/>
        </w:rPr>
        <w:t>’</w:t>
      </w:r>
      <w:r w:rsidRPr="009E61C0">
        <w:rPr>
          <w:lang w:eastAsia="fr-FR"/>
        </w:rPr>
        <w:t>Asie centrale (SPECA)</w:t>
      </w:r>
      <w:r>
        <w:rPr>
          <w:lang w:eastAsia="fr-FR"/>
        </w:rPr>
        <w:t xml:space="preserve"> qui s</w:t>
      </w:r>
      <w:r w:rsidR="00616FE4">
        <w:rPr>
          <w:lang w:eastAsia="fr-FR"/>
        </w:rPr>
        <w:t>’</w:t>
      </w:r>
      <w:r>
        <w:rPr>
          <w:lang w:eastAsia="fr-FR"/>
        </w:rPr>
        <w:t xml:space="preserve">est tenu à </w:t>
      </w:r>
      <w:r w:rsidRPr="009E61C0">
        <w:rPr>
          <w:lang w:eastAsia="fr-FR"/>
        </w:rPr>
        <w:t>Achgabat les 18 et 19</w:t>
      </w:r>
      <w:r w:rsidR="00E27441">
        <w:rPr>
          <w:lang w:eastAsia="fr-FR"/>
        </w:rPr>
        <w:t> </w:t>
      </w:r>
      <w:r>
        <w:rPr>
          <w:lang w:eastAsia="fr-FR"/>
        </w:rPr>
        <w:t xml:space="preserve">novembre </w:t>
      </w:r>
      <w:r w:rsidRPr="009E61C0">
        <w:rPr>
          <w:lang w:eastAsia="fr-FR"/>
        </w:rPr>
        <w:t xml:space="preserve">2019. </w:t>
      </w:r>
      <w:r>
        <w:rPr>
          <w:lang w:eastAsia="fr-FR"/>
        </w:rPr>
        <w:t>Les délégués nationaux ainsi que des représentants d</w:t>
      </w:r>
      <w:r w:rsidR="00616FE4">
        <w:rPr>
          <w:lang w:eastAsia="fr-FR"/>
        </w:rPr>
        <w:t>’</w:t>
      </w:r>
      <w:r>
        <w:rPr>
          <w:lang w:eastAsia="fr-FR"/>
        </w:rPr>
        <w:t xml:space="preserve">organisations internationales et </w:t>
      </w:r>
      <w:r w:rsidRPr="009E61C0">
        <w:rPr>
          <w:lang w:eastAsia="fr-FR"/>
        </w:rPr>
        <w:t>différentes banques de développement</w:t>
      </w:r>
      <w:r w:rsidR="00E27441">
        <w:rPr>
          <w:lang w:eastAsia="fr-FR"/>
        </w:rPr>
        <w:t xml:space="preserve"> </w:t>
      </w:r>
      <w:r>
        <w:rPr>
          <w:lang w:eastAsia="fr-FR"/>
        </w:rPr>
        <w:t xml:space="preserve">ont débattu de la manière de favoriser les transports durables en réduisant les </w:t>
      </w:r>
      <w:r w:rsidRPr="00753545">
        <w:rPr>
          <w:lang w:eastAsia="fr-FR"/>
        </w:rPr>
        <w:t>obstacles physiques et non physiques au transport</w:t>
      </w:r>
      <w:r>
        <w:rPr>
          <w:lang w:eastAsia="fr-FR"/>
        </w:rPr>
        <w:t xml:space="preserve"> et d</w:t>
      </w:r>
      <w:r w:rsidR="00616FE4">
        <w:rPr>
          <w:lang w:eastAsia="fr-FR"/>
        </w:rPr>
        <w:t>’</w:t>
      </w:r>
      <w:r>
        <w:rPr>
          <w:lang w:eastAsia="fr-FR"/>
        </w:rPr>
        <w:t>améliorer la connectivité régionale. C</w:t>
      </w:r>
      <w:r w:rsidR="00616FE4">
        <w:rPr>
          <w:lang w:eastAsia="fr-FR"/>
        </w:rPr>
        <w:t>’</w:t>
      </w:r>
      <w:r>
        <w:rPr>
          <w:lang w:eastAsia="fr-FR"/>
        </w:rPr>
        <w:t>est au cours de ce Forum qu</w:t>
      </w:r>
      <w:r w:rsidR="00616FE4">
        <w:rPr>
          <w:lang w:eastAsia="fr-FR"/>
        </w:rPr>
        <w:t>’</w:t>
      </w:r>
      <w:r>
        <w:rPr>
          <w:lang w:eastAsia="fr-FR"/>
        </w:rPr>
        <w:t>a été lancée l</w:t>
      </w:r>
      <w:r w:rsidR="00616FE4">
        <w:rPr>
          <w:lang w:eastAsia="fr-FR"/>
        </w:rPr>
        <w:t>’</w:t>
      </w:r>
      <w:r>
        <w:rPr>
          <w:lang w:eastAsia="fr-FR"/>
        </w:rPr>
        <w:t>initiative d</w:t>
      </w:r>
      <w:r w:rsidR="00616FE4">
        <w:rPr>
          <w:lang w:eastAsia="fr-FR"/>
        </w:rPr>
        <w:t>’</w:t>
      </w:r>
      <w:r>
        <w:rPr>
          <w:lang w:eastAsia="fr-FR"/>
        </w:rPr>
        <w:t xml:space="preserve">Achgabat qui vise à </w:t>
      </w:r>
      <w:r w:rsidRPr="00753545">
        <w:rPr>
          <w:lang w:eastAsia="fr-FR"/>
        </w:rPr>
        <w:t>réduire les obstacles au commerce</w:t>
      </w:r>
      <w:r>
        <w:rPr>
          <w:lang w:eastAsia="fr-FR"/>
        </w:rPr>
        <w:t xml:space="preserve"> et au transport à l</w:t>
      </w:r>
      <w:r w:rsidR="00616FE4">
        <w:rPr>
          <w:lang w:eastAsia="fr-FR"/>
        </w:rPr>
        <w:t>’</w:t>
      </w:r>
      <w:r>
        <w:rPr>
          <w:lang w:eastAsia="fr-FR"/>
        </w:rPr>
        <w:t>aide des instruments juridiques, normes standards et recommandations en matière de meilleurs pratiques de l</w:t>
      </w:r>
      <w:r w:rsidR="00616FE4">
        <w:rPr>
          <w:lang w:eastAsia="fr-FR"/>
        </w:rPr>
        <w:t>’</w:t>
      </w:r>
      <w:r>
        <w:rPr>
          <w:lang w:eastAsia="fr-FR"/>
        </w:rPr>
        <w:t>ONU, afin de renforcer le marché régional et les chaînes d</w:t>
      </w:r>
      <w:r w:rsidR="00616FE4">
        <w:rPr>
          <w:lang w:eastAsia="fr-FR"/>
        </w:rPr>
        <w:t>’</w:t>
      </w:r>
      <w:r>
        <w:rPr>
          <w:lang w:eastAsia="fr-FR"/>
        </w:rPr>
        <w:t xml:space="preserve">approvisionnement </w:t>
      </w:r>
      <w:r w:rsidRPr="00753545">
        <w:rPr>
          <w:lang w:eastAsia="fr-FR"/>
        </w:rPr>
        <w:t>transfrontières</w:t>
      </w:r>
      <w:r>
        <w:rPr>
          <w:lang w:eastAsia="fr-FR"/>
        </w:rPr>
        <w:t xml:space="preserve"> et d</w:t>
      </w:r>
      <w:r w:rsidR="00616FE4">
        <w:rPr>
          <w:lang w:eastAsia="fr-FR"/>
        </w:rPr>
        <w:t>’</w:t>
      </w:r>
      <w:r>
        <w:rPr>
          <w:lang w:eastAsia="fr-FR"/>
        </w:rPr>
        <w:t>améliorer la connectivité des pays du SPECA avec l</w:t>
      </w:r>
      <w:r w:rsidR="00616FE4">
        <w:rPr>
          <w:lang w:eastAsia="fr-FR"/>
        </w:rPr>
        <w:t>’</w:t>
      </w:r>
      <w:r>
        <w:rPr>
          <w:lang w:eastAsia="fr-FR"/>
        </w:rPr>
        <w:t>Europe et l</w:t>
      </w:r>
      <w:r w:rsidR="00616FE4">
        <w:rPr>
          <w:lang w:eastAsia="fr-FR"/>
        </w:rPr>
        <w:t>’</w:t>
      </w:r>
      <w:r>
        <w:rPr>
          <w:lang w:eastAsia="fr-FR"/>
        </w:rPr>
        <w:t>Asie dans le but d</w:t>
      </w:r>
      <w:r w:rsidR="00616FE4">
        <w:rPr>
          <w:lang w:eastAsia="fr-FR"/>
        </w:rPr>
        <w:t>’</w:t>
      </w:r>
      <w:r>
        <w:rPr>
          <w:lang w:eastAsia="fr-FR"/>
        </w:rPr>
        <w:t xml:space="preserve">attirer de nouveaux investissements, des nouvelles </w:t>
      </w:r>
      <w:r>
        <w:rPr>
          <w:lang w:eastAsia="fr-FR"/>
        </w:rPr>
        <w:lastRenderedPageBreak/>
        <w:t>technologies et d</w:t>
      </w:r>
      <w:r w:rsidR="00616FE4">
        <w:rPr>
          <w:lang w:eastAsia="fr-FR"/>
        </w:rPr>
        <w:t>’</w:t>
      </w:r>
      <w:r>
        <w:rPr>
          <w:lang w:eastAsia="fr-FR"/>
        </w:rPr>
        <w:t xml:space="preserve">autres innovations dans la région du SPECA. Ces mesures conjointes contribueront à assurer une croissance durable et inclusive dans la région tout en soutenant au bout du compte les efforts des pays du SPECA pour mettre </w:t>
      </w:r>
      <w:r w:rsidRPr="00D86186">
        <w:rPr>
          <w:lang w:eastAsia="fr-FR"/>
        </w:rPr>
        <w:t xml:space="preserve">en œuvre </w:t>
      </w:r>
      <w:r>
        <w:rPr>
          <w:lang w:eastAsia="fr-FR"/>
        </w:rPr>
        <w:t>le</w:t>
      </w:r>
      <w:r w:rsidRPr="00D86186">
        <w:rPr>
          <w:lang w:eastAsia="fr-FR"/>
        </w:rPr>
        <w:t xml:space="preserve"> Programme de développement durable à l</w:t>
      </w:r>
      <w:r w:rsidR="00616FE4">
        <w:rPr>
          <w:lang w:eastAsia="fr-FR"/>
        </w:rPr>
        <w:t>’</w:t>
      </w:r>
      <w:r w:rsidRPr="00D86186">
        <w:rPr>
          <w:lang w:eastAsia="fr-FR"/>
        </w:rPr>
        <w:t>horizon 2030</w:t>
      </w:r>
      <w:r>
        <w:rPr>
          <w:lang w:eastAsia="fr-FR"/>
        </w:rPr>
        <w:t xml:space="preserve">. Une attention particulière sera prêtée à la réduction des </w:t>
      </w:r>
      <w:r w:rsidRPr="00D86186">
        <w:rPr>
          <w:lang w:eastAsia="fr-FR"/>
        </w:rPr>
        <w:t>obstacles non tarifaires au commerce</w:t>
      </w:r>
      <w:r>
        <w:rPr>
          <w:lang w:eastAsia="fr-FR"/>
        </w:rPr>
        <w:t xml:space="preserve">, à la suppression des </w:t>
      </w:r>
      <w:r w:rsidRPr="00D86186">
        <w:rPr>
          <w:lang w:eastAsia="fr-FR"/>
        </w:rPr>
        <w:t xml:space="preserve">obstacles physiques et non physiques au transport et </w:t>
      </w:r>
      <w:r>
        <w:rPr>
          <w:lang w:eastAsia="fr-FR"/>
        </w:rPr>
        <w:t>à la promotion du transport durable et de la facilitation du commerce.</w:t>
      </w:r>
    </w:p>
    <w:p w14:paraId="62B07265" w14:textId="77777777" w:rsidR="001E6D3C" w:rsidRPr="009E4549" w:rsidRDefault="001E6D3C" w:rsidP="00135983">
      <w:pPr>
        <w:pStyle w:val="SingleTxtG"/>
        <w:rPr>
          <w:rFonts w:eastAsia="Times New Roman"/>
          <w:lang w:eastAsia="fr-FR"/>
        </w:rPr>
      </w:pPr>
      <w:r w:rsidRPr="001A3D26">
        <w:rPr>
          <w:rFonts w:eastAsia="Times New Roman"/>
          <w:lang w:eastAsia="fr-FR"/>
        </w:rPr>
        <w:t>88.</w:t>
      </w:r>
      <w:r w:rsidRPr="001A3D26">
        <w:rPr>
          <w:rFonts w:eastAsia="Times New Roman"/>
          <w:lang w:eastAsia="fr-FR"/>
        </w:rPr>
        <w:tab/>
        <w:t xml:space="preserve">En 2019, </w:t>
      </w:r>
      <w:r>
        <w:rPr>
          <w:rFonts w:eastAsia="Times New Roman"/>
          <w:lang w:eastAsia="fr-FR"/>
        </w:rPr>
        <w:t xml:space="preserve">le </w:t>
      </w:r>
      <w:r w:rsidRPr="001A3D26">
        <w:rPr>
          <w:rFonts w:eastAsia="Times New Roman"/>
          <w:lang w:eastAsia="fr-FR"/>
        </w:rPr>
        <w:t>Groupe de travail thématique du transport durable, du transit et de la connectivité</w:t>
      </w:r>
      <w:r>
        <w:rPr>
          <w:rFonts w:eastAsia="Times New Roman"/>
          <w:lang w:eastAsia="fr-FR"/>
        </w:rPr>
        <w:t xml:space="preserve"> s</w:t>
      </w:r>
      <w:r w:rsidR="00616FE4">
        <w:rPr>
          <w:rFonts w:eastAsia="Times New Roman"/>
          <w:lang w:eastAsia="fr-FR"/>
        </w:rPr>
        <w:t>’</w:t>
      </w:r>
      <w:r>
        <w:rPr>
          <w:rFonts w:eastAsia="Times New Roman"/>
          <w:lang w:eastAsia="fr-FR"/>
        </w:rPr>
        <w:t>est concentré sur la mise en conformité de ses document</w:t>
      </w:r>
      <w:r w:rsidR="003D230D">
        <w:rPr>
          <w:rFonts w:eastAsia="Times New Roman"/>
          <w:lang w:eastAsia="fr-FR"/>
        </w:rPr>
        <w:t>s</w:t>
      </w:r>
      <w:r>
        <w:rPr>
          <w:rFonts w:eastAsia="Times New Roman"/>
          <w:lang w:eastAsia="fr-FR"/>
        </w:rPr>
        <w:t xml:space="preserve"> stratégiques (projets de mandat et de programme de travail pour </w:t>
      </w:r>
      <w:r w:rsidRPr="001A3D26">
        <w:rPr>
          <w:rFonts w:eastAsia="Times New Roman"/>
          <w:lang w:eastAsia="fr-FR"/>
        </w:rPr>
        <w:t>2020</w:t>
      </w:r>
      <w:r w:rsidR="003D230D">
        <w:rPr>
          <w:rFonts w:eastAsia="Times New Roman"/>
          <w:lang w:eastAsia="fr-FR"/>
        </w:rPr>
        <w:t>-</w:t>
      </w:r>
      <w:r w:rsidRPr="001A3D26">
        <w:rPr>
          <w:rFonts w:eastAsia="Times New Roman"/>
          <w:lang w:eastAsia="fr-FR"/>
        </w:rPr>
        <w:t xml:space="preserve">2021) </w:t>
      </w:r>
      <w:r>
        <w:rPr>
          <w:rFonts w:eastAsia="Times New Roman"/>
          <w:lang w:eastAsia="fr-FR"/>
        </w:rPr>
        <w:t xml:space="preserve">avec les </w:t>
      </w:r>
      <w:r w:rsidRPr="001A3D26">
        <w:rPr>
          <w:rFonts w:eastAsia="Times New Roman"/>
          <w:lang w:eastAsia="fr-FR"/>
        </w:rPr>
        <w:t>objectifs de développement durable relatifs aux transports</w:t>
      </w:r>
      <w:r>
        <w:rPr>
          <w:rFonts w:eastAsia="Times New Roman"/>
          <w:lang w:eastAsia="fr-FR"/>
        </w:rPr>
        <w:t xml:space="preserve"> et avec les décision</w:t>
      </w:r>
      <w:r w:rsidR="001F7848">
        <w:rPr>
          <w:rFonts w:eastAsia="Times New Roman"/>
          <w:lang w:eastAsia="fr-FR"/>
        </w:rPr>
        <w:t>s</w:t>
      </w:r>
      <w:r>
        <w:rPr>
          <w:rFonts w:eastAsia="Times New Roman"/>
          <w:lang w:eastAsia="fr-FR"/>
        </w:rPr>
        <w:t xml:space="preserve"> prises ces deux dernières années par le Conseil</w:t>
      </w:r>
      <w:r w:rsidRPr="001A3D26">
        <w:rPr>
          <w:rFonts w:eastAsia="Times New Roman"/>
          <w:lang w:eastAsia="fr-FR"/>
        </w:rPr>
        <w:t xml:space="preserve"> d</w:t>
      </w:r>
      <w:r w:rsidR="00616FE4">
        <w:rPr>
          <w:rFonts w:eastAsia="Times New Roman"/>
          <w:lang w:eastAsia="fr-FR"/>
        </w:rPr>
        <w:t>’</w:t>
      </w:r>
      <w:r w:rsidRPr="001A3D26">
        <w:rPr>
          <w:rFonts w:eastAsia="Times New Roman"/>
          <w:lang w:eastAsia="fr-FR"/>
        </w:rPr>
        <w:t>administration du SPECA.</w:t>
      </w:r>
      <w:r>
        <w:rPr>
          <w:rFonts w:eastAsia="Times New Roman"/>
          <w:lang w:eastAsia="fr-FR"/>
        </w:rPr>
        <w:t xml:space="preserve"> Il s</w:t>
      </w:r>
      <w:r w:rsidR="00616FE4">
        <w:rPr>
          <w:rFonts w:eastAsia="Times New Roman"/>
          <w:lang w:eastAsia="fr-FR"/>
        </w:rPr>
        <w:t>’</w:t>
      </w:r>
      <w:r>
        <w:rPr>
          <w:rFonts w:eastAsia="Times New Roman"/>
          <w:lang w:eastAsia="fr-FR"/>
        </w:rPr>
        <w:t>agissait surtout d</w:t>
      </w:r>
      <w:r w:rsidR="00616FE4">
        <w:rPr>
          <w:rFonts w:eastAsia="Times New Roman"/>
          <w:lang w:eastAsia="fr-FR"/>
        </w:rPr>
        <w:t>’</w:t>
      </w:r>
      <w:r>
        <w:rPr>
          <w:rFonts w:eastAsia="Times New Roman"/>
          <w:lang w:eastAsia="fr-FR"/>
        </w:rPr>
        <w:t xml:space="preserve">établir un programme de travail plus dynamique et réaliste qui serait centré sur des questions liées au transport et à la connectivité revêtant une grande importance pour la sous-région du SPECA. </w:t>
      </w:r>
      <w:r w:rsidRPr="00D040A6">
        <w:rPr>
          <w:rFonts w:eastAsia="Times New Roman"/>
          <w:lang w:eastAsia="fr-FR"/>
        </w:rPr>
        <w:t>La discussion portant sur la mise en place d</w:t>
      </w:r>
      <w:r w:rsidR="00616FE4">
        <w:rPr>
          <w:rFonts w:eastAsia="Times New Roman"/>
          <w:lang w:eastAsia="fr-FR"/>
        </w:rPr>
        <w:t>’</w:t>
      </w:r>
      <w:r w:rsidRPr="00D040A6">
        <w:rPr>
          <w:rFonts w:eastAsia="Times New Roman"/>
          <w:lang w:eastAsia="fr-FR"/>
        </w:rPr>
        <w:t>une connectivité plus efficace, le développement durable du système de transport et l</w:t>
      </w:r>
      <w:r w:rsidR="00616FE4">
        <w:rPr>
          <w:rFonts w:eastAsia="Times New Roman"/>
          <w:lang w:eastAsia="fr-FR"/>
        </w:rPr>
        <w:t>’</w:t>
      </w:r>
      <w:r w:rsidRPr="00D040A6">
        <w:rPr>
          <w:rFonts w:eastAsia="Times New Roman"/>
          <w:lang w:eastAsia="fr-FR"/>
        </w:rPr>
        <w:t>instauration d</w:t>
      </w:r>
      <w:r w:rsidR="00616FE4">
        <w:rPr>
          <w:rFonts w:eastAsia="Times New Roman"/>
          <w:lang w:eastAsia="fr-FR"/>
        </w:rPr>
        <w:t>’</w:t>
      </w:r>
      <w:r w:rsidRPr="00D040A6">
        <w:rPr>
          <w:rFonts w:eastAsia="Times New Roman"/>
          <w:lang w:eastAsia="fr-FR"/>
        </w:rPr>
        <w:t>un transit international et régional continu</w:t>
      </w:r>
      <w:r>
        <w:rPr>
          <w:rFonts w:eastAsia="Times New Roman"/>
          <w:lang w:eastAsia="fr-FR"/>
        </w:rPr>
        <w:t xml:space="preserve"> a clairement souligné la nécessité d</w:t>
      </w:r>
      <w:r w:rsidR="00616FE4">
        <w:rPr>
          <w:rFonts w:eastAsia="Times New Roman"/>
          <w:lang w:eastAsia="fr-FR"/>
        </w:rPr>
        <w:t>’</w:t>
      </w:r>
      <w:r>
        <w:rPr>
          <w:rFonts w:eastAsia="Times New Roman"/>
          <w:lang w:eastAsia="fr-FR"/>
        </w:rPr>
        <w:t>une coopération sous-régionale approfondie. La CEE et la CESAP ont informé les participants des éléments nouveaux concernant l</w:t>
      </w:r>
      <w:r w:rsidR="00616FE4">
        <w:rPr>
          <w:rFonts w:eastAsia="Times New Roman"/>
          <w:lang w:eastAsia="fr-FR"/>
        </w:rPr>
        <w:t>’</w:t>
      </w:r>
      <w:r>
        <w:rPr>
          <w:rFonts w:eastAsia="Times New Roman"/>
          <w:lang w:eastAsia="fr-FR"/>
        </w:rPr>
        <w:t>élaboration d</w:t>
      </w:r>
      <w:r w:rsidR="00616FE4">
        <w:rPr>
          <w:rFonts w:eastAsia="Times New Roman"/>
          <w:lang w:eastAsia="fr-FR"/>
        </w:rPr>
        <w:t>’</w:t>
      </w:r>
      <w:r>
        <w:rPr>
          <w:rFonts w:eastAsia="Times New Roman"/>
          <w:lang w:eastAsia="fr-FR"/>
        </w:rPr>
        <w:t xml:space="preserve">instruments juridiques internationaux, la mise en œuvre des projets de transport et les activités de renforcement des capacités. La session du </w:t>
      </w:r>
      <w:r w:rsidRPr="009E4549">
        <w:rPr>
          <w:rFonts w:eastAsia="Times New Roman"/>
          <w:lang w:eastAsia="fr-FR"/>
        </w:rPr>
        <w:t>Groupe de travail thématique du transport durable, du transit et de la connectivité</w:t>
      </w:r>
      <w:r>
        <w:rPr>
          <w:rFonts w:eastAsia="Times New Roman"/>
          <w:lang w:eastAsia="fr-FR"/>
        </w:rPr>
        <w:t xml:space="preserve"> a également abordé la question du suivi et de la communication des rapports sur la réalisation des </w:t>
      </w:r>
      <w:r w:rsidRPr="009E4549">
        <w:rPr>
          <w:rFonts w:eastAsia="Times New Roman"/>
          <w:lang w:eastAsia="fr-FR"/>
        </w:rPr>
        <w:t>objectifs de développement durable relatifs aux transports.</w:t>
      </w:r>
    </w:p>
    <w:p w14:paraId="26216A94" w14:textId="77777777" w:rsidR="001E6D3C" w:rsidRPr="001E6D3C" w:rsidRDefault="001E6D3C" w:rsidP="00135983">
      <w:pPr>
        <w:pStyle w:val="H23G"/>
        <w:rPr>
          <w:lang w:eastAsia="fr-FR"/>
        </w:rPr>
      </w:pPr>
      <w:r w:rsidRPr="009E4549">
        <w:rPr>
          <w:lang w:eastAsia="fr-FR"/>
        </w:rPr>
        <w:tab/>
      </w:r>
      <w:r w:rsidRPr="001E6D3C">
        <w:rPr>
          <w:lang w:eastAsia="fr-FR"/>
        </w:rPr>
        <w:t>5.</w:t>
      </w:r>
      <w:r w:rsidRPr="001E6D3C">
        <w:rPr>
          <w:lang w:eastAsia="fr-FR"/>
        </w:rPr>
        <w:tab/>
        <w:t>Véhicules sûrs </w:t>
      </w:r>
    </w:p>
    <w:p w14:paraId="6B027A18" w14:textId="77777777" w:rsidR="001E6D3C" w:rsidRDefault="001E6D3C" w:rsidP="00135983">
      <w:pPr>
        <w:pStyle w:val="SingleTxtG"/>
        <w:rPr>
          <w:rFonts w:eastAsia="Times New Roman"/>
          <w:lang w:eastAsia="fr-FR"/>
        </w:rPr>
      </w:pPr>
      <w:r w:rsidRPr="009E4549">
        <w:rPr>
          <w:rFonts w:eastAsia="Times New Roman"/>
          <w:lang w:eastAsia="fr-FR"/>
        </w:rPr>
        <w:t>89.</w:t>
      </w:r>
      <w:r w:rsidRPr="009E4549">
        <w:rPr>
          <w:rFonts w:eastAsia="Times New Roman"/>
          <w:lang w:eastAsia="fr-FR"/>
        </w:rPr>
        <w:tab/>
        <w:t xml:space="preserve">Pour donner suite aux recommandations </w:t>
      </w:r>
      <w:r>
        <w:rPr>
          <w:rFonts w:eastAsia="Times New Roman"/>
          <w:lang w:eastAsia="fr-FR"/>
        </w:rPr>
        <w:t>contenu</w:t>
      </w:r>
      <w:r w:rsidR="001F7848">
        <w:rPr>
          <w:rFonts w:eastAsia="Times New Roman"/>
          <w:lang w:eastAsia="fr-FR"/>
        </w:rPr>
        <w:t>e</w:t>
      </w:r>
      <w:r>
        <w:rPr>
          <w:rFonts w:eastAsia="Times New Roman"/>
          <w:lang w:eastAsia="fr-FR"/>
        </w:rPr>
        <w:t>s dans les é</w:t>
      </w:r>
      <w:r w:rsidRPr="009E4549">
        <w:rPr>
          <w:rFonts w:eastAsia="Times New Roman"/>
          <w:lang w:eastAsia="fr-FR"/>
        </w:rPr>
        <w:t>tudes de performance en matière de sécurité routière</w:t>
      </w:r>
      <w:r>
        <w:rPr>
          <w:rFonts w:eastAsia="Times New Roman"/>
          <w:lang w:eastAsia="fr-FR"/>
        </w:rPr>
        <w:t xml:space="preserve"> menées en 2018 en Géorgie, en coopération avec l</w:t>
      </w:r>
      <w:r w:rsidR="00616FE4">
        <w:rPr>
          <w:rFonts w:eastAsia="Times New Roman"/>
          <w:lang w:eastAsia="fr-FR"/>
        </w:rPr>
        <w:t>’</w:t>
      </w:r>
      <w:r>
        <w:rPr>
          <w:rFonts w:eastAsia="Times New Roman"/>
          <w:lang w:eastAsia="fr-FR"/>
        </w:rPr>
        <w:t>Agence des transports terrestres de ce pays, le secrétariat a organisé un atelier régional consacré à la mise en œuvre de l</w:t>
      </w:r>
      <w:r w:rsidR="00616FE4">
        <w:rPr>
          <w:rFonts w:eastAsia="Times New Roman"/>
          <w:lang w:eastAsia="fr-FR"/>
        </w:rPr>
        <w:t>’</w:t>
      </w:r>
      <w:r>
        <w:rPr>
          <w:rFonts w:eastAsia="Times New Roman"/>
          <w:lang w:eastAsia="fr-FR"/>
        </w:rPr>
        <w:t>Accord de 1958</w:t>
      </w:r>
      <w:r w:rsidRPr="009E4549">
        <w:rPr>
          <w:rFonts w:eastAsia="Times New Roman"/>
          <w:lang w:eastAsia="fr-FR"/>
        </w:rPr>
        <w:t xml:space="preserve"> (Tbilissi, 20 et 21 mai 2019). </w:t>
      </w:r>
      <w:r>
        <w:rPr>
          <w:rFonts w:eastAsia="Times New Roman"/>
          <w:lang w:eastAsia="fr-FR"/>
        </w:rPr>
        <w:t>Cet atelier avait pour but de renforcer les connaissances des experts géorgiens sur la manière de mettre en œuvre efficacement les dispositions de l</w:t>
      </w:r>
      <w:r w:rsidR="00616FE4">
        <w:rPr>
          <w:rFonts w:eastAsia="Times New Roman"/>
          <w:lang w:eastAsia="fr-FR"/>
        </w:rPr>
        <w:t>’</w:t>
      </w:r>
      <w:r>
        <w:rPr>
          <w:rFonts w:eastAsia="Times New Roman"/>
          <w:lang w:eastAsia="fr-FR"/>
        </w:rPr>
        <w:t>Accord de 1958 et d</w:t>
      </w:r>
      <w:r w:rsidR="00616FE4">
        <w:rPr>
          <w:rFonts w:eastAsia="Times New Roman"/>
          <w:lang w:eastAsia="fr-FR"/>
        </w:rPr>
        <w:t>’</w:t>
      </w:r>
      <w:r>
        <w:rPr>
          <w:rFonts w:eastAsia="Times New Roman"/>
          <w:lang w:eastAsia="fr-FR"/>
        </w:rPr>
        <w:t>actualiser la législation nationale pour qu</w:t>
      </w:r>
      <w:r w:rsidR="00616FE4">
        <w:rPr>
          <w:rFonts w:eastAsia="Times New Roman"/>
          <w:lang w:eastAsia="fr-FR"/>
        </w:rPr>
        <w:t>’</w:t>
      </w:r>
      <w:r>
        <w:rPr>
          <w:rFonts w:eastAsia="Times New Roman"/>
          <w:lang w:eastAsia="fr-FR"/>
        </w:rPr>
        <w:t>elle soit en pleine conformité avec l</w:t>
      </w:r>
      <w:r w:rsidR="00616FE4">
        <w:rPr>
          <w:rFonts w:eastAsia="Times New Roman"/>
          <w:lang w:eastAsia="fr-FR"/>
        </w:rPr>
        <w:t>’</w:t>
      </w:r>
      <w:r>
        <w:rPr>
          <w:rFonts w:eastAsia="Times New Roman"/>
          <w:lang w:eastAsia="fr-FR"/>
        </w:rPr>
        <w:t xml:space="preserve">Accord. Ce projet sera achevé en janvier 2020. </w:t>
      </w:r>
    </w:p>
    <w:p w14:paraId="5912CBC0" w14:textId="77777777" w:rsidR="001E6D3C" w:rsidRPr="001E6D3C" w:rsidRDefault="001E6D3C" w:rsidP="00135983">
      <w:pPr>
        <w:pStyle w:val="H23G"/>
        <w:rPr>
          <w:lang w:eastAsia="fr-FR"/>
        </w:rPr>
      </w:pPr>
      <w:r w:rsidRPr="001E6D3C">
        <w:rPr>
          <w:lang w:eastAsia="fr-FR"/>
        </w:rPr>
        <w:tab/>
        <w:t>6.</w:t>
      </w:r>
      <w:r w:rsidRPr="001E6D3C">
        <w:rPr>
          <w:lang w:eastAsia="fr-FR"/>
        </w:rPr>
        <w:tab/>
        <w:t>Connectivité ferroviaire régionale</w:t>
      </w:r>
    </w:p>
    <w:p w14:paraId="411F6748" w14:textId="77777777" w:rsidR="001E6D3C" w:rsidRPr="001E6D3C" w:rsidRDefault="001E6D3C" w:rsidP="00135983">
      <w:pPr>
        <w:pStyle w:val="SingleTxtG"/>
        <w:rPr>
          <w:rFonts w:eastAsia="Times New Roman"/>
          <w:lang w:eastAsia="fr-FR"/>
        </w:rPr>
      </w:pPr>
      <w:r w:rsidRPr="000F1275">
        <w:rPr>
          <w:rFonts w:eastAsia="Times New Roman"/>
          <w:lang w:eastAsia="fr-FR"/>
        </w:rPr>
        <w:t>90.</w:t>
      </w:r>
      <w:r w:rsidRPr="000F1275">
        <w:rPr>
          <w:rFonts w:eastAsia="Times New Roman"/>
          <w:lang w:eastAsia="fr-FR"/>
        </w:rPr>
        <w:tab/>
        <w:t>Un atelier sur</w:t>
      </w:r>
      <w:r w:rsidRPr="000F1275">
        <w:rPr>
          <w:rFonts w:ascii="Segoe UI" w:hAnsi="Segoe UI" w:cs="Segoe UI"/>
        </w:rPr>
        <w:t xml:space="preserve"> </w:t>
      </w:r>
      <w:r w:rsidRPr="000F1275">
        <w:rPr>
          <w:rFonts w:eastAsia="Times New Roman"/>
          <w:lang w:eastAsia="fr-FR"/>
        </w:rPr>
        <w:t>la connectivité ferroviaire régionale</w:t>
      </w:r>
      <w:r>
        <w:rPr>
          <w:rFonts w:eastAsia="Times New Roman"/>
          <w:lang w:eastAsia="fr-FR"/>
        </w:rPr>
        <w:t xml:space="preserve"> organisé à Belgrade en octobre 2019 a réuni 40 participants venus de pays de l</w:t>
      </w:r>
      <w:r w:rsidR="00616FE4">
        <w:rPr>
          <w:rFonts w:eastAsia="Times New Roman"/>
          <w:lang w:eastAsia="fr-FR"/>
        </w:rPr>
        <w:t>’</w:t>
      </w:r>
      <w:r>
        <w:rPr>
          <w:rFonts w:eastAsia="Times New Roman"/>
          <w:lang w:eastAsia="fr-FR"/>
        </w:rPr>
        <w:t xml:space="preserve">Europe du </w:t>
      </w:r>
      <w:r w:rsidR="00A07B8B">
        <w:rPr>
          <w:rFonts w:eastAsia="Times New Roman"/>
          <w:lang w:eastAsia="fr-FR"/>
        </w:rPr>
        <w:t>S</w:t>
      </w:r>
      <w:r>
        <w:rPr>
          <w:rFonts w:eastAsia="Times New Roman"/>
          <w:lang w:eastAsia="fr-FR"/>
        </w:rPr>
        <w:t>ud-</w:t>
      </w:r>
      <w:r w:rsidR="00A07B8B">
        <w:rPr>
          <w:rFonts w:eastAsia="Times New Roman"/>
          <w:lang w:eastAsia="fr-FR"/>
        </w:rPr>
        <w:t>E</w:t>
      </w:r>
      <w:r>
        <w:rPr>
          <w:rFonts w:eastAsia="Times New Roman"/>
          <w:lang w:eastAsia="fr-FR"/>
        </w:rPr>
        <w:t>st et de la zone du Danube qui ont discuté de la nécessité d</w:t>
      </w:r>
      <w:r w:rsidR="00616FE4">
        <w:rPr>
          <w:rFonts w:eastAsia="Times New Roman"/>
          <w:lang w:eastAsia="fr-FR"/>
        </w:rPr>
        <w:t>’</w:t>
      </w:r>
      <w:r>
        <w:rPr>
          <w:rFonts w:eastAsia="Times New Roman"/>
          <w:lang w:eastAsia="fr-FR"/>
        </w:rPr>
        <w:t xml:space="preserve">améliorer la connectivité et les opérations de </w:t>
      </w:r>
      <w:r w:rsidRPr="00EA2DAB">
        <w:rPr>
          <w:rFonts w:eastAsia="Times New Roman"/>
          <w:lang w:eastAsia="fr-FR"/>
        </w:rPr>
        <w:t>fret ferroviaire</w:t>
      </w:r>
      <w:r>
        <w:rPr>
          <w:rFonts w:eastAsia="Times New Roman"/>
          <w:lang w:eastAsia="fr-FR"/>
        </w:rPr>
        <w:t>. Il a été conclu qu</w:t>
      </w:r>
      <w:r w:rsidR="00616FE4">
        <w:rPr>
          <w:rFonts w:eastAsia="Times New Roman"/>
          <w:lang w:eastAsia="fr-FR"/>
        </w:rPr>
        <w:t>’</w:t>
      </w:r>
      <w:r>
        <w:rPr>
          <w:rFonts w:eastAsia="Times New Roman"/>
          <w:lang w:eastAsia="fr-FR"/>
        </w:rPr>
        <w:t xml:space="preserve">un dialogue régulier sur cette question était important pour assurer un transport ferroviaire efficace </w:t>
      </w:r>
      <w:r w:rsidRPr="00EA2DAB">
        <w:rPr>
          <w:rFonts w:eastAsia="Times New Roman"/>
          <w:lang w:eastAsia="fr-FR"/>
        </w:rPr>
        <w:t>le long des axes reliant l</w:t>
      </w:r>
      <w:r w:rsidR="00616FE4">
        <w:rPr>
          <w:rFonts w:eastAsia="Times New Roman"/>
          <w:lang w:eastAsia="fr-FR"/>
        </w:rPr>
        <w:t>’</w:t>
      </w:r>
      <w:r w:rsidRPr="00EA2DAB">
        <w:rPr>
          <w:rFonts w:eastAsia="Times New Roman"/>
          <w:lang w:eastAsia="fr-FR"/>
        </w:rPr>
        <w:t>Europe et l</w:t>
      </w:r>
      <w:r w:rsidR="00616FE4">
        <w:rPr>
          <w:rFonts w:eastAsia="Times New Roman"/>
          <w:lang w:eastAsia="fr-FR"/>
        </w:rPr>
        <w:t>’</w:t>
      </w:r>
      <w:r w:rsidRPr="00EA2DAB">
        <w:rPr>
          <w:rFonts w:eastAsia="Times New Roman"/>
          <w:lang w:eastAsia="fr-FR"/>
        </w:rPr>
        <w:t>Asie</w:t>
      </w:r>
      <w:r>
        <w:rPr>
          <w:rFonts w:eastAsia="Times New Roman"/>
          <w:lang w:eastAsia="fr-FR"/>
        </w:rPr>
        <w:t xml:space="preserve"> ainsi que pour promouvoir les instruments juridiques pertinents. </w:t>
      </w:r>
    </w:p>
    <w:p w14:paraId="6CCA0986" w14:textId="77777777" w:rsidR="001E6D3C" w:rsidRPr="00866400" w:rsidRDefault="001E6D3C" w:rsidP="00135983">
      <w:pPr>
        <w:pStyle w:val="HChG"/>
        <w:rPr>
          <w:lang w:eastAsia="fr-FR"/>
        </w:rPr>
      </w:pPr>
      <w:r w:rsidRPr="00AC2D52">
        <w:rPr>
          <w:lang w:eastAsia="fr-FR"/>
        </w:rPr>
        <w:br w:type="page"/>
      </w:r>
      <w:r w:rsidRPr="00866400">
        <w:rPr>
          <w:lang w:eastAsia="fr-FR"/>
        </w:rPr>
        <w:lastRenderedPageBreak/>
        <w:t>Annexe</w:t>
      </w:r>
    </w:p>
    <w:p w14:paraId="1DDC47C0" w14:textId="77777777" w:rsidR="001E6D3C" w:rsidRDefault="001E6D3C" w:rsidP="00135983">
      <w:pPr>
        <w:pStyle w:val="HChG"/>
        <w:rPr>
          <w:lang w:eastAsia="fr-FR"/>
        </w:rPr>
      </w:pPr>
      <w:r w:rsidRPr="00866400">
        <w:rPr>
          <w:lang w:eastAsia="fr-FR"/>
        </w:rPr>
        <w:tab/>
      </w:r>
      <w:r w:rsidRPr="00866400">
        <w:rPr>
          <w:lang w:eastAsia="fr-FR"/>
        </w:rPr>
        <w:tab/>
        <w:t>Réalisation des objectifs de développement durable</w:t>
      </w:r>
      <w:r w:rsidR="00A07B8B">
        <w:rPr>
          <w:lang w:eastAsia="fr-FR"/>
        </w:rPr>
        <w:t> </w:t>
      </w:r>
      <w:r w:rsidRPr="00866400">
        <w:rPr>
          <w:lang w:eastAsia="fr-FR"/>
        </w:rPr>
        <w:t xml:space="preserve">: </w:t>
      </w:r>
      <w:r w:rsidRPr="00866400">
        <w:rPr>
          <w:lang w:eastAsia="fr-FR"/>
        </w:rPr>
        <w:br/>
        <w:t xml:space="preserve">Contributions </w:t>
      </w:r>
      <w:r>
        <w:rPr>
          <w:lang w:eastAsia="fr-FR"/>
        </w:rPr>
        <w:t xml:space="preserve">des </w:t>
      </w:r>
      <w:r w:rsidRPr="00866400">
        <w:rPr>
          <w:lang w:eastAsia="fr-FR"/>
        </w:rPr>
        <w:t xml:space="preserve">transports intérieurs </w:t>
      </w:r>
      <w:r>
        <w:rPr>
          <w:lang w:eastAsia="fr-FR"/>
        </w:rPr>
        <w:t>e</w:t>
      </w:r>
      <w:r w:rsidRPr="00866400">
        <w:rPr>
          <w:lang w:eastAsia="fr-FR"/>
        </w:rPr>
        <w:t>n 2019</w:t>
      </w:r>
    </w:p>
    <w:p w14:paraId="26B96426" w14:textId="77777777" w:rsidR="00992871" w:rsidRDefault="007B1E94" w:rsidP="007B1E94">
      <w:pPr>
        <w:rPr>
          <w:rFonts w:eastAsia="Times New Roman"/>
          <w:sz w:val="28"/>
          <w:lang w:eastAsia="fr-FR"/>
        </w:rPr>
      </w:pPr>
      <w:r>
        <w:rPr>
          <w:noProof/>
        </w:rPr>
        <w:drawing>
          <wp:inline distT="0" distB="0" distL="0" distR="0" wp14:anchorId="02466D69" wp14:editId="62E002ED">
            <wp:extent cx="6120130" cy="47821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4782185"/>
                    </a:xfrm>
                    <a:prstGeom prst="rect">
                      <a:avLst/>
                    </a:prstGeom>
                  </pic:spPr>
                </pic:pic>
              </a:graphicData>
            </a:graphic>
          </wp:inline>
        </w:drawing>
      </w:r>
    </w:p>
    <w:p w14:paraId="3143BFA7" w14:textId="77777777" w:rsidR="00C5553B" w:rsidRDefault="00C5553B" w:rsidP="00AF0CB5"/>
    <w:p w14:paraId="0F1C25D7" w14:textId="77777777" w:rsidR="00075967" w:rsidRDefault="00075967" w:rsidP="00AF0CB5">
      <w:pPr>
        <w:sectPr w:rsidR="00075967" w:rsidSect="001E6D3C">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pPr>
    </w:p>
    <w:p w14:paraId="45E4571D" w14:textId="77777777" w:rsidR="00F9573C" w:rsidRDefault="006266BD" w:rsidP="00DE5738">
      <w:pPr>
        <w:ind w:left="113"/>
      </w:pPr>
      <w:r>
        <w:rPr>
          <w:noProof/>
        </w:rPr>
        <w:lastRenderedPageBreak/>
        <w:drawing>
          <wp:inline distT="0" distB="0" distL="0" distR="0" wp14:anchorId="46DD1744" wp14:editId="2AD25C07">
            <wp:extent cx="7800392" cy="524205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7824654" cy="5258358"/>
                    </a:xfrm>
                    <a:prstGeom prst="rect">
                      <a:avLst/>
                    </a:prstGeom>
                  </pic:spPr>
                </pic:pic>
              </a:graphicData>
            </a:graphic>
          </wp:inline>
        </w:drawing>
      </w:r>
    </w:p>
    <w:p w14:paraId="63EEBB3D" w14:textId="77777777" w:rsidR="00500F81" w:rsidRPr="00500F81" w:rsidRDefault="00500F81" w:rsidP="00500F81">
      <w:pPr>
        <w:pStyle w:val="SingleTxtG"/>
        <w:spacing w:before="240" w:after="0"/>
        <w:jc w:val="center"/>
        <w:rPr>
          <w:u w:val="single"/>
        </w:rPr>
      </w:pPr>
      <w:r>
        <w:rPr>
          <w:u w:val="single"/>
        </w:rPr>
        <w:tab/>
      </w:r>
      <w:r>
        <w:rPr>
          <w:u w:val="single"/>
        </w:rPr>
        <w:tab/>
      </w:r>
      <w:r>
        <w:rPr>
          <w:u w:val="single"/>
        </w:rPr>
        <w:tab/>
      </w:r>
    </w:p>
    <w:sectPr w:rsidR="00500F81" w:rsidRPr="00500F81" w:rsidSect="00075967">
      <w:headerReference w:type="even" r:id="rId24"/>
      <w:headerReference w:type="default" r:id="rId25"/>
      <w:footerReference w:type="even" r:id="rId26"/>
      <w:footerReference w:type="default" r:id="rId2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5268" w14:textId="77777777" w:rsidR="00616FE4" w:rsidRDefault="00616FE4" w:rsidP="00F95C08">
      <w:pPr>
        <w:spacing w:line="240" w:lineRule="auto"/>
      </w:pPr>
    </w:p>
  </w:endnote>
  <w:endnote w:type="continuationSeparator" w:id="0">
    <w:p w14:paraId="5F019170" w14:textId="77777777" w:rsidR="00616FE4" w:rsidRPr="00AC3823" w:rsidRDefault="00616FE4" w:rsidP="00AC3823">
      <w:pPr>
        <w:pStyle w:val="Footer"/>
      </w:pPr>
    </w:p>
  </w:endnote>
  <w:endnote w:type="continuationNotice" w:id="1">
    <w:p w14:paraId="49D9E3FB" w14:textId="77777777" w:rsidR="00616FE4" w:rsidRDefault="00616F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egular_medium">
    <w:altName w:val="Trebuchet MS"/>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1204" w14:textId="77777777" w:rsidR="00616FE4" w:rsidRPr="001E6D3C" w:rsidRDefault="00616FE4" w:rsidP="001E6D3C">
    <w:pPr>
      <w:pStyle w:val="Footer"/>
      <w:tabs>
        <w:tab w:val="right" w:pos="9638"/>
      </w:tabs>
    </w:pPr>
    <w:r w:rsidRPr="001E6D3C">
      <w:rPr>
        <w:b/>
        <w:sz w:val="18"/>
      </w:rPr>
      <w:fldChar w:fldCharType="begin"/>
    </w:r>
    <w:r w:rsidRPr="001E6D3C">
      <w:rPr>
        <w:b/>
        <w:sz w:val="18"/>
      </w:rPr>
      <w:instrText xml:space="preserve"> PAGE  \* MERGEFORMAT </w:instrText>
    </w:r>
    <w:r w:rsidRPr="001E6D3C">
      <w:rPr>
        <w:b/>
        <w:sz w:val="18"/>
      </w:rPr>
      <w:fldChar w:fldCharType="separate"/>
    </w:r>
    <w:r w:rsidRPr="001E6D3C">
      <w:rPr>
        <w:b/>
        <w:noProof/>
        <w:sz w:val="18"/>
      </w:rPr>
      <w:t>2</w:t>
    </w:r>
    <w:r w:rsidRPr="001E6D3C">
      <w:rPr>
        <w:b/>
        <w:sz w:val="18"/>
      </w:rPr>
      <w:fldChar w:fldCharType="end"/>
    </w:r>
    <w:r>
      <w:rPr>
        <w:b/>
        <w:sz w:val="18"/>
      </w:rPr>
      <w:tab/>
    </w:r>
    <w:r>
      <w:t>GE.20-00431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F5E7" w14:textId="77777777" w:rsidR="00616FE4" w:rsidRPr="001E6D3C" w:rsidRDefault="00616FE4" w:rsidP="001E6D3C">
    <w:pPr>
      <w:pStyle w:val="Footer"/>
      <w:tabs>
        <w:tab w:val="right" w:pos="9638"/>
      </w:tabs>
      <w:rPr>
        <w:b/>
        <w:sz w:val="18"/>
      </w:rPr>
    </w:pPr>
    <w:r>
      <w:t>GE.20-00431</w:t>
    </w:r>
    <w:r>
      <w:tab/>
    </w:r>
    <w:r w:rsidRPr="001E6D3C">
      <w:rPr>
        <w:b/>
        <w:sz w:val="18"/>
      </w:rPr>
      <w:fldChar w:fldCharType="begin"/>
    </w:r>
    <w:r w:rsidRPr="001E6D3C">
      <w:rPr>
        <w:b/>
        <w:sz w:val="18"/>
      </w:rPr>
      <w:instrText xml:space="preserve"> PAGE  \* MERGEFORMAT </w:instrText>
    </w:r>
    <w:r w:rsidRPr="001E6D3C">
      <w:rPr>
        <w:b/>
        <w:sz w:val="18"/>
      </w:rPr>
      <w:fldChar w:fldCharType="separate"/>
    </w:r>
    <w:r w:rsidRPr="001E6D3C">
      <w:rPr>
        <w:b/>
        <w:noProof/>
        <w:sz w:val="18"/>
      </w:rPr>
      <w:t>3</w:t>
    </w:r>
    <w:r w:rsidRPr="001E6D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0B43" w14:textId="77777777" w:rsidR="00616FE4" w:rsidRPr="001E6D3C" w:rsidRDefault="00616FE4" w:rsidP="001E6D3C">
    <w:pPr>
      <w:pStyle w:val="Footer"/>
      <w:spacing w:before="120"/>
      <w:rPr>
        <w:sz w:val="20"/>
      </w:rPr>
    </w:pPr>
    <w:r>
      <w:rPr>
        <w:sz w:val="20"/>
      </w:rPr>
      <w:t>GE.</w:t>
    </w:r>
    <w:r>
      <w:rPr>
        <w:noProof/>
        <w:lang w:eastAsia="fr-CH"/>
      </w:rPr>
      <w:drawing>
        <wp:anchor distT="0" distB="0" distL="114300" distR="114300" simplePos="0" relativeHeight="251658240" behindDoc="0" locked="0" layoutInCell="1" allowOverlap="0" wp14:anchorId="356C47E9" wp14:editId="160F7543">
          <wp:simplePos x="0" y="0"/>
          <wp:positionH relativeFrom="margin">
            <wp:posOffset>4319905</wp:posOffset>
          </wp:positionH>
          <wp:positionV relativeFrom="margin">
            <wp:posOffset>9144000</wp:posOffset>
          </wp:positionV>
          <wp:extent cx="1105200" cy="234000"/>
          <wp:effectExtent l="0" t="0" r="0" b="0"/>
          <wp:wrapNone/>
          <wp:docPr id="7" name="Image 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20-00431  (F)    290120    </w:t>
    </w:r>
    <w:r w:rsidR="00E5354F">
      <w:rPr>
        <w:sz w:val="20"/>
      </w:rPr>
      <w:t>0502</w:t>
    </w:r>
    <w:r>
      <w:rPr>
        <w:sz w:val="20"/>
      </w:rPr>
      <w:t>20</w:t>
    </w:r>
    <w:r>
      <w:rPr>
        <w:sz w:val="20"/>
      </w:rPr>
      <w:br/>
    </w:r>
    <w:r w:rsidRPr="001E6D3C">
      <w:rPr>
        <w:rFonts w:ascii="C39T30Lfz" w:hAnsi="C39T30Lfz"/>
        <w:sz w:val="56"/>
      </w:rPr>
      <w:t></w:t>
    </w:r>
    <w:r w:rsidRPr="001E6D3C">
      <w:rPr>
        <w:rFonts w:ascii="C39T30Lfz" w:hAnsi="C39T30Lfz"/>
        <w:sz w:val="56"/>
      </w:rPr>
      <w:t></w:t>
    </w:r>
    <w:r w:rsidRPr="001E6D3C">
      <w:rPr>
        <w:rFonts w:ascii="C39T30Lfz" w:hAnsi="C39T30Lfz"/>
        <w:sz w:val="56"/>
      </w:rPr>
      <w:t></w:t>
    </w:r>
    <w:r w:rsidRPr="001E6D3C">
      <w:rPr>
        <w:rFonts w:ascii="C39T30Lfz" w:hAnsi="C39T30Lfz"/>
        <w:sz w:val="56"/>
      </w:rPr>
      <w:t></w:t>
    </w:r>
    <w:r w:rsidRPr="001E6D3C">
      <w:rPr>
        <w:rFonts w:ascii="C39T30Lfz" w:hAnsi="C39T30Lfz"/>
        <w:sz w:val="56"/>
      </w:rPr>
      <w:t></w:t>
    </w:r>
    <w:r w:rsidRPr="001E6D3C">
      <w:rPr>
        <w:rFonts w:ascii="C39T30Lfz" w:hAnsi="C39T30Lfz"/>
        <w:sz w:val="56"/>
      </w:rPr>
      <w:t></w:t>
    </w:r>
    <w:r w:rsidRPr="001E6D3C">
      <w:rPr>
        <w:rFonts w:ascii="C39T30Lfz" w:hAnsi="C39T30Lfz"/>
        <w:sz w:val="56"/>
      </w:rPr>
      <w:t></w:t>
    </w:r>
    <w:r w:rsidRPr="001E6D3C">
      <w:rPr>
        <w:rFonts w:ascii="C39T30Lfz" w:hAnsi="C39T30Lfz"/>
        <w:sz w:val="56"/>
      </w:rPr>
      <w:t></w:t>
    </w:r>
    <w:r w:rsidRPr="001E6D3C">
      <w:rPr>
        <w:rFonts w:ascii="C39T30Lfz" w:hAnsi="C39T30Lfz"/>
        <w:sz w:val="56"/>
      </w:rPr>
      <w:t></w:t>
    </w:r>
    <w:r>
      <w:rPr>
        <w:noProof/>
        <w:sz w:val="20"/>
      </w:rPr>
      <w:drawing>
        <wp:anchor distT="0" distB="0" distL="114300" distR="114300" simplePos="0" relativeHeight="251660288" behindDoc="0" locked="0" layoutInCell="1" allowOverlap="1" wp14:anchorId="6A1246FB" wp14:editId="5A39FB80">
          <wp:simplePos x="0" y="0"/>
          <wp:positionH relativeFrom="margin">
            <wp:posOffset>5489575</wp:posOffset>
          </wp:positionH>
          <wp:positionV relativeFrom="margin">
            <wp:posOffset>8891905</wp:posOffset>
          </wp:positionV>
          <wp:extent cx="561975" cy="561975"/>
          <wp:effectExtent l="0" t="0" r="9525" b="9525"/>
          <wp:wrapNone/>
          <wp:docPr id="8" name="Image 1" descr="https://undocs.org/m2/QRCode.ashx?DS=ECE/TRANS/2020/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4841" w14:textId="77777777" w:rsidR="00616FE4" w:rsidRPr="00075967" w:rsidRDefault="00616FE4" w:rsidP="00075967">
    <w:pPr>
      <w:pStyle w:val="Footer"/>
    </w:pPr>
    <w:r>
      <w:rPr>
        <w:noProof/>
      </w:rPr>
      <mc:AlternateContent>
        <mc:Choice Requires="wps">
          <w:drawing>
            <wp:anchor distT="0" distB="0" distL="114300" distR="114300" simplePos="0" relativeHeight="251659264" behindDoc="0" locked="0" layoutInCell="1" allowOverlap="1" wp14:anchorId="5F563561" wp14:editId="094AC460">
              <wp:simplePos x="0" y="0"/>
              <wp:positionH relativeFrom="margin">
                <wp:posOffset>-431800</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A22EC7D" w14:textId="77777777" w:rsidR="00616FE4" w:rsidRPr="001E6D3C" w:rsidRDefault="00616FE4" w:rsidP="00075967">
                          <w:pPr>
                            <w:pStyle w:val="Footer"/>
                            <w:tabs>
                              <w:tab w:val="right" w:pos="9638"/>
                            </w:tabs>
                          </w:pPr>
                          <w:r w:rsidRPr="001E6D3C">
                            <w:rPr>
                              <w:b/>
                              <w:sz w:val="18"/>
                            </w:rPr>
                            <w:fldChar w:fldCharType="begin"/>
                          </w:r>
                          <w:r w:rsidRPr="001E6D3C">
                            <w:rPr>
                              <w:b/>
                              <w:sz w:val="18"/>
                            </w:rPr>
                            <w:instrText xml:space="preserve"> PAGE  \* MERGEFORMAT </w:instrText>
                          </w:r>
                          <w:r w:rsidRPr="001E6D3C">
                            <w:rPr>
                              <w:b/>
                              <w:sz w:val="18"/>
                            </w:rPr>
                            <w:fldChar w:fldCharType="separate"/>
                          </w:r>
                          <w:r>
                            <w:rPr>
                              <w:b/>
                              <w:sz w:val="18"/>
                            </w:rPr>
                            <w:t>24</w:t>
                          </w:r>
                          <w:r w:rsidRPr="001E6D3C">
                            <w:rPr>
                              <w:b/>
                              <w:sz w:val="18"/>
                            </w:rPr>
                            <w:fldChar w:fldCharType="end"/>
                          </w:r>
                          <w:r>
                            <w:rPr>
                              <w:b/>
                              <w:sz w:val="18"/>
                            </w:rPr>
                            <w:tab/>
                          </w:r>
                          <w:r>
                            <w:t>GE.20-00431</w:t>
                          </w:r>
                        </w:p>
                        <w:p w14:paraId="58D76B66" w14:textId="77777777" w:rsidR="00616FE4" w:rsidRDefault="00616F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563561" id="_x0000_t202" coordsize="21600,21600" o:spt="202" path="m,l,21600r21600,l21600,xe">
              <v:stroke joinstyle="miter"/>
              <v:path gradientshapeok="t" o:connecttype="rect"/>
            </v:shapetype>
            <v:shape id="Zone de texte 12" o:spid="_x0000_s1028"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wz/g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Yw8M/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14:paraId="6A22EC7D" w14:textId="77777777" w:rsidR="00616FE4" w:rsidRPr="001E6D3C" w:rsidRDefault="00616FE4" w:rsidP="00075967">
                    <w:pPr>
                      <w:pStyle w:val="Footer"/>
                      <w:tabs>
                        <w:tab w:val="right" w:pos="9638"/>
                      </w:tabs>
                    </w:pPr>
                    <w:r w:rsidRPr="001E6D3C">
                      <w:rPr>
                        <w:b/>
                        <w:sz w:val="18"/>
                      </w:rPr>
                      <w:fldChar w:fldCharType="begin"/>
                    </w:r>
                    <w:r w:rsidRPr="001E6D3C">
                      <w:rPr>
                        <w:b/>
                        <w:sz w:val="18"/>
                      </w:rPr>
                      <w:instrText xml:space="preserve"> PAGE  \* MERGEFORMAT </w:instrText>
                    </w:r>
                    <w:r w:rsidRPr="001E6D3C">
                      <w:rPr>
                        <w:b/>
                        <w:sz w:val="18"/>
                      </w:rPr>
                      <w:fldChar w:fldCharType="separate"/>
                    </w:r>
                    <w:r>
                      <w:rPr>
                        <w:b/>
                        <w:sz w:val="18"/>
                      </w:rPr>
                      <w:t>24</w:t>
                    </w:r>
                    <w:r w:rsidRPr="001E6D3C">
                      <w:rPr>
                        <w:b/>
                        <w:sz w:val="18"/>
                      </w:rPr>
                      <w:fldChar w:fldCharType="end"/>
                    </w:r>
                    <w:r>
                      <w:rPr>
                        <w:b/>
                        <w:sz w:val="18"/>
                      </w:rPr>
                      <w:tab/>
                    </w:r>
                    <w:r>
                      <w:t>GE.20-00431</w:t>
                    </w:r>
                  </w:p>
                  <w:p w14:paraId="58D76B66" w14:textId="77777777" w:rsidR="00616FE4" w:rsidRDefault="00616FE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671B" w14:textId="77777777" w:rsidR="00616FE4" w:rsidRPr="00075967" w:rsidRDefault="00616FE4" w:rsidP="00075967">
    <w:pPr>
      <w:pStyle w:val="Footer"/>
    </w:pPr>
    <w:r>
      <w:rPr>
        <w:noProof/>
      </w:rPr>
      <mc:AlternateContent>
        <mc:Choice Requires="wps">
          <w:drawing>
            <wp:anchor distT="0" distB="0" distL="114300" distR="114300" simplePos="0" relativeHeight="251656192" behindDoc="0" locked="0" layoutInCell="1" allowOverlap="1" wp14:anchorId="145C4D33" wp14:editId="340A6B74">
              <wp:simplePos x="0" y="0"/>
              <wp:positionH relativeFrom="margin">
                <wp:posOffset>-431800</wp:posOffset>
              </wp:positionH>
              <wp:positionV relativeFrom="margin">
                <wp:posOffset>0</wp:posOffset>
              </wp:positionV>
              <wp:extent cx="215900" cy="612013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29DF3F7" w14:textId="77777777" w:rsidR="00616FE4" w:rsidRPr="001E6D3C" w:rsidRDefault="00616FE4" w:rsidP="00075967">
                          <w:pPr>
                            <w:pStyle w:val="Footer"/>
                            <w:tabs>
                              <w:tab w:val="right" w:pos="9638"/>
                            </w:tabs>
                            <w:rPr>
                              <w:b/>
                              <w:sz w:val="18"/>
                            </w:rPr>
                          </w:pPr>
                          <w:r>
                            <w:t>GE.20-00431</w:t>
                          </w:r>
                          <w:r>
                            <w:tab/>
                          </w:r>
                          <w:r w:rsidRPr="001E6D3C">
                            <w:rPr>
                              <w:b/>
                              <w:sz w:val="18"/>
                            </w:rPr>
                            <w:fldChar w:fldCharType="begin"/>
                          </w:r>
                          <w:r w:rsidRPr="001E6D3C">
                            <w:rPr>
                              <w:b/>
                              <w:sz w:val="18"/>
                            </w:rPr>
                            <w:instrText xml:space="preserve"> PAGE  \* MERGEFORMAT </w:instrText>
                          </w:r>
                          <w:r w:rsidRPr="001E6D3C">
                            <w:rPr>
                              <w:b/>
                              <w:sz w:val="18"/>
                            </w:rPr>
                            <w:fldChar w:fldCharType="separate"/>
                          </w:r>
                          <w:r>
                            <w:rPr>
                              <w:b/>
                              <w:sz w:val="18"/>
                            </w:rPr>
                            <w:t>23</w:t>
                          </w:r>
                          <w:r w:rsidRPr="001E6D3C">
                            <w:rPr>
                              <w:b/>
                              <w:sz w:val="18"/>
                            </w:rPr>
                            <w:fldChar w:fldCharType="end"/>
                          </w:r>
                        </w:p>
                        <w:p w14:paraId="40A5289E" w14:textId="77777777" w:rsidR="00616FE4" w:rsidRDefault="00616F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5C4D33" id="_x0000_t202" coordsize="21600,21600" o:spt="202" path="m,l,21600r21600,l21600,xe">
              <v:stroke joinstyle="miter"/>
              <v:path gradientshapeok="t" o:connecttype="rect"/>
            </v:shapetype>
            <v:shape id="Zone de texte 10" o:spid="_x0000_s1029"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iylGBv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14:paraId="429DF3F7" w14:textId="77777777" w:rsidR="00616FE4" w:rsidRPr="001E6D3C" w:rsidRDefault="00616FE4" w:rsidP="00075967">
                    <w:pPr>
                      <w:pStyle w:val="Footer"/>
                      <w:tabs>
                        <w:tab w:val="right" w:pos="9638"/>
                      </w:tabs>
                      <w:rPr>
                        <w:b/>
                        <w:sz w:val="18"/>
                      </w:rPr>
                    </w:pPr>
                    <w:r>
                      <w:t>GE.20-00431</w:t>
                    </w:r>
                    <w:r>
                      <w:tab/>
                    </w:r>
                    <w:r w:rsidRPr="001E6D3C">
                      <w:rPr>
                        <w:b/>
                        <w:sz w:val="18"/>
                      </w:rPr>
                      <w:fldChar w:fldCharType="begin"/>
                    </w:r>
                    <w:r w:rsidRPr="001E6D3C">
                      <w:rPr>
                        <w:b/>
                        <w:sz w:val="18"/>
                      </w:rPr>
                      <w:instrText xml:space="preserve"> PAGE  \* MERGEFORMAT </w:instrText>
                    </w:r>
                    <w:r w:rsidRPr="001E6D3C">
                      <w:rPr>
                        <w:b/>
                        <w:sz w:val="18"/>
                      </w:rPr>
                      <w:fldChar w:fldCharType="separate"/>
                    </w:r>
                    <w:r>
                      <w:rPr>
                        <w:b/>
                        <w:sz w:val="18"/>
                      </w:rPr>
                      <w:t>23</w:t>
                    </w:r>
                    <w:r w:rsidRPr="001E6D3C">
                      <w:rPr>
                        <w:b/>
                        <w:sz w:val="18"/>
                      </w:rPr>
                      <w:fldChar w:fldCharType="end"/>
                    </w:r>
                  </w:p>
                  <w:p w14:paraId="40A5289E" w14:textId="77777777" w:rsidR="00616FE4" w:rsidRDefault="00616FE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45DE6" w14:textId="77777777" w:rsidR="00616FE4" w:rsidRPr="00AC3823" w:rsidRDefault="00616FE4" w:rsidP="00AC3823">
      <w:pPr>
        <w:pStyle w:val="Footer"/>
        <w:tabs>
          <w:tab w:val="right" w:pos="2155"/>
        </w:tabs>
        <w:spacing w:after="80" w:line="240" w:lineRule="atLeast"/>
        <w:ind w:left="680"/>
        <w:rPr>
          <w:u w:val="single"/>
        </w:rPr>
      </w:pPr>
      <w:r>
        <w:rPr>
          <w:u w:val="single"/>
        </w:rPr>
        <w:tab/>
      </w:r>
    </w:p>
  </w:footnote>
  <w:footnote w:type="continuationSeparator" w:id="0">
    <w:p w14:paraId="72094A50" w14:textId="77777777" w:rsidR="00616FE4" w:rsidRPr="00AC3823" w:rsidRDefault="00616FE4" w:rsidP="00AC3823">
      <w:pPr>
        <w:pStyle w:val="Footer"/>
        <w:tabs>
          <w:tab w:val="right" w:pos="2155"/>
        </w:tabs>
        <w:spacing w:after="80" w:line="240" w:lineRule="atLeast"/>
        <w:ind w:left="680"/>
        <w:rPr>
          <w:u w:val="single"/>
        </w:rPr>
      </w:pPr>
      <w:r>
        <w:rPr>
          <w:u w:val="single"/>
        </w:rPr>
        <w:tab/>
      </w:r>
    </w:p>
  </w:footnote>
  <w:footnote w:type="continuationNotice" w:id="1">
    <w:p w14:paraId="42CB8F47" w14:textId="77777777" w:rsidR="00616FE4" w:rsidRPr="00AC3823" w:rsidRDefault="00616FE4">
      <w:pPr>
        <w:spacing w:line="240" w:lineRule="auto"/>
        <w:rPr>
          <w:sz w:val="2"/>
          <w:szCs w:val="2"/>
        </w:rPr>
      </w:pPr>
    </w:p>
  </w:footnote>
  <w:footnote w:id="2">
    <w:p w14:paraId="0EC91763" w14:textId="77777777" w:rsidR="00616FE4" w:rsidRPr="00CD26F2" w:rsidRDefault="00616FE4" w:rsidP="00150610">
      <w:pPr>
        <w:pStyle w:val="FootnoteText"/>
      </w:pPr>
      <w:r w:rsidRPr="00CD26F2">
        <w:rPr>
          <w:rStyle w:val="FootnoteReference"/>
        </w:rPr>
        <w:tab/>
      </w:r>
      <w:r w:rsidRPr="00D65B93">
        <w:rPr>
          <w:rStyle w:val="FootnoteReference"/>
          <w:sz w:val="20"/>
          <w:vertAlign w:val="baseline"/>
        </w:rPr>
        <w:t>*</w:t>
      </w:r>
      <w:r w:rsidRPr="00CD26F2">
        <w:rPr>
          <w:rStyle w:val="FootnoteReference"/>
          <w:sz w:val="20"/>
        </w:rPr>
        <w:tab/>
      </w:r>
      <w:r w:rsidRPr="00CD26F2">
        <w:t>Il a été convenu que le présent document serait publié après la date normale de publication en raison de circonstances indépendantes de la volonté du soumetteur.</w:t>
      </w:r>
    </w:p>
  </w:footnote>
  <w:footnote w:id="3">
    <w:p w14:paraId="5392E710" w14:textId="77777777" w:rsidR="00150610" w:rsidRPr="00257363" w:rsidRDefault="00150610" w:rsidP="00150610">
      <w:pPr>
        <w:pStyle w:val="FootnoteText"/>
      </w:pPr>
      <w:r w:rsidRPr="00CD26F2">
        <w:tab/>
      </w:r>
      <w:r w:rsidRPr="00150610">
        <w:rPr>
          <w:rStyle w:val="FootnoteReference"/>
        </w:rPr>
        <w:footnoteRef/>
      </w:r>
      <w:r w:rsidRPr="00257363">
        <w:tab/>
        <w:t xml:space="preserve">Résolution A/RES/72/271 </w:t>
      </w:r>
      <w:r w:rsidRPr="00CB4AE7">
        <w:t xml:space="preserve">de l’Assemblée générale, en date du </w:t>
      </w:r>
      <w:r w:rsidRPr="00257363">
        <w:t>12 avril 2018.</w:t>
      </w:r>
    </w:p>
  </w:footnote>
  <w:footnote w:id="4">
    <w:p w14:paraId="45B73032" w14:textId="77777777" w:rsidR="00616FE4" w:rsidRPr="001D6783" w:rsidRDefault="00616FE4" w:rsidP="00150610">
      <w:pPr>
        <w:pStyle w:val="FootnoteText"/>
      </w:pPr>
      <w:r w:rsidRPr="00257363">
        <w:tab/>
      </w:r>
      <w:r w:rsidRPr="00150610">
        <w:rPr>
          <w:rStyle w:val="FootnoteReference"/>
        </w:rPr>
        <w:footnoteRef/>
      </w:r>
      <w:r w:rsidRPr="001D6783">
        <w:tab/>
      </w:r>
      <w:r>
        <w:t>S</w:t>
      </w:r>
      <w:r w:rsidRPr="001948FF">
        <w:t>ervice</w:t>
      </w:r>
      <w:r>
        <w:t xml:space="preserve">s </w:t>
      </w:r>
      <w:r w:rsidRPr="001948FF">
        <w:t>d’information fluviale</w:t>
      </w:r>
      <w:r w:rsidRPr="001D67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EA8C" w14:textId="751C6D79" w:rsidR="00616FE4" w:rsidRPr="001E6D3C" w:rsidRDefault="00E777E3">
    <w:pPr>
      <w:pStyle w:val="Header"/>
    </w:pPr>
    <w:fldSimple w:instr=" TITLE  \* MERGEFORMAT ">
      <w:r>
        <w:t>ECE/TRANS/2020/19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1914" w14:textId="58277AFB" w:rsidR="00616FE4" w:rsidRPr="001E6D3C" w:rsidRDefault="00E777E3" w:rsidP="001E6D3C">
    <w:pPr>
      <w:pStyle w:val="Header"/>
      <w:jc w:val="right"/>
    </w:pPr>
    <w:fldSimple w:instr=" TITLE  \* MERGEFORMAT ">
      <w:r>
        <w:t>ECE/TRANS/2020/19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9409" w14:textId="77777777" w:rsidR="00616FE4" w:rsidRPr="00075967" w:rsidRDefault="00616FE4" w:rsidP="00075967">
    <w:r>
      <w:rPr>
        <w:noProof/>
      </w:rPr>
      <mc:AlternateContent>
        <mc:Choice Requires="wps">
          <w:drawing>
            <wp:anchor distT="0" distB="0" distL="114300" distR="114300" simplePos="0" relativeHeight="251657216" behindDoc="0" locked="0" layoutInCell="1" allowOverlap="1" wp14:anchorId="7D72420D" wp14:editId="235CE3C9">
              <wp:simplePos x="0" y="0"/>
              <wp:positionH relativeFrom="page">
                <wp:posOffset>9935845</wp:posOffset>
              </wp:positionH>
              <wp:positionV relativeFrom="margin">
                <wp:posOffset>0</wp:posOffset>
              </wp:positionV>
              <wp:extent cx="215900" cy="6120130"/>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315F0E7" w14:textId="5E9EC003" w:rsidR="00616FE4" w:rsidRPr="001E6D3C" w:rsidRDefault="00E777E3" w:rsidP="00075967">
                          <w:pPr>
                            <w:pStyle w:val="Header"/>
                          </w:pPr>
                          <w:fldSimple w:instr=" TITLE  \* MERGEFORMAT ">
                            <w:r>
                              <w:t>ECE/TRANS/2020/19</w:t>
                            </w:r>
                          </w:fldSimple>
                        </w:p>
                        <w:p w14:paraId="3BC7B7DE" w14:textId="77777777" w:rsidR="00616FE4" w:rsidRDefault="00616F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D72420D" id="_x0000_t202" coordsize="21600,21600" o:spt="202" path="m,l,21600r21600,l21600,xe">
              <v:stroke joinstyle="miter"/>
              <v:path gradientshapeok="t" o:connecttype="rect"/>
            </v:shapetype>
            <v:shape id="Zone de texte 11"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" fillcolor="#4f81bd [3204]" stroked="f" strokeweight=".5pt">
              <v:fill opacity="0"/>
              <v:path arrowok="t"/>
              <v:textbox style="layout-flow:vertical" inset="0,0,0,0">
                <w:txbxContent>
                  <w:p w14:paraId="4315F0E7" w14:textId="5E9EC003" w:rsidR="00616FE4" w:rsidRPr="001E6D3C" w:rsidRDefault="00E777E3" w:rsidP="00075967">
                    <w:pPr>
                      <w:pStyle w:val="Header"/>
                    </w:pPr>
                    <w:fldSimple w:instr=" TITLE  \* MERGEFORMAT ">
                      <w:r>
                        <w:t>ECE/TRANS/2020/19</w:t>
                      </w:r>
                    </w:fldSimple>
                  </w:p>
                  <w:p w14:paraId="3BC7B7DE" w14:textId="77777777" w:rsidR="00616FE4" w:rsidRDefault="00616FE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033F" w14:textId="77777777" w:rsidR="00616FE4" w:rsidRPr="00075967" w:rsidRDefault="00616FE4" w:rsidP="00075967">
    <w:r>
      <w:rPr>
        <w:noProof/>
      </w:rPr>
      <mc:AlternateContent>
        <mc:Choice Requires="wps">
          <w:drawing>
            <wp:anchor distT="0" distB="0" distL="114300" distR="114300" simplePos="0" relativeHeight="251655168" behindDoc="0" locked="0" layoutInCell="1" allowOverlap="1" wp14:anchorId="3D9B619F" wp14:editId="0CFCF52B">
              <wp:simplePos x="0" y="0"/>
              <wp:positionH relativeFrom="page">
                <wp:posOffset>9935845</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D526CB0" w14:textId="26E595CF" w:rsidR="00616FE4" w:rsidRPr="001E6D3C" w:rsidRDefault="00E777E3" w:rsidP="00075967">
                          <w:pPr>
                            <w:pStyle w:val="Header"/>
                            <w:jc w:val="right"/>
                          </w:pPr>
                          <w:fldSimple w:instr=" TITLE  \* MERGEFORMAT ">
                            <w:r>
                              <w:t>ECE/TRANS/2020/19</w:t>
                            </w:r>
                          </w:fldSimple>
                        </w:p>
                        <w:p w14:paraId="1E206DFD" w14:textId="77777777" w:rsidR="00616FE4" w:rsidRDefault="00616FE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9B619F" id="_x0000_t202" coordsize="21600,21600" o:spt="202" path="m,l,21600r21600,l21600,xe">
              <v:stroke joinstyle="miter"/>
              <v:path gradientshapeok="t" o:connecttype="rect"/>
            </v:shapetype>
            <v:shape id="Zone de texte 9" o:spid="_x0000_s1027" type="#_x0000_t202" style="position:absolute;margin-left:782.35pt;margin-top:0;width:17pt;height:481.9pt;z-index:25165516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EYswY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3D526CB0" w14:textId="26E595CF" w:rsidR="00616FE4" w:rsidRPr="001E6D3C" w:rsidRDefault="00E777E3" w:rsidP="00075967">
                    <w:pPr>
                      <w:pStyle w:val="Header"/>
                      <w:jc w:val="right"/>
                    </w:pPr>
                    <w:fldSimple w:instr=" TITLE  \* MERGEFORMAT ">
                      <w:r>
                        <w:t>ECE/TRANS/2020/19</w:t>
                      </w:r>
                    </w:fldSimple>
                  </w:p>
                  <w:p w14:paraId="1E206DFD" w14:textId="77777777" w:rsidR="00616FE4" w:rsidRDefault="00616FE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B154B"/>
    <w:multiLevelType w:val="hybridMultilevel"/>
    <w:tmpl w:val="1BE6ABDE"/>
    <w:lvl w:ilvl="0" w:tplc="100C0001">
      <w:start w:val="1"/>
      <w:numFmt w:val="bullet"/>
      <w:lvlText w:val=""/>
      <w:lvlJc w:val="left"/>
      <w:pPr>
        <w:ind w:left="1910" w:hanging="360"/>
      </w:pPr>
      <w:rPr>
        <w:rFonts w:ascii="Symbol" w:hAnsi="Symbol" w:hint="default"/>
      </w:rPr>
    </w:lvl>
    <w:lvl w:ilvl="1" w:tplc="100C0003" w:tentative="1">
      <w:start w:val="1"/>
      <w:numFmt w:val="bullet"/>
      <w:lvlText w:val="o"/>
      <w:lvlJc w:val="left"/>
      <w:pPr>
        <w:ind w:left="2630" w:hanging="360"/>
      </w:pPr>
      <w:rPr>
        <w:rFonts w:ascii="Courier New" w:hAnsi="Courier New" w:cs="Courier New" w:hint="default"/>
      </w:rPr>
    </w:lvl>
    <w:lvl w:ilvl="2" w:tplc="100C0005" w:tentative="1">
      <w:start w:val="1"/>
      <w:numFmt w:val="bullet"/>
      <w:lvlText w:val=""/>
      <w:lvlJc w:val="left"/>
      <w:pPr>
        <w:ind w:left="3350" w:hanging="360"/>
      </w:pPr>
      <w:rPr>
        <w:rFonts w:ascii="Wingdings" w:hAnsi="Wingdings" w:hint="default"/>
      </w:rPr>
    </w:lvl>
    <w:lvl w:ilvl="3" w:tplc="100C0001" w:tentative="1">
      <w:start w:val="1"/>
      <w:numFmt w:val="bullet"/>
      <w:lvlText w:val=""/>
      <w:lvlJc w:val="left"/>
      <w:pPr>
        <w:ind w:left="4070" w:hanging="360"/>
      </w:pPr>
      <w:rPr>
        <w:rFonts w:ascii="Symbol" w:hAnsi="Symbol" w:hint="default"/>
      </w:rPr>
    </w:lvl>
    <w:lvl w:ilvl="4" w:tplc="100C0003" w:tentative="1">
      <w:start w:val="1"/>
      <w:numFmt w:val="bullet"/>
      <w:lvlText w:val="o"/>
      <w:lvlJc w:val="left"/>
      <w:pPr>
        <w:ind w:left="4790" w:hanging="360"/>
      </w:pPr>
      <w:rPr>
        <w:rFonts w:ascii="Courier New" w:hAnsi="Courier New" w:cs="Courier New" w:hint="default"/>
      </w:rPr>
    </w:lvl>
    <w:lvl w:ilvl="5" w:tplc="100C0005" w:tentative="1">
      <w:start w:val="1"/>
      <w:numFmt w:val="bullet"/>
      <w:lvlText w:val=""/>
      <w:lvlJc w:val="left"/>
      <w:pPr>
        <w:ind w:left="5510" w:hanging="360"/>
      </w:pPr>
      <w:rPr>
        <w:rFonts w:ascii="Wingdings" w:hAnsi="Wingdings" w:hint="default"/>
      </w:rPr>
    </w:lvl>
    <w:lvl w:ilvl="6" w:tplc="100C0001" w:tentative="1">
      <w:start w:val="1"/>
      <w:numFmt w:val="bullet"/>
      <w:lvlText w:val=""/>
      <w:lvlJc w:val="left"/>
      <w:pPr>
        <w:ind w:left="6230" w:hanging="360"/>
      </w:pPr>
      <w:rPr>
        <w:rFonts w:ascii="Symbol" w:hAnsi="Symbol" w:hint="default"/>
      </w:rPr>
    </w:lvl>
    <w:lvl w:ilvl="7" w:tplc="100C0003" w:tentative="1">
      <w:start w:val="1"/>
      <w:numFmt w:val="bullet"/>
      <w:lvlText w:val="o"/>
      <w:lvlJc w:val="left"/>
      <w:pPr>
        <w:ind w:left="6950" w:hanging="360"/>
      </w:pPr>
      <w:rPr>
        <w:rFonts w:ascii="Courier New" w:hAnsi="Courier New" w:cs="Courier New" w:hint="default"/>
      </w:rPr>
    </w:lvl>
    <w:lvl w:ilvl="8" w:tplc="100C0005" w:tentative="1">
      <w:start w:val="1"/>
      <w:numFmt w:val="bullet"/>
      <w:lvlText w:val=""/>
      <w:lvlJc w:val="left"/>
      <w:pPr>
        <w:ind w:left="767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81A875EE"/>
    <w:lvl w:ilvl="0" w:tplc="B6C638F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BA206AA"/>
    <w:multiLevelType w:val="hybridMultilevel"/>
    <w:tmpl w:val="E2440C0A"/>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4" w15:restartNumberingAfterBreak="0">
    <w:nsid w:val="4DC11782"/>
    <w:multiLevelType w:val="hybridMultilevel"/>
    <w:tmpl w:val="1576A628"/>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5" w15:restartNumberingAfterBreak="0">
    <w:nsid w:val="621229CB"/>
    <w:multiLevelType w:val="hybridMultilevel"/>
    <w:tmpl w:val="23BE8172"/>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96D98"/>
    <w:multiLevelType w:val="hybridMultilevel"/>
    <w:tmpl w:val="D8B4F39A"/>
    <w:lvl w:ilvl="0" w:tplc="100C0001">
      <w:start w:val="1"/>
      <w:numFmt w:val="bullet"/>
      <w:lvlText w:val=""/>
      <w:lvlJc w:val="left"/>
      <w:pPr>
        <w:ind w:left="2251" w:hanging="360"/>
      </w:pPr>
      <w:rPr>
        <w:rFonts w:ascii="Symbol" w:hAnsi="Symbol" w:hint="default"/>
      </w:rPr>
    </w:lvl>
    <w:lvl w:ilvl="1" w:tplc="100C0003" w:tentative="1">
      <w:start w:val="1"/>
      <w:numFmt w:val="bullet"/>
      <w:lvlText w:val="o"/>
      <w:lvlJc w:val="left"/>
      <w:pPr>
        <w:ind w:left="2971" w:hanging="360"/>
      </w:pPr>
      <w:rPr>
        <w:rFonts w:ascii="Courier New" w:hAnsi="Courier New" w:cs="Courier New" w:hint="default"/>
      </w:rPr>
    </w:lvl>
    <w:lvl w:ilvl="2" w:tplc="100C0005" w:tentative="1">
      <w:start w:val="1"/>
      <w:numFmt w:val="bullet"/>
      <w:lvlText w:val=""/>
      <w:lvlJc w:val="left"/>
      <w:pPr>
        <w:ind w:left="3691" w:hanging="360"/>
      </w:pPr>
      <w:rPr>
        <w:rFonts w:ascii="Wingdings" w:hAnsi="Wingdings" w:hint="default"/>
      </w:rPr>
    </w:lvl>
    <w:lvl w:ilvl="3" w:tplc="100C0001" w:tentative="1">
      <w:start w:val="1"/>
      <w:numFmt w:val="bullet"/>
      <w:lvlText w:val=""/>
      <w:lvlJc w:val="left"/>
      <w:pPr>
        <w:ind w:left="4411" w:hanging="360"/>
      </w:pPr>
      <w:rPr>
        <w:rFonts w:ascii="Symbol" w:hAnsi="Symbol" w:hint="default"/>
      </w:rPr>
    </w:lvl>
    <w:lvl w:ilvl="4" w:tplc="100C0003" w:tentative="1">
      <w:start w:val="1"/>
      <w:numFmt w:val="bullet"/>
      <w:lvlText w:val="o"/>
      <w:lvlJc w:val="left"/>
      <w:pPr>
        <w:ind w:left="5131" w:hanging="360"/>
      </w:pPr>
      <w:rPr>
        <w:rFonts w:ascii="Courier New" w:hAnsi="Courier New" w:cs="Courier New" w:hint="default"/>
      </w:rPr>
    </w:lvl>
    <w:lvl w:ilvl="5" w:tplc="100C0005" w:tentative="1">
      <w:start w:val="1"/>
      <w:numFmt w:val="bullet"/>
      <w:lvlText w:val=""/>
      <w:lvlJc w:val="left"/>
      <w:pPr>
        <w:ind w:left="5851" w:hanging="360"/>
      </w:pPr>
      <w:rPr>
        <w:rFonts w:ascii="Wingdings" w:hAnsi="Wingdings" w:hint="default"/>
      </w:rPr>
    </w:lvl>
    <w:lvl w:ilvl="6" w:tplc="100C0001" w:tentative="1">
      <w:start w:val="1"/>
      <w:numFmt w:val="bullet"/>
      <w:lvlText w:val=""/>
      <w:lvlJc w:val="left"/>
      <w:pPr>
        <w:ind w:left="6571" w:hanging="360"/>
      </w:pPr>
      <w:rPr>
        <w:rFonts w:ascii="Symbol" w:hAnsi="Symbol" w:hint="default"/>
      </w:rPr>
    </w:lvl>
    <w:lvl w:ilvl="7" w:tplc="100C0003" w:tentative="1">
      <w:start w:val="1"/>
      <w:numFmt w:val="bullet"/>
      <w:lvlText w:val="o"/>
      <w:lvlJc w:val="left"/>
      <w:pPr>
        <w:ind w:left="7291" w:hanging="360"/>
      </w:pPr>
      <w:rPr>
        <w:rFonts w:ascii="Courier New" w:hAnsi="Courier New" w:cs="Courier New" w:hint="default"/>
      </w:rPr>
    </w:lvl>
    <w:lvl w:ilvl="8" w:tplc="100C0005" w:tentative="1">
      <w:start w:val="1"/>
      <w:numFmt w:val="bullet"/>
      <w:lvlText w:val=""/>
      <w:lvlJc w:val="left"/>
      <w:pPr>
        <w:ind w:left="8011" w:hanging="360"/>
      </w:pPr>
      <w:rPr>
        <w:rFonts w:ascii="Wingdings" w:hAnsi="Wingdings" w:hint="default"/>
      </w:rPr>
    </w:lvl>
  </w:abstractNum>
  <w:abstractNum w:abstractNumId="18" w15:restartNumberingAfterBreak="0">
    <w:nsid w:val="68AD07B2"/>
    <w:multiLevelType w:val="hybridMultilevel"/>
    <w:tmpl w:val="D40C484E"/>
    <w:lvl w:ilvl="0" w:tplc="659C74E8">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8"/>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2"/>
  </w:num>
  <w:num w:numId="16">
    <w:abstractNumId w:val="11"/>
  </w:num>
  <w:num w:numId="17">
    <w:abstractNumId w:val="16"/>
  </w:num>
  <w:num w:numId="18">
    <w:abstractNumId w:val="14"/>
  </w:num>
  <w:num w:numId="19">
    <w:abstractNumId w:val="10"/>
  </w:num>
  <w:num w:numId="20">
    <w:abstractNumId w:val="15"/>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E1EC4"/>
    <w:rsid w:val="00017F94"/>
    <w:rsid w:val="00023842"/>
    <w:rsid w:val="000334F9"/>
    <w:rsid w:val="00045FEB"/>
    <w:rsid w:val="00055251"/>
    <w:rsid w:val="0005728F"/>
    <w:rsid w:val="00070395"/>
    <w:rsid w:val="00075967"/>
    <w:rsid w:val="0007796D"/>
    <w:rsid w:val="000862BA"/>
    <w:rsid w:val="000B7790"/>
    <w:rsid w:val="000C58F1"/>
    <w:rsid w:val="000D2BEC"/>
    <w:rsid w:val="00111F2F"/>
    <w:rsid w:val="00125956"/>
    <w:rsid w:val="00135983"/>
    <w:rsid w:val="0014365E"/>
    <w:rsid w:val="00143C66"/>
    <w:rsid w:val="00150610"/>
    <w:rsid w:val="00176178"/>
    <w:rsid w:val="001E6D3C"/>
    <w:rsid w:val="001F525A"/>
    <w:rsid w:val="001F7848"/>
    <w:rsid w:val="00223272"/>
    <w:rsid w:val="00226AED"/>
    <w:rsid w:val="0024779E"/>
    <w:rsid w:val="00257168"/>
    <w:rsid w:val="00264826"/>
    <w:rsid w:val="002744B8"/>
    <w:rsid w:val="00274601"/>
    <w:rsid w:val="002832AC"/>
    <w:rsid w:val="002C50E2"/>
    <w:rsid w:val="002D7C93"/>
    <w:rsid w:val="00305801"/>
    <w:rsid w:val="003916DE"/>
    <w:rsid w:val="003C654C"/>
    <w:rsid w:val="003D230D"/>
    <w:rsid w:val="004151A4"/>
    <w:rsid w:val="00421996"/>
    <w:rsid w:val="004372AF"/>
    <w:rsid w:val="00441C3B"/>
    <w:rsid w:val="00446FE5"/>
    <w:rsid w:val="00452396"/>
    <w:rsid w:val="00455EB6"/>
    <w:rsid w:val="0046280F"/>
    <w:rsid w:val="00464C81"/>
    <w:rsid w:val="004837D8"/>
    <w:rsid w:val="004A27D1"/>
    <w:rsid w:val="004C6912"/>
    <w:rsid w:val="004E2EED"/>
    <w:rsid w:val="004E468C"/>
    <w:rsid w:val="00500F81"/>
    <w:rsid w:val="00520F4E"/>
    <w:rsid w:val="005505B7"/>
    <w:rsid w:val="00560758"/>
    <w:rsid w:val="005645A1"/>
    <w:rsid w:val="00573BE5"/>
    <w:rsid w:val="00586ED3"/>
    <w:rsid w:val="00596AA9"/>
    <w:rsid w:val="005C504A"/>
    <w:rsid w:val="00615B2B"/>
    <w:rsid w:val="00616FE4"/>
    <w:rsid w:val="006230B1"/>
    <w:rsid w:val="006266BD"/>
    <w:rsid w:val="006745D0"/>
    <w:rsid w:val="00695D0F"/>
    <w:rsid w:val="006A2228"/>
    <w:rsid w:val="006B69E0"/>
    <w:rsid w:val="0071601D"/>
    <w:rsid w:val="007174AE"/>
    <w:rsid w:val="007254E7"/>
    <w:rsid w:val="007A29A2"/>
    <w:rsid w:val="007A62E6"/>
    <w:rsid w:val="007B1E94"/>
    <w:rsid w:val="007B3A5A"/>
    <w:rsid w:val="007F20FA"/>
    <w:rsid w:val="0080645C"/>
    <w:rsid w:val="0080684C"/>
    <w:rsid w:val="00871C75"/>
    <w:rsid w:val="008776DC"/>
    <w:rsid w:val="0094106E"/>
    <w:rsid w:val="009446C0"/>
    <w:rsid w:val="009605AB"/>
    <w:rsid w:val="00963304"/>
    <w:rsid w:val="009705C8"/>
    <w:rsid w:val="00992871"/>
    <w:rsid w:val="009B639C"/>
    <w:rsid w:val="009C1CF4"/>
    <w:rsid w:val="009E255C"/>
    <w:rsid w:val="009F6B74"/>
    <w:rsid w:val="00A07B8B"/>
    <w:rsid w:val="00A13E6D"/>
    <w:rsid w:val="00A217BF"/>
    <w:rsid w:val="00A3029F"/>
    <w:rsid w:val="00A30353"/>
    <w:rsid w:val="00A33AB6"/>
    <w:rsid w:val="00A55AFA"/>
    <w:rsid w:val="00AA3E6C"/>
    <w:rsid w:val="00AB5BB6"/>
    <w:rsid w:val="00AC3823"/>
    <w:rsid w:val="00AE323C"/>
    <w:rsid w:val="00AF0CB5"/>
    <w:rsid w:val="00B00181"/>
    <w:rsid w:val="00B00B0D"/>
    <w:rsid w:val="00B45F2E"/>
    <w:rsid w:val="00B765F7"/>
    <w:rsid w:val="00BA0CA9"/>
    <w:rsid w:val="00BA59B8"/>
    <w:rsid w:val="00BC16E2"/>
    <w:rsid w:val="00C02897"/>
    <w:rsid w:val="00C4213D"/>
    <w:rsid w:val="00C45B51"/>
    <w:rsid w:val="00C5553B"/>
    <w:rsid w:val="00C71DFB"/>
    <w:rsid w:val="00C77ED3"/>
    <w:rsid w:val="00C97039"/>
    <w:rsid w:val="00CA3891"/>
    <w:rsid w:val="00CC56B0"/>
    <w:rsid w:val="00CF13A0"/>
    <w:rsid w:val="00D13AF3"/>
    <w:rsid w:val="00D3439C"/>
    <w:rsid w:val="00D6057B"/>
    <w:rsid w:val="00D65B93"/>
    <w:rsid w:val="00DB1831"/>
    <w:rsid w:val="00DD3BFD"/>
    <w:rsid w:val="00DE1720"/>
    <w:rsid w:val="00DE5738"/>
    <w:rsid w:val="00DF6678"/>
    <w:rsid w:val="00E0299A"/>
    <w:rsid w:val="00E13D10"/>
    <w:rsid w:val="00E27441"/>
    <w:rsid w:val="00E5354F"/>
    <w:rsid w:val="00E66CC5"/>
    <w:rsid w:val="00E777E3"/>
    <w:rsid w:val="00E85C74"/>
    <w:rsid w:val="00E87AAB"/>
    <w:rsid w:val="00E907AC"/>
    <w:rsid w:val="00EA6547"/>
    <w:rsid w:val="00EB1BA2"/>
    <w:rsid w:val="00EC534B"/>
    <w:rsid w:val="00ED0EFC"/>
    <w:rsid w:val="00EE14DC"/>
    <w:rsid w:val="00EF2E22"/>
    <w:rsid w:val="00F002B2"/>
    <w:rsid w:val="00F335C3"/>
    <w:rsid w:val="00F35BAF"/>
    <w:rsid w:val="00F660DF"/>
    <w:rsid w:val="00F94664"/>
    <w:rsid w:val="00F9573C"/>
    <w:rsid w:val="00F95C08"/>
    <w:rsid w:val="00FC47A8"/>
    <w:rsid w:val="00FE1EC4"/>
    <w:rsid w:val="00FF2B1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B55D2"/>
  <w15:docId w15:val="{3BC9F31C-8EDD-41F6-B0B4-C7B2AE7F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uiPriority w:val="9"/>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uiPriority w:val="99"/>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basedOn w:val="DefaultParagraphFont"/>
    <w:link w:val="FootnoteText"/>
    <w:uiPriority w:val="99"/>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uiPriority w:val="9"/>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uiPriority w:val="99"/>
    <w:rsid w:val="001E6D3C"/>
    <w:rPr>
      <w:sz w:val="16"/>
      <w:szCs w:val="16"/>
    </w:rPr>
  </w:style>
  <w:style w:type="paragraph" w:styleId="CommentText">
    <w:name w:val="annotation text"/>
    <w:basedOn w:val="Normal"/>
    <w:link w:val="CommentTextChar"/>
    <w:uiPriority w:val="99"/>
    <w:rsid w:val="001E6D3C"/>
    <w:rPr>
      <w:rFonts w:eastAsia="Calibri"/>
      <w:sz w:val="24"/>
    </w:rPr>
  </w:style>
  <w:style w:type="character" w:customStyle="1" w:styleId="CommentTextChar">
    <w:name w:val="Comment Text Char"/>
    <w:basedOn w:val="DefaultParagraphFont"/>
    <w:link w:val="CommentText"/>
    <w:uiPriority w:val="99"/>
    <w:rsid w:val="001E6D3C"/>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1E6D3C"/>
    <w:rPr>
      <w:b/>
      <w:bCs/>
    </w:rPr>
  </w:style>
  <w:style w:type="character" w:customStyle="1" w:styleId="CommentSubjectChar">
    <w:name w:val="Comment Subject Char"/>
    <w:basedOn w:val="CommentTextChar"/>
    <w:link w:val="CommentSubject"/>
    <w:rsid w:val="001E6D3C"/>
    <w:rPr>
      <w:rFonts w:ascii="Times New Roman" w:eastAsia="Calibri" w:hAnsi="Times New Roman" w:cs="Times New Roman"/>
      <w:b/>
      <w:bCs/>
      <w:sz w:val="24"/>
      <w:szCs w:val="20"/>
      <w:lang w:eastAsia="en-US"/>
    </w:rPr>
  </w:style>
  <w:style w:type="numbering" w:customStyle="1" w:styleId="Aucuneliste1">
    <w:name w:val="Aucune liste1"/>
    <w:next w:val="NoList"/>
    <w:uiPriority w:val="99"/>
    <w:semiHidden/>
    <w:unhideWhenUsed/>
    <w:rsid w:val="001E6D3C"/>
  </w:style>
  <w:style w:type="table" w:customStyle="1" w:styleId="Grilledutableau1">
    <w:name w:val="Grille du tableau1"/>
    <w:basedOn w:val="TableNormal"/>
    <w:next w:val="TableGrid"/>
    <w:semiHidden/>
    <w:rsid w:val="001E6D3C"/>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1E6D3C"/>
    <w:rPr>
      <w:rFonts w:ascii="Times New Roman" w:eastAsiaTheme="minorHAnsi" w:hAnsi="Times New Roman" w:cs="Times New Roman"/>
      <w:b/>
      <w:sz w:val="28"/>
      <w:szCs w:val="20"/>
      <w:lang w:eastAsia="en-US"/>
    </w:rPr>
  </w:style>
  <w:style w:type="character" w:customStyle="1" w:styleId="Mentionnonrsolue1">
    <w:name w:val="Mention non résolue1"/>
    <w:basedOn w:val="DefaultParagraphFont"/>
    <w:uiPriority w:val="99"/>
    <w:semiHidden/>
    <w:unhideWhenUsed/>
    <w:rsid w:val="001E6D3C"/>
    <w:rPr>
      <w:color w:val="605E5C"/>
      <w:shd w:val="clear" w:color="auto" w:fill="E1DFDD"/>
    </w:rPr>
  </w:style>
  <w:style w:type="paragraph" w:styleId="ListParagraph">
    <w:name w:val="List Paragraph"/>
    <w:basedOn w:val="Normal"/>
    <w:uiPriority w:val="34"/>
    <w:qFormat/>
    <w:rsid w:val="001E6D3C"/>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SingleTxtGChar">
    <w:name w:val="_ Single Txt_G Char"/>
    <w:link w:val="SingleTxtG"/>
    <w:rsid w:val="001E6D3C"/>
    <w:rPr>
      <w:rFonts w:ascii="Times New Roman" w:eastAsiaTheme="minorHAnsi" w:hAnsi="Times New Roman" w:cs="Times New Roman"/>
      <w:sz w:val="20"/>
      <w:szCs w:val="20"/>
      <w:lang w:eastAsia="en-US"/>
    </w:rPr>
  </w:style>
  <w:style w:type="character" w:customStyle="1" w:styleId="H1GChar">
    <w:name w:val="_ H_1_G Char"/>
    <w:link w:val="H1G"/>
    <w:locked/>
    <w:rsid w:val="001E6D3C"/>
    <w:rPr>
      <w:rFonts w:ascii="Times New Roman" w:eastAsiaTheme="minorHAnsi" w:hAnsi="Times New Roman" w:cs="Times New Roman"/>
      <w:b/>
      <w:sz w:val="24"/>
      <w:szCs w:val="20"/>
      <w:lang w:eastAsia="en-US"/>
    </w:rPr>
  </w:style>
  <w:style w:type="paragraph" w:styleId="NormalWeb">
    <w:name w:val="Normal (Web)"/>
    <w:basedOn w:val="Normal"/>
    <w:uiPriority w:val="99"/>
    <w:unhideWhenUsed/>
    <w:rsid w:val="001E6D3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rPr>
  </w:style>
  <w:style w:type="paragraph" w:customStyle="1" w:styleId="Default">
    <w:name w:val="Default"/>
    <w:rsid w:val="001E6D3C"/>
    <w:pPr>
      <w:autoSpaceDE w:val="0"/>
      <w:autoSpaceDN w:val="0"/>
      <w:adjustRightInd w:val="0"/>
      <w:spacing w:after="0" w:line="240" w:lineRule="auto"/>
    </w:pPr>
    <w:rPr>
      <w:rFonts w:ascii="Times New Roman" w:eastAsiaTheme="minorEastAsia"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5824">
      <w:bodyDiv w:val="1"/>
      <w:marLeft w:val="0"/>
      <w:marRight w:val="0"/>
      <w:marTop w:val="0"/>
      <w:marBottom w:val="0"/>
      <w:divBdr>
        <w:top w:val="none" w:sz="0" w:space="0" w:color="auto"/>
        <w:left w:val="none" w:sz="0" w:space="0" w:color="auto"/>
        <w:bottom w:val="none" w:sz="0" w:space="0" w:color="auto"/>
        <w:right w:val="none" w:sz="0" w:space="0" w:color="auto"/>
      </w:divBdr>
    </w:div>
    <w:div w:id="7405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ce.org/fileadmin/DAM/trans/doc/2019/itc/ECE-TRANS-288add2e.pdf" TargetMode="External"/><Relationship Id="rId13" Type="http://schemas.openxmlformats.org/officeDocument/2006/relationships/hyperlink" Target="https://www.unece.org/trans/main/wp5/international_transport_infrastructure_observatory.html"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ww.unece.org/trans/main/wp5/quantifying_transport_costs_for_landlocked-developing_countries.html" TargetMode="External"/><Relationship Id="rId17" Type="http://schemas.openxmlformats.org/officeDocument/2006/relationships/image" Target="media/image2.pn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unece.org/trans/main/sc3/icc_resolution_40.htm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ce.org/trans/main/wp5/strengthening_security_on_inland_freight_routes.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nece.org/trans/main/sc3/bluebook_database.html"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www.unece.org/fileadmin/DAM/trans/doc/2019/itc/ECE-TRANS-288e.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unece.org/fileadmin/DAM/trans/doc/2019/itc/ECE-TRANS-288add1e.pdf" TargetMode="External"/><Relationship Id="rId14" Type="http://schemas.openxmlformats.org/officeDocument/2006/relationships/hyperlink" Target="http://www.unece.org/trans/main/sc3/maps.html" TargetMode="External"/><Relationship Id="rId22" Type="http://schemas.openxmlformats.org/officeDocument/2006/relationships/footer" Target="footer3.xm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9784</Words>
  <Characters>55771</Characters>
  <Application>Microsoft Office Word</Application>
  <DocSecurity>4</DocSecurity>
  <Lines>464</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ECE/TRANS/2020/19</vt:lpstr>
      <vt:lpstr>ECE/TRANS/2020/19</vt:lpstr>
    </vt:vector>
  </TitlesOfParts>
  <Company>DCM</Company>
  <LinksUpToDate>false</LinksUpToDate>
  <CharactersWithSpaces>65425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ECE/TRANS/2020/19</dc:title>
  <dc:subject/>
  <dc:creator>Sandrine CLERE</dc:creator>
  <cp:keywords/>
  <cp:lastModifiedBy>Anastasia Barinova</cp:lastModifiedBy>
  <cp:revision>2</cp:revision>
  <cp:lastPrinted>2020-02-05T09:10:00Z</cp:lastPrinted>
  <dcterms:created xsi:type="dcterms:W3CDTF">2020-02-05T16:08:00Z</dcterms:created>
  <dcterms:modified xsi:type="dcterms:W3CDTF">2020-02-05T16:08:00Z</dcterms:modified>
</cp:coreProperties>
</file>