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3FC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3FCE" w:rsidP="00883FCE">
            <w:pPr>
              <w:jc w:val="right"/>
            </w:pPr>
            <w:r w:rsidRPr="00883FCE">
              <w:rPr>
                <w:sz w:val="40"/>
              </w:rPr>
              <w:t>ECE</w:t>
            </w:r>
            <w:r>
              <w:t>/TRANS/2020/16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83FCE" w:rsidP="00C97039">
            <w:pPr>
              <w:spacing w:before="240"/>
            </w:pPr>
            <w:proofErr w:type="spellStart"/>
            <w:r>
              <w:t>Distr</w:t>
            </w:r>
            <w:proofErr w:type="spellEnd"/>
            <w:r>
              <w:t xml:space="preserve">. </w:t>
            </w:r>
            <w:proofErr w:type="gramStart"/>
            <w:r>
              <w:t>générale</w:t>
            </w:r>
            <w:proofErr w:type="gramEnd"/>
          </w:p>
          <w:p w:rsidR="00883FCE" w:rsidRDefault="00883FCE" w:rsidP="00883FCE">
            <w:pPr>
              <w:spacing w:line="240" w:lineRule="exact"/>
            </w:pPr>
            <w:r>
              <w:t>18 décembre 2019</w:t>
            </w:r>
          </w:p>
          <w:p w:rsidR="00883FCE" w:rsidRDefault="00883FCE" w:rsidP="00883FCE">
            <w:pPr>
              <w:spacing w:line="240" w:lineRule="exact"/>
            </w:pPr>
            <w:r>
              <w:t>Français</w:t>
            </w:r>
          </w:p>
          <w:p w:rsidR="00883FCE" w:rsidRPr="00DB58B5" w:rsidRDefault="00883FCE" w:rsidP="00883FC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2175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447DA" w:rsidRPr="003340F8" w:rsidRDefault="008447DA" w:rsidP="008447DA">
      <w:pPr>
        <w:kinsoku/>
        <w:overflowPunct/>
        <w:autoSpaceDE/>
        <w:autoSpaceDN/>
        <w:adjustRightInd/>
        <w:snapToGrid/>
        <w:spacing w:before="120"/>
        <w:rPr>
          <w:rFonts w:eastAsia="Times New Roman"/>
          <w:b/>
          <w:bCs/>
          <w:lang w:val="fr-FR" w:eastAsia="fr-FR"/>
        </w:rPr>
      </w:pPr>
      <w:r w:rsidRPr="003340F8">
        <w:rPr>
          <w:rFonts w:eastAsia="Times New Roman"/>
          <w:b/>
          <w:bCs/>
          <w:lang w:val="fr-FR" w:eastAsia="fr-FR"/>
        </w:rPr>
        <w:t>Quatre-vingt-deuxième session</w:t>
      </w:r>
    </w:p>
    <w:p w:rsidR="008447DA" w:rsidRDefault="008447DA" w:rsidP="008447DA">
      <w:pPr>
        <w:kinsoku/>
        <w:overflowPunct/>
        <w:autoSpaceDE/>
        <w:autoSpaceDN/>
        <w:adjustRightInd/>
        <w:snapToGrid/>
        <w:rPr>
          <w:rFonts w:eastAsia="Times New Roman"/>
          <w:lang w:val="fr-FR" w:eastAsia="fr-FR"/>
        </w:rPr>
      </w:pPr>
      <w:r w:rsidRPr="003340F8">
        <w:rPr>
          <w:rFonts w:eastAsia="Times New Roman"/>
          <w:lang w:val="fr-FR" w:eastAsia="fr-FR"/>
        </w:rPr>
        <w:t>Genève, 25</w:t>
      </w:r>
      <w:r w:rsidR="00521757">
        <w:rPr>
          <w:rFonts w:eastAsia="Times New Roman"/>
          <w:lang w:val="fr-FR" w:eastAsia="fr-FR"/>
        </w:rPr>
        <w:t>-</w:t>
      </w:r>
      <w:r w:rsidRPr="003340F8">
        <w:rPr>
          <w:rFonts w:eastAsia="Times New Roman"/>
          <w:lang w:val="fr-FR" w:eastAsia="fr-FR"/>
        </w:rPr>
        <w:t>28 février 2020</w:t>
      </w:r>
    </w:p>
    <w:p w:rsidR="008447DA" w:rsidRDefault="008447DA" w:rsidP="008447DA">
      <w:pPr>
        <w:kinsoku/>
        <w:overflowPunct/>
        <w:autoSpaceDE/>
        <w:autoSpaceDN/>
        <w:adjustRightInd/>
        <w:snapToGrid/>
        <w:rPr>
          <w:rFonts w:eastAsia="Times New Roman"/>
          <w:lang w:val="fr-FR" w:eastAsia="fr-FR"/>
        </w:rPr>
      </w:pPr>
      <w:r w:rsidRPr="003340F8">
        <w:rPr>
          <w:rFonts w:eastAsia="Times New Roman"/>
          <w:lang w:val="fr-FR" w:eastAsia="fr-FR"/>
        </w:rPr>
        <w:t>Point 4 q) de l</w:t>
      </w:r>
      <w:r w:rsidR="00521757">
        <w:rPr>
          <w:rFonts w:eastAsia="Times New Roman"/>
          <w:lang w:val="fr-FR" w:eastAsia="fr-FR"/>
        </w:rPr>
        <w:t>’</w:t>
      </w:r>
      <w:r w:rsidRPr="003340F8">
        <w:rPr>
          <w:rFonts w:eastAsia="Times New Roman"/>
          <w:lang w:val="fr-FR" w:eastAsia="fr-FR"/>
        </w:rPr>
        <w:t>ordre du jour provisoire</w:t>
      </w:r>
    </w:p>
    <w:p w:rsidR="008447DA" w:rsidRPr="003340F8" w:rsidRDefault="008447DA" w:rsidP="008447DA">
      <w:pPr>
        <w:kinsoku/>
        <w:overflowPunct/>
        <w:autoSpaceDE/>
        <w:autoSpaceDN/>
        <w:adjustRightInd/>
        <w:snapToGrid/>
        <w:rPr>
          <w:rFonts w:eastAsia="Times New Roman"/>
          <w:b/>
          <w:bCs/>
          <w:lang w:val="fr-FR" w:eastAsia="fr-FR"/>
        </w:rPr>
      </w:pPr>
      <w:r w:rsidRPr="003340F8">
        <w:rPr>
          <w:rFonts w:eastAsia="Times New Roman"/>
          <w:b/>
          <w:bCs/>
          <w:lang w:val="fr-FR" w:eastAsia="fr-FR"/>
        </w:rPr>
        <w:t xml:space="preserve">Questions stratégiques </w:t>
      </w:r>
      <w:r w:rsidRPr="00813256">
        <w:rPr>
          <w:rFonts w:eastAsia="Times New Roman"/>
          <w:b/>
          <w:bCs/>
          <w:lang w:val="fr-FR" w:eastAsia="fr-FR"/>
        </w:rPr>
        <w:t xml:space="preserve">à caractère horizontal ou </w:t>
      </w:r>
      <w:r w:rsidRPr="003340F8">
        <w:rPr>
          <w:rFonts w:eastAsia="Times New Roman"/>
          <w:b/>
          <w:bCs/>
          <w:lang w:val="fr-FR" w:eastAsia="fr-FR"/>
        </w:rPr>
        <w:t>réglementaire</w:t>
      </w:r>
      <w:r>
        <w:rPr>
          <w:rFonts w:eastAsia="Times New Roman"/>
          <w:b/>
          <w:bCs/>
          <w:lang w:val="fr-FR" w:eastAsia="fr-FR"/>
        </w:rPr>
        <w:t> :</w:t>
      </w:r>
      <w:r>
        <w:rPr>
          <w:rFonts w:eastAsia="Times New Roman"/>
          <w:b/>
          <w:bCs/>
          <w:lang w:val="fr-FR" w:eastAsia="fr-FR"/>
        </w:rPr>
        <w:br/>
      </w:r>
      <w:r w:rsidRPr="003340F8">
        <w:rPr>
          <w:rFonts w:eastAsia="Times New Roman"/>
          <w:b/>
          <w:bCs/>
          <w:lang w:val="fr-FR" w:eastAsia="fr-FR"/>
        </w:rPr>
        <w:t>Transport par voie navigable</w:t>
      </w:r>
    </w:p>
    <w:p w:rsidR="008447DA" w:rsidRPr="003340F8" w:rsidRDefault="008447DA" w:rsidP="00365175">
      <w:pPr>
        <w:pStyle w:val="HChG"/>
        <w:spacing w:before="320" w:after="200"/>
        <w:rPr>
          <w:lang w:val="fr-FR" w:eastAsia="fr-FR"/>
        </w:rPr>
      </w:pPr>
      <w:r w:rsidRPr="003340F8">
        <w:rPr>
          <w:lang w:val="fr-FR" w:eastAsia="fr-FR"/>
        </w:rPr>
        <w:tab/>
      </w:r>
      <w:r w:rsidRPr="003340F8">
        <w:rPr>
          <w:lang w:val="fr-FR" w:eastAsia="fr-FR"/>
        </w:rPr>
        <w:tab/>
        <w:t xml:space="preserve">Navigation intelligente et automatisation du transport </w:t>
      </w:r>
      <w:r w:rsidR="00521757">
        <w:rPr>
          <w:lang w:val="fr-FR" w:eastAsia="fr-FR"/>
        </w:rPr>
        <w:br/>
      </w:r>
      <w:r w:rsidRPr="003340F8">
        <w:rPr>
          <w:lang w:val="fr-FR" w:eastAsia="fr-FR"/>
        </w:rPr>
        <w:t>par voie navigable</w:t>
      </w:r>
    </w:p>
    <w:p w:rsidR="008447DA" w:rsidRPr="003340F8" w:rsidRDefault="008447DA" w:rsidP="00365175">
      <w:pPr>
        <w:pStyle w:val="H1G"/>
        <w:spacing w:before="320" w:after="200"/>
        <w:rPr>
          <w:lang w:val="fr-FR" w:eastAsia="fr-FR"/>
        </w:rPr>
      </w:pPr>
      <w:r w:rsidRPr="003340F8">
        <w:rPr>
          <w:lang w:val="fr-FR" w:eastAsia="fr-FR"/>
        </w:rPr>
        <w:tab/>
      </w:r>
      <w:r w:rsidRPr="003340F8">
        <w:rPr>
          <w:lang w:val="fr-FR" w:eastAsia="fr-FR"/>
        </w:rPr>
        <w:tab/>
        <w:t>Note du secrétariat</w:t>
      </w:r>
      <w:r w:rsidRPr="00521757">
        <w:rPr>
          <w:b w:val="0"/>
          <w:sz w:val="20"/>
          <w:lang w:val="fr-FR" w:eastAsia="fr-FR"/>
        </w:rPr>
        <w:footnoteReference w:customMarkFollows="1" w:id="2"/>
        <w:t>*</w:t>
      </w:r>
    </w:p>
    <w:p w:rsidR="008447DA" w:rsidRPr="003340F8" w:rsidRDefault="008447DA" w:rsidP="00365175">
      <w:pPr>
        <w:pStyle w:val="HChG"/>
        <w:spacing w:before="320" w:after="200"/>
        <w:rPr>
          <w:lang w:val="fr-FR" w:eastAsia="fr-FR"/>
        </w:rPr>
      </w:pPr>
      <w:r>
        <w:rPr>
          <w:lang w:val="fr-FR" w:eastAsia="fr-FR"/>
        </w:rPr>
        <w:tab/>
      </w:r>
      <w:r w:rsidRPr="003340F8">
        <w:rPr>
          <w:lang w:val="fr-FR" w:eastAsia="fr-FR"/>
        </w:rPr>
        <w:t>I.</w:t>
      </w:r>
      <w:r w:rsidRPr="003340F8">
        <w:rPr>
          <w:lang w:val="fr-FR" w:eastAsia="fr-FR"/>
        </w:rPr>
        <w:tab/>
        <w:t>Mandat</w:t>
      </w:r>
    </w:p>
    <w:p w:rsidR="008447DA" w:rsidRPr="003340F8" w:rsidRDefault="008447DA" w:rsidP="00521757">
      <w:pPr>
        <w:pStyle w:val="SingleTxtG"/>
        <w:rPr>
          <w:lang w:val="fr-FR" w:eastAsia="fr-FR"/>
        </w:rPr>
      </w:pPr>
      <w:r w:rsidRPr="003340F8">
        <w:rPr>
          <w:lang w:val="fr-FR" w:eastAsia="fr-FR"/>
        </w:rPr>
        <w:t>1.</w:t>
      </w:r>
      <w:r w:rsidRPr="003340F8">
        <w:rPr>
          <w:lang w:val="fr-FR" w:eastAsia="fr-FR"/>
        </w:rPr>
        <w:tab/>
        <w:t>À sa quatre-vingt-unième session, le Comité des transports intérieurs (CTI), s</w:t>
      </w:r>
      <w:r w:rsidR="00521757">
        <w:rPr>
          <w:lang w:val="fr-FR" w:eastAsia="fr-FR"/>
        </w:rPr>
        <w:t>’</w:t>
      </w:r>
      <w:r w:rsidRPr="003340F8">
        <w:rPr>
          <w:lang w:val="fr-FR" w:eastAsia="fr-FR"/>
        </w:rPr>
        <w:t>est félicité des activités menées par le Groupe de travail des transports par voie navigable (SC</w:t>
      </w:r>
      <w:r>
        <w:rPr>
          <w:lang w:val="fr-FR" w:eastAsia="fr-FR"/>
        </w:rPr>
        <w:t>.</w:t>
      </w:r>
      <w:r w:rsidRPr="003340F8">
        <w:rPr>
          <w:lang w:val="fr-FR" w:eastAsia="fr-FR"/>
        </w:rPr>
        <w:t>3) et son organe subsidiaire, le Groupe de travail de l</w:t>
      </w:r>
      <w:r w:rsidR="00521757">
        <w:rPr>
          <w:lang w:val="fr-FR" w:eastAsia="fr-FR"/>
        </w:rPr>
        <w:t>’</w:t>
      </w:r>
      <w:r w:rsidRPr="003340F8">
        <w:rPr>
          <w:lang w:val="fr-FR" w:eastAsia="fr-FR"/>
        </w:rPr>
        <w:t>unification des prescriptions techniques et de sécurité en navigation intérieure (SC.3/WP.3), dans le domaine de l</w:t>
      </w:r>
      <w:r w:rsidR="00521757">
        <w:rPr>
          <w:lang w:val="fr-FR" w:eastAsia="fr-FR"/>
        </w:rPr>
        <w:t>’</w:t>
      </w:r>
      <w:r w:rsidRPr="003340F8">
        <w:rPr>
          <w:lang w:val="fr-FR" w:eastAsia="fr-FR"/>
        </w:rPr>
        <w:t>automatisation, de la navigation intelligente et de la numérisation (ECE/TRANS/288, par.</w:t>
      </w:r>
      <w:r w:rsidR="00521757">
        <w:rPr>
          <w:lang w:val="fr-FR" w:eastAsia="fr-FR"/>
        </w:rPr>
        <w:t> </w:t>
      </w:r>
      <w:r w:rsidRPr="003340F8">
        <w:rPr>
          <w:lang w:val="fr-FR" w:eastAsia="fr-FR"/>
        </w:rPr>
        <w:t>82 et 83).</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2.</w:t>
      </w:r>
      <w:r w:rsidRPr="003340F8">
        <w:rPr>
          <w:rFonts w:eastAsia="Times New Roman"/>
          <w:lang w:val="fr-FR" w:eastAsia="fr-FR"/>
        </w:rPr>
        <w:tab/>
        <w:t>Suite aux décisions figurant dans la déclaration ministérielle sur la navigation intérieure dans le contexte international signée à Wroclaw (Pologne) le</w:t>
      </w:r>
      <w:r w:rsidR="00521757">
        <w:rPr>
          <w:rFonts w:eastAsia="Times New Roman"/>
          <w:lang w:val="fr-FR" w:eastAsia="fr-FR"/>
        </w:rPr>
        <w:t xml:space="preserve"> </w:t>
      </w:r>
      <w:r w:rsidRPr="003340F8">
        <w:rPr>
          <w:rFonts w:eastAsia="Times New Roman"/>
          <w:lang w:val="fr-FR" w:eastAsia="fr-FR"/>
        </w:rPr>
        <w:t>18</w:t>
      </w:r>
      <w:r w:rsidR="00521757">
        <w:rPr>
          <w:rFonts w:eastAsia="Times New Roman"/>
          <w:lang w:val="fr-FR" w:eastAsia="fr-FR"/>
        </w:rPr>
        <w:t> </w:t>
      </w:r>
      <w:r w:rsidRPr="003340F8">
        <w:rPr>
          <w:rFonts w:eastAsia="Times New Roman"/>
          <w:lang w:val="fr-FR" w:eastAsia="fr-FR"/>
        </w:rPr>
        <w:t>avril 201</w:t>
      </w:r>
      <w:r w:rsidR="00F36E14">
        <w:rPr>
          <w:rFonts w:eastAsia="Times New Roman"/>
          <w:lang w:val="fr-FR" w:eastAsia="fr-FR"/>
        </w:rPr>
        <w:t>9</w:t>
      </w:r>
      <w:r w:rsidRPr="003340F8">
        <w:rPr>
          <w:rFonts w:eastAsia="Times New Roman"/>
          <w:lang w:val="fr-FR" w:eastAsia="fr-FR"/>
        </w:rPr>
        <w:t>, dans la résolution ministérielle sur le renforcement de la coopération, de l</w:t>
      </w:r>
      <w:r w:rsidR="00521757">
        <w:rPr>
          <w:rFonts w:eastAsia="Times New Roman"/>
          <w:lang w:val="fr-FR" w:eastAsia="fr-FR"/>
        </w:rPr>
        <w:t>’</w:t>
      </w:r>
      <w:r w:rsidRPr="003340F8">
        <w:rPr>
          <w:rFonts w:eastAsia="Times New Roman"/>
          <w:lang w:val="fr-FR" w:eastAsia="fr-FR"/>
        </w:rPr>
        <w:t>harmonisation et de l</w:t>
      </w:r>
      <w:r w:rsidR="00521757">
        <w:rPr>
          <w:rFonts w:eastAsia="Times New Roman"/>
          <w:lang w:val="fr-FR" w:eastAsia="fr-FR"/>
        </w:rPr>
        <w:t>’</w:t>
      </w:r>
      <w:r w:rsidRPr="003340F8">
        <w:rPr>
          <w:rFonts w:eastAsia="Times New Roman"/>
          <w:lang w:val="fr-FR" w:eastAsia="fr-FR"/>
        </w:rPr>
        <w:t>intégration à l</w:t>
      </w:r>
      <w:r w:rsidR="00521757">
        <w:rPr>
          <w:rFonts w:eastAsia="Times New Roman"/>
          <w:lang w:val="fr-FR" w:eastAsia="fr-FR"/>
        </w:rPr>
        <w:t>’</w:t>
      </w:r>
      <w:r w:rsidRPr="003340F8">
        <w:rPr>
          <w:rFonts w:eastAsia="Times New Roman"/>
          <w:lang w:val="fr-FR" w:eastAsia="fr-FR"/>
        </w:rPr>
        <w:t>ère de la numérisation et de l</w:t>
      </w:r>
      <w:r w:rsidR="00521757">
        <w:rPr>
          <w:rFonts w:eastAsia="Times New Roman"/>
          <w:lang w:val="fr-FR" w:eastAsia="fr-FR"/>
        </w:rPr>
        <w:t>’</w:t>
      </w:r>
      <w:r w:rsidRPr="003340F8">
        <w:rPr>
          <w:rFonts w:eastAsia="Times New Roman"/>
          <w:lang w:val="fr-FR" w:eastAsia="fr-FR"/>
        </w:rPr>
        <w:t>automatisation des transports, approuvée par le Comité des transports intérieurs à sa quatre-vingt-unième session, et dans la résolution n</w:t>
      </w:r>
      <w:r w:rsidRPr="0055564D">
        <w:rPr>
          <w:rFonts w:eastAsia="Times New Roman"/>
          <w:vertAlign w:val="superscript"/>
          <w:lang w:val="fr-FR" w:eastAsia="fr-FR"/>
        </w:rPr>
        <w:t>o</w:t>
      </w:r>
      <w:r w:rsidRPr="00521757">
        <w:rPr>
          <w:rFonts w:eastAsia="Times New Roman"/>
          <w:lang w:val="fr-FR" w:eastAsia="fr-FR"/>
        </w:rPr>
        <w:t> </w:t>
      </w:r>
      <w:r w:rsidRPr="003340F8">
        <w:rPr>
          <w:rFonts w:eastAsia="Times New Roman"/>
          <w:lang w:val="fr-FR" w:eastAsia="fr-FR"/>
        </w:rPr>
        <w:t>265 du CTI en date du 22</w:t>
      </w:r>
      <w:r w:rsidR="00521757">
        <w:rPr>
          <w:rFonts w:eastAsia="Times New Roman"/>
          <w:lang w:val="fr-FR" w:eastAsia="fr-FR"/>
        </w:rPr>
        <w:t> </w:t>
      </w:r>
      <w:r w:rsidRPr="003340F8">
        <w:rPr>
          <w:rFonts w:eastAsia="Times New Roman"/>
          <w:lang w:val="fr-FR" w:eastAsia="fr-FR"/>
        </w:rPr>
        <w:t>février 2019</w:t>
      </w:r>
      <w:r w:rsidR="00975476" w:rsidRPr="00521757">
        <w:rPr>
          <w:rStyle w:val="FootnoteReference"/>
        </w:rPr>
        <w:footnoteReference w:id="3"/>
      </w:r>
      <w:r w:rsidRPr="003340F8">
        <w:rPr>
          <w:rFonts w:eastAsia="Times New Roman"/>
          <w:lang w:val="fr-FR" w:eastAsia="fr-FR"/>
        </w:rPr>
        <w:t xml:space="preserve"> sur la facilitation du développement des transports par voie navigable, les deux groupes de travail ont poursuivi leurs travaux sur cette question en 2019.</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3.</w:t>
      </w:r>
      <w:r w:rsidRPr="003340F8">
        <w:rPr>
          <w:rFonts w:eastAsia="Times New Roman"/>
          <w:lang w:val="fr-FR" w:eastAsia="fr-FR"/>
        </w:rPr>
        <w:tab/>
        <w:t xml:space="preserve">Le présent document fait suite à la demande formulée au secrétariat par le SC.3 à sa soixante-troisième session, de </w:t>
      </w:r>
      <w:r>
        <w:rPr>
          <w:rFonts w:eastAsia="Times New Roman"/>
          <w:lang w:val="fr-FR" w:eastAsia="fr-FR"/>
        </w:rPr>
        <w:t>donner</w:t>
      </w:r>
      <w:r w:rsidRPr="003340F8">
        <w:rPr>
          <w:rFonts w:eastAsia="Times New Roman"/>
          <w:lang w:val="fr-FR" w:eastAsia="fr-FR"/>
        </w:rPr>
        <w:t xml:space="preserve"> à la quatre-vingt-deuxième session du CTI un aperçu des activités qu</w:t>
      </w:r>
      <w:r w:rsidR="00521757">
        <w:rPr>
          <w:rFonts w:eastAsia="Times New Roman"/>
          <w:lang w:val="fr-FR" w:eastAsia="fr-FR"/>
        </w:rPr>
        <w:t>’</w:t>
      </w:r>
      <w:r w:rsidRPr="003340F8">
        <w:rPr>
          <w:rFonts w:eastAsia="Times New Roman"/>
          <w:lang w:val="fr-FR" w:eastAsia="fr-FR"/>
        </w:rPr>
        <w:t>il aurait menées et des progrès qu</w:t>
      </w:r>
      <w:r w:rsidR="00521757">
        <w:rPr>
          <w:rFonts w:eastAsia="Times New Roman"/>
          <w:lang w:val="fr-FR" w:eastAsia="fr-FR"/>
        </w:rPr>
        <w:t>’</w:t>
      </w:r>
      <w:r w:rsidRPr="003340F8">
        <w:rPr>
          <w:rFonts w:eastAsia="Times New Roman"/>
          <w:lang w:val="fr-FR" w:eastAsia="fr-FR"/>
        </w:rPr>
        <w:t>il aurait réalisés en 2019 en matière d</w:t>
      </w:r>
      <w:r w:rsidR="00521757">
        <w:rPr>
          <w:rFonts w:eastAsia="Times New Roman"/>
          <w:lang w:val="fr-FR" w:eastAsia="fr-FR"/>
        </w:rPr>
        <w:t>’</w:t>
      </w:r>
      <w:r w:rsidRPr="003340F8">
        <w:rPr>
          <w:rFonts w:eastAsia="Times New Roman"/>
          <w:lang w:val="fr-FR" w:eastAsia="fr-FR"/>
        </w:rPr>
        <w:t>automatisation dans la navigation intérieure. Le CTI souhaitera peut-être</w:t>
      </w:r>
      <w:r w:rsidR="008D3B3D">
        <w:rPr>
          <w:rFonts w:eastAsia="Times New Roman"/>
          <w:lang w:val="fr-FR" w:eastAsia="fr-FR"/>
        </w:rPr>
        <w:t> </w:t>
      </w:r>
      <w:r w:rsidRPr="003340F8">
        <w:rPr>
          <w:rFonts w:eastAsia="Times New Roman"/>
          <w:lang w:val="fr-FR" w:eastAsia="fr-FR"/>
        </w:rPr>
        <w:t>: a)</w:t>
      </w:r>
      <w:r w:rsidR="008D3B3D">
        <w:rPr>
          <w:rFonts w:eastAsia="Times New Roman"/>
          <w:lang w:val="fr-FR" w:eastAsia="fr-FR"/>
        </w:rPr>
        <w:t> </w:t>
      </w:r>
      <w:r w:rsidRPr="003340F8">
        <w:rPr>
          <w:rFonts w:eastAsia="Times New Roman"/>
          <w:lang w:val="fr-FR" w:eastAsia="fr-FR"/>
        </w:rPr>
        <w:t>prendre note des progrès réalisés par le SC.3 ; b) inclure les activités prévues dans le plan d</w:t>
      </w:r>
      <w:r w:rsidR="00521757">
        <w:rPr>
          <w:rFonts w:eastAsia="Times New Roman"/>
          <w:lang w:val="fr-FR" w:eastAsia="fr-FR"/>
        </w:rPr>
        <w:t>’</w:t>
      </w:r>
      <w:r w:rsidRPr="003340F8">
        <w:rPr>
          <w:rFonts w:eastAsia="Times New Roman"/>
          <w:lang w:val="fr-FR" w:eastAsia="fr-FR"/>
        </w:rPr>
        <w:t>action pour 2020-2024 intitulé «</w:t>
      </w:r>
      <w:r w:rsidR="008D3B3D">
        <w:rPr>
          <w:rFonts w:eastAsia="Times New Roman"/>
          <w:lang w:val="fr-FR" w:eastAsia="fr-FR"/>
        </w:rPr>
        <w:t> </w:t>
      </w:r>
      <w:r w:rsidRPr="003340F8">
        <w:rPr>
          <w:rFonts w:eastAsia="Times New Roman"/>
          <w:lang w:val="fr-FR" w:eastAsia="fr-FR"/>
        </w:rPr>
        <w:t>Instaurer une coopération internationale en faveur de l</w:t>
      </w:r>
      <w:r w:rsidR="00521757">
        <w:rPr>
          <w:rFonts w:eastAsia="Times New Roman"/>
          <w:lang w:val="fr-FR" w:eastAsia="fr-FR"/>
        </w:rPr>
        <w:t>’</w:t>
      </w:r>
      <w:r w:rsidRPr="003340F8">
        <w:rPr>
          <w:rFonts w:eastAsia="Times New Roman"/>
          <w:lang w:val="fr-FR" w:eastAsia="fr-FR"/>
        </w:rPr>
        <w:t>élaboration d</w:t>
      </w:r>
      <w:r w:rsidR="00521757">
        <w:rPr>
          <w:rFonts w:eastAsia="Times New Roman"/>
          <w:lang w:val="fr-FR" w:eastAsia="fr-FR"/>
        </w:rPr>
        <w:t>’</w:t>
      </w:r>
      <w:r w:rsidRPr="003340F8">
        <w:rPr>
          <w:rFonts w:eastAsia="Times New Roman"/>
          <w:lang w:val="fr-FR" w:eastAsia="fr-FR"/>
        </w:rPr>
        <w:t>un cadre juridique international pour la navigation intelligente</w:t>
      </w:r>
      <w:r w:rsidR="008D3B3D">
        <w:rPr>
          <w:rFonts w:eastAsia="Times New Roman"/>
          <w:lang w:val="fr-FR" w:eastAsia="fr-FR"/>
        </w:rPr>
        <w:t> </w:t>
      </w:r>
      <w:r w:rsidRPr="003340F8">
        <w:rPr>
          <w:rFonts w:eastAsia="Times New Roman"/>
          <w:lang w:val="fr-FR" w:eastAsia="fr-FR"/>
        </w:rPr>
        <w:t>» dans son programme de travail sur les systèmes de transport intelligents (STI) ; c)</w:t>
      </w:r>
      <w:r w:rsidR="008D3B3D">
        <w:rPr>
          <w:rFonts w:eastAsia="Times New Roman"/>
          <w:lang w:val="fr-FR" w:eastAsia="fr-FR"/>
        </w:rPr>
        <w:t> </w:t>
      </w:r>
      <w:r w:rsidRPr="003340F8">
        <w:rPr>
          <w:rFonts w:eastAsia="Times New Roman"/>
          <w:lang w:val="fr-FR" w:eastAsia="fr-FR"/>
        </w:rPr>
        <w:t>fournir au SC.3</w:t>
      </w:r>
      <w:r w:rsidRPr="00813256">
        <w:rPr>
          <w:rFonts w:eastAsia="Times New Roman"/>
          <w:lang w:val="fr-FR" w:eastAsia="fr-FR"/>
        </w:rPr>
        <w:t xml:space="preserve"> </w:t>
      </w:r>
      <w:r w:rsidRPr="003340F8">
        <w:rPr>
          <w:rFonts w:eastAsia="Times New Roman"/>
          <w:lang w:val="fr-FR" w:eastAsia="fr-FR"/>
        </w:rPr>
        <w:t>des orientations supplémentaires.</w:t>
      </w:r>
    </w:p>
    <w:p w:rsidR="008447DA" w:rsidRPr="003340F8" w:rsidRDefault="008447DA" w:rsidP="00365175">
      <w:pPr>
        <w:pStyle w:val="HChG"/>
        <w:rPr>
          <w:lang w:val="fr-FR" w:eastAsia="fr-FR"/>
        </w:rPr>
      </w:pPr>
      <w:r>
        <w:rPr>
          <w:lang w:val="fr-FR" w:eastAsia="fr-FR"/>
        </w:rPr>
        <w:lastRenderedPageBreak/>
        <w:tab/>
      </w:r>
      <w:r w:rsidRPr="003340F8">
        <w:rPr>
          <w:lang w:val="fr-FR" w:eastAsia="fr-FR"/>
        </w:rPr>
        <w:t>II.</w:t>
      </w:r>
      <w:r w:rsidRPr="003340F8">
        <w:rPr>
          <w:lang w:val="fr-FR" w:eastAsia="fr-FR"/>
        </w:rPr>
        <w:tab/>
        <w:t>Activités et projets récents</w:t>
      </w:r>
    </w:p>
    <w:p w:rsidR="008447DA" w:rsidRPr="003340F8" w:rsidRDefault="008447DA" w:rsidP="00365175">
      <w:pPr>
        <w:pStyle w:val="SingleTxtG"/>
        <w:rPr>
          <w:lang w:val="fr-FR" w:eastAsia="fr-FR"/>
        </w:rPr>
      </w:pPr>
      <w:bookmarkStart w:id="0" w:name="_Hlk7187209"/>
      <w:r w:rsidRPr="003340F8">
        <w:rPr>
          <w:lang w:val="fr-FR" w:eastAsia="fr-FR"/>
        </w:rPr>
        <w:t>4.</w:t>
      </w:r>
      <w:r w:rsidRPr="003340F8">
        <w:rPr>
          <w:lang w:val="fr-FR" w:eastAsia="fr-FR"/>
        </w:rPr>
        <w:tab/>
        <w:t>La navigation automatisée et la navigation intelligente sont depuis plusieurs années une priorité pour le secteur du transport par voies navigables. Les entreprises de transport les appellent de leurs vœux parce qu</w:t>
      </w:r>
      <w:r w:rsidR="00521757">
        <w:rPr>
          <w:lang w:val="fr-FR" w:eastAsia="fr-FR"/>
        </w:rPr>
        <w:t>’</w:t>
      </w:r>
      <w:r w:rsidRPr="003340F8">
        <w:rPr>
          <w:lang w:val="fr-FR" w:eastAsia="fr-FR"/>
        </w:rPr>
        <w:t>elles sont potentiellement bénéfiques pour la sécurité et la fiabilité de la navigation et parce qu</w:t>
      </w:r>
      <w:r w:rsidR="00521757">
        <w:rPr>
          <w:lang w:val="fr-FR" w:eastAsia="fr-FR"/>
        </w:rPr>
        <w:t>’</w:t>
      </w:r>
      <w:r w:rsidRPr="003340F8">
        <w:rPr>
          <w:lang w:val="fr-FR" w:eastAsia="fr-FR"/>
        </w:rPr>
        <w:t xml:space="preserve">elles peuvent permettre de remédier à la pénurie croissante de personnel dans le secteur. </w:t>
      </w:r>
      <w:r>
        <w:rPr>
          <w:lang w:val="fr-FR" w:eastAsia="fr-FR"/>
        </w:rPr>
        <w:t>D</w:t>
      </w:r>
      <w:r w:rsidRPr="003340F8">
        <w:rPr>
          <w:lang w:val="fr-FR" w:eastAsia="fr-FR"/>
        </w:rPr>
        <w:t xml:space="preserve">es activités de recherche et </w:t>
      </w:r>
      <w:r>
        <w:rPr>
          <w:lang w:val="fr-FR" w:eastAsia="fr-FR"/>
        </w:rPr>
        <w:t>d</w:t>
      </w:r>
      <w:r w:rsidRPr="003340F8">
        <w:rPr>
          <w:lang w:val="fr-FR" w:eastAsia="fr-FR"/>
        </w:rPr>
        <w:t>es projets pilotes ont été menés dans deux directions</w:t>
      </w:r>
      <w:r w:rsidR="00365175">
        <w:rPr>
          <w:lang w:val="fr-FR" w:eastAsia="fr-FR"/>
        </w:rPr>
        <w:t> </w:t>
      </w:r>
      <w:r w:rsidRPr="003340F8">
        <w:rPr>
          <w:lang w:val="fr-FR" w:eastAsia="fr-FR"/>
        </w:rPr>
        <w:t>: a)</w:t>
      </w:r>
      <w:r w:rsidR="00365175">
        <w:rPr>
          <w:lang w:val="fr-FR" w:eastAsia="fr-FR"/>
        </w:rPr>
        <w:t> </w:t>
      </w:r>
      <w:r w:rsidRPr="003340F8">
        <w:rPr>
          <w:lang w:val="fr-FR" w:eastAsia="fr-FR"/>
        </w:rPr>
        <w:t xml:space="preserve">la création de navires </w:t>
      </w:r>
      <w:r w:rsidR="00365175">
        <w:rPr>
          <w:lang w:val="fr-FR" w:eastAsia="fr-FR"/>
        </w:rPr>
        <w:t>« </w:t>
      </w:r>
      <w:r w:rsidRPr="003340F8">
        <w:rPr>
          <w:lang w:val="fr-FR" w:eastAsia="fr-FR"/>
        </w:rPr>
        <w:t>intelligents</w:t>
      </w:r>
      <w:r w:rsidR="00365175">
        <w:rPr>
          <w:lang w:val="fr-FR" w:eastAsia="fr-FR"/>
        </w:rPr>
        <w:t> »</w:t>
      </w:r>
      <w:r w:rsidRPr="003340F8">
        <w:rPr>
          <w:lang w:val="fr-FR" w:eastAsia="fr-FR"/>
        </w:rPr>
        <w:t xml:space="preserve"> et automatisés à des fins diverses ; b)</w:t>
      </w:r>
      <w:r w:rsidR="00365175">
        <w:rPr>
          <w:lang w:val="fr-FR" w:eastAsia="fr-FR"/>
        </w:rPr>
        <w:t> </w:t>
      </w:r>
      <w:r w:rsidRPr="003340F8">
        <w:rPr>
          <w:lang w:val="fr-FR" w:eastAsia="fr-FR"/>
        </w:rPr>
        <w:t>la création d</w:t>
      </w:r>
      <w:r w:rsidR="00521757">
        <w:rPr>
          <w:lang w:val="fr-FR" w:eastAsia="fr-FR"/>
        </w:rPr>
        <w:t>’</w:t>
      </w:r>
      <w:r w:rsidRPr="003340F8">
        <w:rPr>
          <w:lang w:val="fr-FR" w:eastAsia="fr-FR"/>
        </w:rPr>
        <w:t xml:space="preserve">infrastructures terrestres </w:t>
      </w:r>
      <w:r w:rsidR="00365175">
        <w:rPr>
          <w:lang w:val="fr-FR" w:eastAsia="fr-FR"/>
        </w:rPr>
        <w:t>« </w:t>
      </w:r>
      <w:r w:rsidR="00365175" w:rsidRPr="003340F8">
        <w:rPr>
          <w:lang w:val="fr-FR" w:eastAsia="fr-FR"/>
        </w:rPr>
        <w:t>intelligents</w:t>
      </w:r>
      <w:r w:rsidR="00365175">
        <w:rPr>
          <w:lang w:val="fr-FR" w:eastAsia="fr-FR"/>
        </w:rPr>
        <w:t> »</w:t>
      </w:r>
      <w:r w:rsidRPr="003340F8">
        <w:rPr>
          <w:lang w:val="fr-FR" w:eastAsia="fr-FR"/>
        </w:rPr>
        <w:t xml:space="preserve"> pour permettre la navigation sûre et économique des navires </w:t>
      </w:r>
      <w:r w:rsidR="00365175">
        <w:rPr>
          <w:lang w:val="fr-FR" w:eastAsia="fr-FR"/>
        </w:rPr>
        <w:t>« </w:t>
      </w:r>
      <w:r w:rsidR="00365175" w:rsidRPr="003340F8">
        <w:rPr>
          <w:lang w:val="fr-FR" w:eastAsia="fr-FR"/>
        </w:rPr>
        <w:t>intelligents</w:t>
      </w:r>
      <w:r w:rsidR="00365175">
        <w:rPr>
          <w:lang w:val="fr-FR" w:eastAsia="fr-FR"/>
        </w:rPr>
        <w:t> »</w:t>
      </w:r>
      <w:r w:rsidRPr="003340F8">
        <w:rPr>
          <w:lang w:val="fr-FR" w:eastAsia="fr-FR"/>
        </w:rPr>
        <w:t xml:space="preserve"> et automatisés.</w:t>
      </w:r>
    </w:p>
    <w:bookmarkEnd w:id="0"/>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5.</w:t>
      </w:r>
      <w:r w:rsidRPr="003340F8">
        <w:rPr>
          <w:rFonts w:eastAsia="Times New Roman"/>
          <w:lang w:val="fr-FR" w:eastAsia="fr-FR"/>
        </w:rPr>
        <w:tab/>
        <w:t>Certains des projets et programmes récents des États membres et des organisations internationales ont appelé l</w:t>
      </w:r>
      <w:r w:rsidR="00521757">
        <w:rPr>
          <w:rFonts w:eastAsia="Times New Roman"/>
          <w:lang w:val="fr-FR" w:eastAsia="fr-FR"/>
        </w:rPr>
        <w:t>’</w:t>
      </w:r>
      <w:r w:rsidRPr="003340F8">
        <w:rPr>
          <w:rFonts w:eastAsia="Times New Roman"/>
          <w:lang w:val="fr-FR" w:eastAsia="fr-FR"/>
        </w:rPr>
        <w:t>attention en 2019</w:t>
      </w:r>
      <w:r w:rsidR="00365175">
        <w:rPr>
          <w:rFonts w:eastAsia="Times New Roman"/>
          <w:lang w:val="fr-FR" w:eastAsia="fr-FR"/>
        </w:rPr>
        <w:t> </w:t>
      </w:r>
      <w:r w:rsidRPr="003340F8">
        <w:rPr>
          <w:rFonts w:eastAsia="Times New Roman"/>
          <w:lang w:val="fr-FR" w:eastAsia="fr-FR"/>
        </w:rPr>
        <w:t>:</w:t>
      </w:r>
    </w:p>
    <w:p w:rsidR="008447DA" w:rsidRPr="003340F8" w:rsidRDefault="008447DA" w:rsidP="00365175">
      <w:pPr>
        <w:pStyle w:val="SingleTxtG"/>
        <w:ind w:firstLine="567"/>
        <w:rPr>
          <w:lang w:val="fr-FR" w:eastAsia="fr-FR"/>
        </w:rPr>
      </w:pPr>
      <w:r w:rsidRPr="003340F8">
        <w:rPr>
          <w:lang w:val="fr-FR" w:eastAsia="fr-FR"/>
        </w:rPr>
        <w:t>a)</w:t>
      </w:r>
      <w:r w:rsidRPr="003340F8">
        <w:rPr>
          <w:lang w:val="fr-FR" w:eastAsia="fr-FR"/>
        </w:rPr>
        <w:tab/>
        <w:t>Projets menés en Flandre (Belgique)</w:t>
      </w:r>
      <w:r w:rsidR="00365175">
        <w:rPr>
          <w:lang w:val="fr-FR" w:eastAsia="fr-FR"/>
        </w:rPr>
        <w:t> </w:t>
      </w:r>
      <w:r w:rsidRPr="003340F8">
        <w:rPr>
          <w:lang w:val="fr-FR" w:eastAsia="fr-FR"/>
        </w:rPr>
        <w:t>:</w:t>
      </w:r>
    </w:p>
    <w:p w:rsidR="008447DA" w:rsidRPr="003340F8" w:rsidRDefault="008447DA" w:rsidP="00365175">
      <w:pPr>
        <w:pStyle w:val="Bullet1G"/>
        <w:rPr>
          <w:lang w:val="fr-FR" w:eastAsia="fr-FR"/>
        </w:rPr>
      </w:pPr>
      <w:r w:rsidRPr="003340F8">
        <w:rPr>
          <w:lang w:val="fr-FR" w:eastAsia="fr-FR"/>
        </w:rPr>
        <w:t>Le projet Hull-to-Hull (H2H), lancé en 2017, visa</w:t>
      </w:r>
      <w:r>
        <w:rPr>
          <w:lang w:val="fr-FR" w:eastAsia="fr-FR"/>
        </w:rPr>
        <w:t>nt</w:t>
      </w:r>
      <w:r w:rsidRPr="003340F8">
        <w:rPr>
          <w:lang w:val="fr-FR" w:eastAsia="fr-FR"/>
        </w:rPr>
        <w:t xml:space="preserve"> à assurer la sécurité des bateaux lorsqu</w:t>
      </w:r>
      <w:r w:rsidR="00521757">
        <w:rPr>
          <w:lang w:val="fr-FR" w:eastAsia="fr-FR"/>
        </w:rPr>
        <w:t>’</w:t>
      </w:r>
      <w:r w:rsidRPr="003340F8">
        <w:rPr>
          <w:lang w:val="fr-FR" w:eastAsia="fr-FR"/>
        </w:rPr>
        <w:t>ils naviguent à proximité d</w:t>
      </w:r>
      <w:r w:rsidR="00521757">
        <w:rPr>
          <w:lang w:val="fr-FR" w:eastAsia="fr-FR"/>
        </w:rPr>
        <w:t>’</w:t>
      </w:r>
      <w:r w:rsidRPr="003340F8">
        <w:rPr>
          <w:lang w:val="fr-FR" w:eastAsia="fr-FR"/>
        </w:rPr>
        <w:t>autres bateaux ou d</w:t>
      </w:r>
      <w:r w:rsidR="00521757">
        <w:rPr>
          <w:lang w:val="fr-FR" w:eastAsia="fr-FR"/>
        </w:rPr>
        <w:t>’</w:t>
      </w:r>
      <w:r w:rsidRPr="003340F8">
        <w:rPr>
          <w:lang w:val="fr-FR" w:eastAsia="fr-FR"/>
        </w:rPr>
        <w:t>objets, grâce à Galileo, EGNOS</w:t>
      </w:r>
      <w:r w:rsidRPr="00521757">
        <w:rPr>
          <w:rStyle w:val="FootnoteReference"/>
        </w:rPr>
        <w:footnoteReference w:id="4"/>
      </w:r>
      <w:r w:rsidRPr="003340F8">
        <w:rPr>
          <w:lang w:val="fr-FR" w:eastAsia="fr-FR"/>
        </w:rPr>
        <w:t xml:space="preserve"> et d</w:t>
      </w:r>
      <w:r w:rsidR="00521757">
        <w:rPr>
          <w:lang w:val="fr-FR" w:eastAsia="fr-FR"/>
        </w:rPr>
        <w:t>’</w:t>
      </w:r>
      <w:r w:rsidRPr="003340F8">
        <w:rPr>
          <w:lang w:val="fr-FR" w:eastAsia="fr-FR"/>
        </w:rPr>
        <w:t>autres méthodes de positionnement ;</w:t>
      </w:r>
    </w:p>
    <w:p w:rsidR="008447DA" w:rsidRPr="003340F8" w:rsidRDefault="008447DA" w:rsidP="00365175">
      <w:pPr>
        <w:pStyle w:val="Bullet1G"/>
        <w:rPr>
          <w:lang w:val="fr-FR" w:eastAsia="fr-FR"/>
        </w:rPr>
      </w:pPr>
      <w:r>
        <w:rPr>
          <w:lang w:val="fr-FR" w:eastAsia="fr-FR"/>
        </w:rPr>
        <w:t xml:space="preserve">La mise </w:t>
      </w:r>
      <w:r w:rsidRPr="003340F8">
        <w:rPr>
          <w:lang w:val="fr-FR" w:eastAsia="fr-FR"/>
        </w:rPr>
        <w:t>au point</w:t>
      </w:r>
      <w:r>
        <w:rPr>
          <w:lang w:val="fr-FR" w:eastAsia="fr-FR"/>
        </w:rPr>
        <w:t xml:space="preserve">, par </w:t>
      </w:r>
      <w:r w:rsidRPr="003340F8">
        <w:rPr>
          <w:lang w:val="fr-FR" w:eastAsia="fr-FR"/>
        </w:rPr>
        <w:t>SEAFAR</w:t>
      </w:r>
      <w:r>
        <w:rPr>
          <w:lang w:val="fr-FR" w:eastAsia="fr-FR"/>
        </w:rPr>
        <w:t>,</w:t>
      </w:r>
      <w:r w:rsidRPr="003340F8">
        <w:rPr>
          <w:lang w:val="fr-FR" w:eastAsia="fr-FR"/>
        </w:rPr>
        <w:t xml:space="preserve"> de technologies de navigation sans équipage pour le pilotage à distance de barges fluviales automatisées ; </w:t>
      </w:r>
      <w:r>
        <w:rPr>
          <w:lang w:val="fr-FR" w:eastAsia="fr-FR"/>
        </w:rPr>
        <w:t xml:space="preserve">ce projet est en cours et </w:t>
      </w:r>
      <w:r w:rsidRPr="003340F8">
        <w:rPr>
          <w:lang w:val="fr-FR" w:eastAsia="fr-FR"/>
        </w:rPr>
        <w:t>les essais devaient débuter en septembre 2019</w:t>
      </w:r>
      <w:r w:rsidR="00975476">
        <w:rPr>
          <w:lang w:val="fr-FR" w:eastAsia="fr-FR"/>
        </w:rPr>
        <w:t> ;</w:t>
      </w:r>
    </w:p>
    <w:p w:rsidR="008447DA" w:rsidRPr="003340F8" w:rsidRDefault="008447DA" w:rsidP="00365175">
      <w:pPr>
        <w:pStyle w:val="Bullet1G"/>
        <w:rPr>
          <w:lang w:val="fr-FR" w:eastAsia="fr-FR"/>
        </w:rPr>
      </w:pPr>
      <w:r w:rsidRPr="003340F8">
        <w:rPr>
          <w:lang w:val="fr-FR" w:eastAsia="fr-FR"/>
        </w:rPr>
        <w:t>Le projet AUTOSHIP (</w:t>
      </w:r>
      <w:proofErr w:type="spellStart"/>
      <w:r w:rsidRPr="003340F8">
        <w:rPr>
          <w:lang w:val="fr-FR" w:eastAsia="fr-FR"/>
        </w:rPr>
        <w:t>Autonomous</w:t>
      </w:r>
      <w:proofErr w:type="spellEnd"/>
      <w:r w:rsidRPr="003340F8">
        <w:rPr>
          <w:lang w:val="fr-FR" w:eastAsia="fr-FR"/>
        </w:rPr>
        <w:t xml:space="preserve"> Shipping Initiative for </w:t>
      </w:r>
      <w:proofErr w:type="spellStart"/>
      <w:r w:rsidRPr="003340F8">
        <w:rPr>
          <w:lang w:val="fr-FR" w:eastAsia="fr-FR"/>
        </w:rPr>
        <w:t>European</w:t>
      </w:r>
      <w:proofErr w:type="spellEnd"/>
      <w:r w:rsidRPr="003340F8">
        <w:rPr>
          <w:lang w:val="fr-FR" w:eastAsia="fr-FR"/>
        </w:rPr>
        <w:t xml:space="preserve"> Waters) visa</w:t>
      </w:r>
      <w:r>
        <w:rPr>
          <w:lang w:val="fr-FR" w:eastAsia="fr-FR"/>
        </w:rPr>
        <w:t>n</w:t>
      </w:r>
      <w:r w:rsidRPr="003340F8">
        <w:rPr>
          <w:lang w:val="fr-FR" w:eastAsia="fr-FR"/>
        </w:rPr>
        <w:t>t à mettre à l</w:t>
      </w:r>
      <w:r w:rsidR="00521757">
        <w:rPr>
          <w:lang w:val="fr-FR" w:eastAsia="fr-FR"/>
        </w:rPr>
        <w:t>’</w:t>
      </w:r>
      <w:r w:rsidRPr="003340F8">
        <w:rPr>
          <w:lang w:val="fr-FR" w:eastAsia="fr-FR"/>
        </w:rPr>
        <w:t>essai un bateau sans équipage sur les voies navigables flamandes ; lancé en 2019, il prendra fin en décembre 2022</w:t>
      </w:r>
      <w:r w:rsidR="00975476">
        <w:rPr>
          <w:lang w:val="fr-FR" w:eastAsia="fr-FR"/>
        </w:rPr>
        <w:t> ;</w:t>
      </w:r>
    </w:p>
    <w:p w:rsidR="008447DA" w:rsidRPr="003340F8" w:rsidRDefault="008447DA" w:rsidP="000C4CC9">
      <w:pPr>
        <w:pStyle w:val="SingleTxtG"/>
        <w:ind w:firstLine="567"/>
        <w:rPr>
          <w:rFonts w:eastAsia="Times New Roman"/>
          <w:lang w:val="fr-FR" w:eastAsia="fr-FR"/>
        </w:rPr>
      </w:pPr>
      <w:r w:rsidRPr="003340F8">
        <w:rPr>
          <w:rFonts w:eastAsia="Times New Roman"/>
          <w:lang w:val="fr-FR" w:eastAsia="fr-FR"/>
        </w:rPr>
        <w:t>b)</w:t>
      </w:r>
      <w:r w:rsidRPr="003340F8">
        <w:rPr>
          <w:rFonts w:eastAsia="Times New Roman"/>
          <w:lang w:val="fr-FR" w:eastAsia="fr-FR"/>
        </w:rPr>
        <w:tab/>
        <w:t>La stratégie relative à l</w:t>
      </w:r>
      <w:r w:rsidR="00521757">
        <w:rPr>
          <w:rFonts w:eastAsia="Times New Roman"/>
          <w:lang w:val="fr-FR" w:eastAsia="fr-FR"/>
        </w:rPr>
        <w:t>’</w:t>
      </w:r>
      <w:r w:rsidRPr="003340F8">
        <w:rPr>
          <w:rFonts w:eastAsia="Times New Roman"/>
          <w:lang w:val="fr-FR" w:eastAsia="fr-FR"/>
        </w:rPr>
        <w:t>intelligence artificielle adoptée par l</w:t>
      </w:r>
      <w:r w:rsidR="00521757">
        <w:rPr>
          <w:rFonts w:eastAsia="Times New Roman"/>
          <w:lang w:val="fr-FR" w:eastAsia="fr-FR"/>
        </w:rPr>
        <w:t>’</w:t>
      </w:r>
      <w:r>
        <w:rPr>
          <w:rFonts w:eastAsia="Times New Roman"/>
          <w:lang w:val="fr-FR" w:eastAsia="fr-FR"/>
        </w:rPr>
        <w:t>Allemagne, qui</w:t>
      </w:r>
      <w:r w:rsidRPr="003340F8">
        <w:rPr>
          <w:rFonts w:eastAsia="Times New Roman"/>
          <w:lang w:val="fr-FR" w:eastAsia="fr-FR"/>
        </w:rPr>
        <w:t xml:space="preserve"> compren</w:t>
      </w:r>
      <w:r>
        <w:rPr>
          <w:rFonts w:eastAsia="Times New Roman"/>
          <w:lang w:val="fr-FR" w:eastAsia="fr-FR"/>
        </w:rPr>
        <w:t>d</w:t>
      </w:r>
      <w:r w:rsidRPr="003340F8">
        <w:rPr>
          <w:rFonts w:eastAsia="Times New Roman"/>
          <w:lang w:val="fr-FR" w:eastAsia="fr-FR"/>
        </w:rPr>
        <w:t xml:space="preserve"> un plan d</w:t>
      </w:r>
      <w:r w:rsidR="00521757">
        <w:rPr>
          <w:rFonts w:eastAsia="Times New Roman"/>
          <w:lang w:val="fr-FR" w:eastAsia="fr-FR"/>
        </w:rPr>
        <w:t>’</w:t>
      </w:r>
      <w:r w:rsidRPr="003340F8">
        <w:rPr>
          <w:rFonts w:eastAsia="Times New Roman"/>
          <w:lang w:val="fr-FR" w:eastAsia="fr-FR"/>
        </w:rPr>
        <w:t>action visant à favoriser l</w:t>
      </w:r>
      <w:r w:rsidR="00521757">
        <w:rPr>
          <w:rFonts w:eastAsia="Times New Roman"/>
          <w:lang w:val="fr-FR" w:eastAsia="fr-FR"/>
        </w:rPr>
        <w:t>’</w:t>
      </w:r>
      <w:r w:rsidRPr="003340F8">
        <w:rPr>
          <w:rFonts w:eastAsia="Times New Roman"/>
          <w:lang w:val="fr-FR" w:eastAsia="fr-FR"/>
        </w:rPr>
        <w:t>automatisation dans le transport par voie navigable</w:t>
      </w:r>
      <w:r>
        <w:rPr>
          <w:rFonts w:eastAsia="Times New Roman"/>
          <w:lang w:val="fr-FR" w:eastAsia="fr-FR"/>
        </w:rPr>
        <w:t xml:space="preserve"> et</w:t>
      </w:r>
      <w:r w:rsidRPr="003340F8">
        <w:rPr>
          <w:rFonts w:eastAsia="Times New Roman"/>
          <w:lang w:val="fr-FR" w:eastAsia="fr-FR"/>
        </w:rPr>
        <w:t xml:space="preserve"> à établir des zones d</w:t>
      </w:r>
      <w:r w:rsidR="00521757">
        <w:rPr>
          <w:rFonts w:eastAsia="Times New Roman"/>
          <w:lang w:val="fr-FR" w:eastAsia="fr-FR"/>
        </w:rPr>
        <w:t>’</w:t>
      </w:r>
      <w:r w:rsidRPr="003340F8">
        <w:rPr>
          <w:rFonts w:eastAsia="Times New Roman"/>
          <w:lang w:val="fr-FR" w:eastAsia="fr-FR"/>
        </w:rPr>
        <w:t>essai pour la navigation intelligente et la numérisation</w:t>
      </w:r>
      <w:r>
        <w:rPr>
          <w:rFonts w:eastAsia="Times New Roman"/>
          <w:lang w:val="fr-FR" w:eastAsia="fr-FR"/>
        </w:rPr>
        <w:t xml:space="preserve">, ainsi que </w:t>
      </w:r>
      <w:r w:rsidRPr="003340F8">
        <w:rPr>
          <w:rFonts w:eastAsia="Times New Roman"/>
          <w:lang w:val="fr-FR" w:eastAsia="fr-FR"/>
        </w:rPr>
        <w:t>divers projets de navigation autonome ;</w:t>
      </w:r>
    </w:p>
    <w:p w:rsidR="008447DA" w:rsidRPr="003340F8" w:rsidRDefault="008447DA" w:rsidP="000C4CC9">
      <w:pPr>
        <w:pStyle w:val="SingleTxtG"/>
        <w:ind w:firstLine="567"/>
        <w:rPr>
          <w:rFonts w:eastAsia="Times New Roman"/>
          <w:lang w:val="fr-FR" w:eastAsia="fr-FR"/>
        </w:rPr>
      </w:pPr>
      <w:r w:rsidRPr="003340F8">
        <w:rPr>
          <w:rFonts w:eastAsia="Times New Roman"/>
          <w:lang w:val="fr-FR" w:eastAsia="fr-FR"/>
        </w:rPr>
        <w:t>c)</w:t>
      </w:r>
      <w:r w:rsidRPr="003340F8">
        <w:rPr>
          <w:rFonts w:eastAsia="Times New Roman"/>
          <w:lang w:val="fr-FR" w:eastAsia="fr-FR"/>
        </w:rPr>
        <w:tab/>
        <w:t>Le programme de travail pour 2019-2021 du Comité européen pour l</w:t>
      </w:r>
      <w:r w:rsidR="00521757">
        <w:rPr>
          <w:rFonts w:eastAsia="Times New Roman"/>
          <w:lang w:val="fr-FR" w:eastAsia="fr-FR"/>
        </w:rPr>
        <w:t>’</w:t>
      </w:r>
      <w:r w:rsidRPr="003340F8">
        <w:rPr>
          <w:rFonts w:eastAsia="Times New Roman"/>
          <w:lang w:val="fr-FR" w:eastAsia="fr-FR"/>
        </w:rPr>
        <w:t>élaboration de standards dans le domaine de la navigation intérieure (CESNI) comprena</w:t>
      </w:r>
      <w:r>
        <w:rPr>
          <w:rFonts w:eastAsia="Times New Roman"/>
          <w:lang w:val="fr-FR" w:eastAsia="fr-FR"/>
        </w:rPr>
        <w:t>nt</w:t>
      </w:r>
      <w:r w:rsidRPr="003340F8">
        <w:rPr>
          <w:rFonts w:eastAsia="Times New Roman"/>
          <w:lang w:val="fr-FR" w:eastAsia="fr-FR"/>
        </w:rPr>
        <w:t xml:space="preserve"> l</w:t>
      </w:r>
      <w:r w:rsidR="00521757">
        <w:rPr>
          <w:rFonts w:eastAsia="Times New Roman"/>
          <w:lang w:val="fr-FR" w:eastAsia="fr-FR"/>
        </w:rPr>
        <w:t>’</w:t>
      </w:r>
      <w:r w:rsidRPr="003340F8">
        <w:rPr>
          <w:rFonts w:eastAsia="Times New Roman"/>
          <w:lang w:val="fr-FR" w:eastAsia="fr-FR"/>
        </w:rPr>
        <w:t>élaboration et l</w:t>
      </w:r>
      <w:r w:rsidR="00521757">
        <w:rPr>
          <w:rFonts w:eastAsia="Times New Roman"/>
          <w:lang w:val="fr-FR" w:eastAsia="fr-FR"/>
        </w:rPr>
        <w:t>’</w:t>
      </w:r>
      <w:r w:rsidRPr="003340F8">
        <w:rPr>
          <w:rFonts w:eastAsia="Times New Roman"/>
          <w:lang w:val="fr-FR" w:eastAsia="fr-FR"/>
        </w:rPr>
        <w:t>adoption de normes dans le domaine des prescriptions techniques applicables aux bateaux, la mise en œuvre de la numérisation et de l</w:t>
      </w:r>
      <w:r w:rsidR="00521757">
        <w:rPr>
          <w:rFonts w:eastAsia="Times New Roman"/>
          <w:lang w:val="fr-FR" w:eastAsia="fr-FR"/>
        </w:rPr>
        <w:t>’</w:t>
      </w:r>
      <w:r w:rsidRPr="003340F8">
        <w:rPr>
          <w:rFonts w:eastAsia="Times New Roman"/>
          <w:lang w:val="fr-FR" w:eastAsia="fr-FR"/>
        </w:rPr>
        <w:t>automatisation dans la navigation intérieure, la collecte d</w:t>
      </w:r>
      <w:r w:rsidR="00521757">
        <w:rPr>
          <w:rFonts w:eastAsia="Times New Roman"/>
          <w:lang w:val="fr-FR" w:eastAsia="fr-FR"/>
        </w:rPr>
        <w:t>’</w:t>
      </w:r>
      <w:r w:rsidRPr="003340F8">
        <w:rPr>
          <w:rFonts w:eastAsia="Times New Roman"/>
          <w:lang w:val="fr-FR" w:eastAsia="fr-FR"/>
        </w:rPr>
        <w:t>enseignements tirés de l</w:t>
      </w:r>
      <w:r w:rsidR="00521757">
        <w:rPr>
          <w:rFonts w:eastAsia="Times New Roman"/>
          <w:lang w:val="fr-FR" w:eastAsia="fr-FR"/>
        </w:rPr>
        <w:t>’</w:t>
      </w:r>
      <w:r w:rsidRPr="003340F8">
        <w:rPr>
          <w:rFonts w:eastAsia="Times New Roman"/>
          <w:lang w:val="fr-FR" w:eastAsia="fr-FR"/>
        </w:rPr>
        <w:t>exécution de projets pilotes et une évaluation des besoins en matière de réglementation ;</w:t>
      </w:r>
      <w:bookmarkStart w:id="1" w:name="_Hlk26912017"/>
      <w:bookmarkEnd w:id="1"/>
    </w:p>
    <w:p w:rsidR="008447DA" w:rsidRPr="003340F8" w:rsidRDefault="008447DA" w:rsidP="000C4CC9">
      <w:pPr>
        <w:pStyle w:val="SingleTxtG"/>
        <w:ind w:firstLine="567"/>
        <w:rPr>
          <w:rFonts w:eastAsia="Times New Roman"/>
          <w:lang w:val="fr-FR" w:eastAsia="fr-FR"/>
        </w:rPr>
      </w:pPr>
      <w:r w:rsidRPr="003340F8">
        <w:rPr>
          <w:rFonts w:eastAsia="Times New Roman"/>
          <w:lang w:val="fr-FR" w:eastAsia="fr-FR"/>
        </w:rPr>
        <w:t>d)</w:t>
      </w:r>
      <w:r w:rsidRPr="003340F8">
        <w:rPr>
          <w:rFonts w:eastAsia="Times New Roman"/>
          <w:lang w:val="fr-FR" w:eastAsia="fr-FR"/>
        </w:rPr>
        <w:tab/>
      </w:r>
      <w:r>
        <w:rPr>
          <w:rFonts w:eastAsia="Times New Roman"/>
          <w:lang w:val="fr-FR" w:eastAsia="fr-FR"/>
        </w:rPr>
        <w:t>L</w:t>
      </w:r>
      <w:r w:rsidR="00521757">
        <w:rPr>
          <w:rFonts w:eastAsia="Times New Roman"/>
          <w:lang w:val="fr-FR" w:eastAsia="fr-FR"/>
        </w:rPr>
        <w:t>’</w:t>
      </w:r>
      <w:r>
        <w:rPr>
          <w:rFonts w:eastAsia="Times New Roman"/>
          <w:lang w:val="fr-FR" w:eastAsia="fr-FR"/>
        </w:rPr>
        <w:t>analyse, par l</w:t>
      </w:r>
      <w:r w:rsidRPr="003340F8">
        <w:rPr>
          <w:rFonts w:eastAsia="Times New Roman"/>
          <w:lang w:val="fr-FR" w:eastAsia="fr-FR"/>
        </w:rPr>
        <w:t>a Commission centrale pour la navigation du Rhin (CCNR)</w:t>
      </w:r>
      <w:r>
        <w:rPr>
          <w:rFonts w:eastAsia="Times New Roman"/>
          <w:lang w:val="fr-FR" w:eastAsia="fr-FR"/>
        </w:rPr>
        <w:t>,</w:t>
      </w:r>
      <w:r w:rsidRPr="003340F8">
        <w:rPr>
          <w:rFonts w:eastAsia="Times New Roman"/>
          <w:lang w:val="fr-FR" w:eastAsia="fr-FR"/>
        </w:rPr>
        <w:t xml:space="preserve"> </w:t>
      </w:r>
      <w:r>
        <w:rPr>
          <w:rFonts w:eastAsia="Times New Roman"/>
          <w:lang w:val="fr-FR" w:eastAsia="fr-FR"/>
        </w:rPr>
        <w:t>de</w:t>
      </w:r>
      <w:r w:rsidRPr="003340F8">
        <w:rPr>
          <w:rFonts w:eastAsia="Times New Roman"/>
          <w:lang w:val="fr-FR" w:eastAsia="fr-FR"/>
        </w:rPr>
        <w:t xml:space="preserve"> son cadre réglementaire</w:t>
      </w:r>
      <w:r>
        <w:rPr>
          <w:rFonts w:eastAsia="Times New Roman"/>
          <w:lang w:val="fr-FR" w:eastAsia="fr-FR"/>
        </w:rPr>
        <w:t>,</w:t>
      </w:r>
      <w:r w:rsidRPr="003340F8">
        <w:rPr>
          <w:rFonts w:eastAsia="Times New Roman"/>
          <w:lang w:val="fr-FR" w:eastAsia="fr-FR"/>
        </w:rPr>
        <w:t xml:space="preserve"> en vue de la mise en œuvre des dispositions relatives à l</w:t>
      </w:r>
      <w:r w:rsidR="00521757">
        <w:rPr>
          <w:rFonts w:eastAsia="Times New Roman"/>
          <w:lang w:val="fr-FR" w:eastAsia="fr-FR"/>
        </w:rPr>
        <w:t>’</w:t>
      </w:r>
      <w:r w:rsidRPr="003340F8">
        <w:rPr>
          <w:rFonts w:eastAsia="Times New Roman"/>
          <w:lang w:val="fr-FR" w:eastAsia="fr-FR"/>
        </w:rPr>
        <w:t>automatisation</w:t>
      </w:r>
      <w:r>
        <w:rPr>
          <w:rFonts w:eastAsia="Times New Roman"/>
          <w:lang w:val="fr-FR" w:eastAsia="fr-FR"/>
        </w:rPr>
        <w:t>. Ce projet est lancé et la Commission</w:t>
      </w:r>
      <w:r w:rsidRPr="003340F8">
        <w:rPr>
          <w:rFonts w:eastAsia="Times New Roman"/>
          <w:lang w:val="fr-FR" w:eastAsia="fr-FR"/>
        </w:rPr>
        <w:t xml:space="preserve"> </w:t>
      </w:r>
      <w:r>
        <w:rPr>
          <w:rFonts w:eastAsia="Times New Roman"/>
          <w:lang w:val="fr-FR" w:eastAsia="fr-FR"/>
        </w:rPr>
        <w:t>est en train de faire l</w:t>
      </w:r>
      <w:r w:rsidR="00521757">
        <w:rPr>
          <w:rFonts w:eastAsia="Times New Roman"/>
          <w:lang w:val="fr-FR" w:eastAsia="fr-FR"/>
        </w:rPr>
        <w:t>’</w:t>
      </w:r>
      <w:r w:rsidRPr="003340F8">
        <w:rPr>
          <w:rFonts w:eastAsia="Times New Roman"/>
          <w:lang w:val="fr-FR" w:eastAsia="fr-FR"/>
        </w:rPr>
        <w:t>inventaire des projets relatifs à l</w:t>
      </w:r>
      <w:r w:rsidR="00521757">
        <w:rPr>
          <w:rFonts w:eastAsia="Times New Roman"/>
          <w:lang w:val="fr-FR" w:eastAsia="fr-FR"/>
        </w:rPr>
        <w:t>’</w:t>
      </w:r>
      <w:r w:rsidRPr="003340F8">
        <w:rPr>
          <w:rFonts w:eastAsia="Times New Roman"/>
          <w:lang w:val="fr-FR" w:eastAsia="fr-FR"/>
        </w:rPr>
        <w:t xml:space="preserve">automatisation </w:t>
      </w:r>
      <w:r>
        <w:rPr>
          <w:rFonts w:eastAsia="Times New Roman"/>
          <w:lang w:val="fr-FR" w:eastAsia="fr-FR"/>
        </w:rPr>
        <w:t>dans la</w:t>
      </w:r>
      <w:r w:rsidRPr="003340F8">
        <w:rPr>
          <w:rFonts w:eastAsia="Times New Roman"/>
          <w:lang w:val="fr-FR" w:eastAsia="fr-FR"/>
        </w:rPr>
        <w:t xml:space="preserve"> navigation intérieure</w:t>
      </w:r>
      <w:r w:rsidR="00975476">
        <w:rPr>
          <w:rFonts w:eastAsia="Times New Roman"/>
          <w:lang w:val="fr-FR" w:eastAsia="fr-FR"/>
        </w:rPr>
        <w:t> ;</w:t>
      </w:r>
    </w:p>
    <w:p w:rsidR="008447DA" w:rsidRPr="003340F8" w:rsidRDefault="008447DA" w:rsidP="000C4CC9">
      <w:pPr>
        <w:pStyle w:val="SingleTxtG"/>
        <w:ind w:firstLine="567"/>
        <w:rPr>
          <w:rFonts w:eastAsia="Times New Roman"/>
          <w:lang w:val="fr-FR" w:eastAsia="fr-FR"/>
        </w:rPr>
      </w:pPr>
      <w:r w:rsidRPr="003340F8">
        <w:rPr>
          <w:rFonts w:eastAsia="Times New Roman"/>
          <w:lang w:val="fr-FR" w:eastAsia="fr-FR"/>
        </w:rPr>
        <w:t>e)</w:t>
      </w:r>
      <w:r w:rsidRPr="003340F8">
        <w:rPr>
          <w:rFonts w:eastAsia="Times New Roman"/>
          <w:lang w:val="fr-FR" w:eastAsia="fr-FR"/>
        </w:rPr>
        <w:tab/>
        <w:t>Le</w:t>
      </w:r>
      <w:r>
        <w:rPr>
          <w:rFonts w:eastAsia="Times New Roman"/>
          <w:lang w:val="fr-FR" w:eastAsia="fr-FR"/>
        </w:rPr>
        <w:t>s travaux du</w:t>
      </w:r>
      <w:r w:rsidRPr="003340F8">
        <w:rPr>
          <w:rFonts w:eastAsia="Times New Roman"/>
          <w:lang w:val="fr-FR" w:eastAsia="fr-FR"/>
        </w:rPr>
        <w:t xml:space="preserve"> Groupe de travail 210 «</w:t>
      </w:r>
      <w:r w:rsidR="000C4CC9">
        <w:rPr>
          <w:rFonts w:eastAsia="Times New Roman"/>
          <w:lang w:val="fr-FR" w:eastAsia="fr-FR"/>
        </w:rPr>
        <w:t> </w:t>
      </w:r>
      <w:r w:rsidRPr="003340F8">
        <w:rPr>
          <w:rFonts w:eastAsia="Times New Roman"/>
          <w:lang w:val="fr-FR" w:eastAsia="fr-FR"/>
        </w:rPr>
        <w:t>Navigation intelligente sur les voies navigables intérieures</w:t>
      </w:r>
      <w:r w:rsidR="000C4CC9">
        <w:rPr>
          <w:rFonts w:eastAsia="Times New Roman"/>
          <w:lang w:val="fr-FR" w:eastAsia="fr-FR"/>
        </w:rPr>
        <w:t> </w:t>
      </w:r>
      <w:r w:rsidRPr="003340F8">
        <w:rPr>
          <w:rFonts w:eastAsia="Times New Roman"/>
          <w:lang w:val="fr-FR" w:eastAsia="fr-FR"/>
        </w:rPr>
        <w:t>» de l</w:t>
      </w:r>
      <w:r w:rsidR="00521757">
        <w:rPr>
          <w:rFonts w:eastAsia="Times New Roman"/>
          <w:lang w:val="fr-FR" w:eastAsia="fr-FR"/>
        </w:rPr>
        <w:t>’</w:t>
      </w:r>
      <w:r w:rsidRPr="003340F8">
        <w:rPr>
          <w:rFonts w:eastAsia="Times New Roman"/>
          <w:lang w:val="fr-FR" w:eastAsia="fr-FR"/>
        </w:rPr>
        <w:t xml:space="preserve">Association mondiale pour les infrastructures de transport maritimes et fluviales (AIPCN), </w:t>
      </w:r>
      <w:r>
        <w:rPr>
          <w:rFonts w:eastAsia="Times New Roman"/>
          <w:lang w:val="fr-FR" w:eastAsia="fr-FR"/>
        </w:rPr>
        <w:t xml:space="preserve">qui </w:t>
      </w:r>
      <w:r w:rsidRPr="003340F8">
        <w:rPr>
          <w:rFonts w:eastAsia="Times New Roman"/>
          <w:lang w:val="fr-FR" w:eastAsia="fr-FR"/>
        </w:rPr>
        <w:t>s</w:t>
      </w:r>
      <w:r w:rsidR="00521757">
        <w:rPr>
          <w:rFonts w:eastAsia="Times New Roman"/>
          <w:lang w:val="fr-FR" w:eastAsia="fr-FR"/>
        </w:rPr>
        <w:t>’</w:t>
      </w:r>
      <w:r w:rsidRPr="003340F8">
        <w:rPr>
          <w:rFonts w:eastAsia="Times New Roman"/>
          <w:lang w:val="fr-FR" w:eastAsia="fr-FR"/>
        </w:rPr>
        <w:t>intéress</w:t>
      </w:r>
      <w:r>
        <w:rPr>
          <w:rFonts w:eastAsia="Times New Roman"/>
          <w:lang w:val="fr-FR" w:eastAsia="fr-FR"/>
        </w:rPr>
        <w:t>e</w:t>
      </w:r>
      <w:r w:rsidRPr="003340F8">
        <w:rPr>
          <w:rFonts w:eastAsia="Times New Roman"/>
          <w:lang w:val="fr-FR" w:eastAsia="fr-FR"/>
        </w:rPr>
        <w:t xml:space="preserve"> particulièrement aux incidences de la navigation intelligente sur les infrastructures et pour les gestionnaires de la circulation sur les voies navigables.</w:t>
      </w:r>
    </w:p>
    <w:p w:rsidR="008447DA" w:rsidRPr="003340F8" w:rsidRDefault="008447DA" w:rsidP="000C4CC9">
      <w:pPr>
        <w:pStyle w:val="SingleTxtG"/>
        <w:rPr>
          <w:lang w:val="fr-FR" w:eastAsia="fr-FR"/>
        </w:rPr>
      </w:pPr>
      <w:r w:rsidRPr="003340F8">
        <w:rPr>
          <w:lang w:val="fr-FR" w:eastAsia="fr-FR"/>
        </w:rPr>
        <w:t>6.</w:t>
      </w:r>
      <w:r w:rsidRPr="003340F8">
        <w:rPr>
          <w:lang w:val="fr-FR" w:eastAsia="fr-FR"/>
        </w:rPr>
        <w:tab/>
        <w:t>Toutefois, les aspects pratiques de la mise en œuvre de la navigation automatisée n</w:t>
      </w:r>
      <w:r w:rsidR="00521757">
        <w:rPr>
          <w:lang w:val="fr-FR" w:eastAsia="fr-FR"/>
        </w:rPr>
        <w:t>’</w:t>
      </w:r>
      <w:r w:rsidRPr="003340F8">
        <w:rPr>
          <w:lang w:val="fr-FR" w:eastAsia="fr-FR"/>
        </w:rPr>
        <w:t>ont pas été suffisamment étudiés. Il faudra donc s</w:t>
      </w:r>
      <w:r w:rsidR="00521757">
        <w:rPr>
          <w:lang w:val="fr-FR" w:eastAsia="fr-FR"/>
        </w:rPr>
        <w:t>’</w:t>
      </w:r>
      <w:r w:rsidRPr="003340F8">
        <w:rPr>
          <w:lang w:val="fr-FR" w:eastAsia="fr-FR"/>
        </w:rPr>
        <w:t>efforcer de faire en sorte que le cadre juridique suive l</w:t>
      </w:r>
      <w:r w:rsidR="00521757">
        <w:rPr>
          <w:lang w:val="fr-FR" w:eastAsia="fr-FR"/>
        </w:rPr>
        <w:t>’</w:t>
      </w:r>
      <w:r w:rsidRPr="003340F8">
        <w:rPr>
          <w:lang w:val="fr-FR" w:eastAsia="fr-FR"/>
        </w:rPr>
        <w:t>évolution technologique, mais, si tel n</w:t>
      </w:r>
      <w:r w:rsidR="00521757">
        <w:rPr>
          <w:lang w:val="fr-FR" w:eastAsia="fr-FR"/>
        </w:rPr>
        <w:t>’</w:t>
      </w:r>
      <w:r w:rsidRPr="003340F8">
        <w:rPr>
          <w:lang w:val="fr-FR" w:eastAsia="fr-FR"/>
        </w:rPr>
        <w:t>est pas le cas, l</w:t>
      </w:r>
      <w:r w:rsidR="00521757">
        <w:rPr>
          <w:lang w:val="fr-FR" w:eastAsia="fr-FR"/>
        </w:rPr>
        <w:t>’</w:t>
      </w:r>
      <w:r w:rsidRPr="003340F8">
        <w:rPr>
          <w:lang w:val="fr-FR" w:eastAsia="fr-FR"/>
        </w:rPr>
        <w:t>absence d</w:t>
      </w:r>
      <w:r w:rsidR="00521757">
        <w:rPr>
          <w:lang w:val="fr-FR" w:eastAsia="fr-FR"/>
        </w:rPr>
        <w:t>’</w:t>
      </w:r>
      <w:r w:rsidRPr="003340F8">
        <w:rPr>
          <w:lang w:val="fr-FR" w:eastAsia="fr-FR"/>
        </w:rPr>
        <w:t>initiatives en la matière ne devrait pas ralentir l</w:t>
      </w:r>
      <w:r w:rsidR="00521757">
        <w:rPr>
          <w:lang w:val="fr-FR" w:eastAsia="fr-FR"/>
        </w:rPr>
        <w:t>’</w:t>
      </w:r>
      <w:r w:rsidRPr="003340F8">
        <w:rPr>
          <w:lang w:val="fr-FR" w:eastAsia="fr-FR"/>
        </w:rPr>
        <w:t>utilisation de nouvelles technologies. En ce qui concerne les rivières transfrontières et les voies navigables internationales, la concertation et l</w:t>
      </w:r>
      <w:r w:rsidR="00521757">
        <w:rPr>
          <w:lang w:val="fr-FR" w:eastAsia="fr-FR"/>
        </w:rPr>
        <w:t>’</w:t>
      </w:r>
      <w:r w:rsidRPr="003340F8">
        <w:rPr>
          <w:lang w:val="fr-FR" w:eastAsia="fr-FR"/>
        </w:rPr>
        <w:t>entente entre les pays est particulièrement importante. Les États membres ont en outre fait observer qu</w:t>
      </w:r>
      <w:r w:rsidR="00521757">
        <w:rPr>
          <w:lang w:val="fr-FR" w:eastAsia="fr-FR"/>
        </w:rPr>
        <w:t>’</w:t>
      </w:r>
      <w:r w:rsidRPr="003340F8">
        <w:rPr>
          <w:lang w:val="fr-FR" w:eastAsia="fr-FR"/>
        </w:rPr>
        <w:t>il faudrait accorder davantage d</w:t>
      </w:r>
      <w:r w:rsidR="00521757">
        <w:rPr>
          <w:lang w:val="fr-FR" w:eastAsia="fr-FR"/>
        </w:rPr>
        <w:t>’</w:t>
      </w:r>
      <w:r w:rsidRPr="003340F8">
        <w:rPr>
          <w:lang w:val="fr-FR" w:eastAsia="fr-FR"/>
        </w:rPr>
        <w:t>attention aux infrastructures côtières afin de justifier les investissements importants nécessaires à leur modernisation. Les différentes phases des travaux devaient être définies de façon équilibrée et dûment planifiées</w:t>
      </w:r>
      <w:r w:rsidR="00C77A3E">
        <w:rPr>
          <w:lang w:val="fr-FR" w:eastAsia="fr-FR"/>
        </w:rPr>
        <w:t>.</w:t>
      </w:r>
    </w:p>
    <w:p w:rsidR="008447DA" w:rsidRPr="003340F8" w:rsidRDefault="008447DA" w:rsidP="00870493">
      <w:pPr>
        <w:pStyle w:val="HChG"/>
        <w:rPr>
          <w:lang w:val="fr-FR" w:eastAsia="fr-FR"/>
        </w:rPr>
      </w:pPr>
      <w:bookmarkStart w:id="2" w:name="_GoBack"/>
      <w:bookmarkEnd w:id="2"/>
      <w:r>
        <w:rPr>
          <w:lang w:val="fr-FR" w:eastAsia="fr-FR"/>
        </w:rPr>
        <w:lastRenderedPageBreak/>
        <w:tab/>
      </w:r>
      <w:r w:rsidRPr="003340F8">
        <w:rPr>
          <w:lang w:val="fr-FR" w:eastAsia="fr-FR"/>
        </w:rPr>
        <w:t>III.</w:t>
      </w:r>
      <w:r w:rsidRPr="003340F8">
        <w:rPr>
          <w:lang w:val="fr-FR" w:eastAsia="fr-FR"/>
        </w:rPr>
        <w:tab/>
        <w:t>Travaux relatifs au cadre réglementaire</w:t>
      </w:r>
    </w:p>
    <w:p w:rsidR="008447DA" w:rsidRPr="003340F8" w:rsidRDefault="008447DA" w:rsidP="00870493">
      <w:pPr>
        <w:pStyle w:val="H1G"/>
        <w:rPr>
          <w:lang w:val="fr-FR" w:eastAsia="fr-FR"/>
        </w:rPr>
      </w:pPr>
      <w:r>
        <w:rPr>
          <w:lang w:val="fr-FR" w:eastAsia="fr-FR"/>
        </w:rPr>
        <w:tab/>
      </w:r>
      <w:r w:rsidRPr="003340F8">
        <w:rPr>
          <w:lang w:val="fr-FR" w:eastAsia="fr-FR"/>
        </w:rPr>
        <w:t>A.</w:t>
      </w:r>
      <w:r w:rsidRPr="003340F8">
        <w:rPr>
          <w:lang w:val="fr-FR" w:eastAsia="fr-FR"/>
        </w:rPr>
        <w:tab/>
        <w:t>Terminologie</w:t>
      </w:r>
    </w:p>
    <w:p w:rsidR="008447DA" w:rsidRPr="00870493" w:rsidRDefault="008447DA" w:rsidP="00870493">
      <w:pPr>
        <w:pStyle w:val="SingleTxtG"/>
        <w:rPr>
          <w:spacing w:val="-1"/>
          <w:lang w:val="fr-FR" w:eastAsia="fr-FR"/>
        </w:rPr>
      </w:pPr>
      <w:r w:rsidRPr="00870493">
        <w:rPr>
          <w:spacing w:val="-1"/>
          <w:lang w:val="fr-FR" w:eastAsia="fr-FR"/>
        </w:rPr>
        <w:t>7.</w:t>
      </w:r>
      <w:r w:rsidRPr="00870493">
        <w:rPr>
          <w:spacing w:val="-1"/>
          <w:lang w:val="fr-FR" w:eastAsia="fr-FR"/>
        </w:rPr>
        <w:tab/>
        <w:t>À sa cinquante-cinquième session, le SC.3/WP.3 avait approuvé les définitions des niveaux d</w:t>
      </w:r>
      <w:r w:rsidR="00521757" w:rsidRPr="00870493">
        <w:rPr>
          <w:spacing w:val="-1"/>
          <w:lang w:val="fr-FR" w:eastAsia="fr-FR"/>
        </w:rPr>
        <w:t>’</w:t>
      </w:r>
      <w:r w:rsidRPr="00870493">
        <w:rPr>
          <w:spacing w:val="-1"/>
          <w:lang w:val="fr-FR" w:eastAsia="fr-FR"/>
        </w:rPr>
        <w:t>automatisation en navigation intérieure établies par la CCNR en décembre 2018 (ECE/TRANS/2019/16). Le Groupe de travail a indiqué que les définitions de la Commission étaient plus abouties et plus complètes que la terminologie proposée par l</w:t>
      </w:r>
      <w:r w:rsidR="00521757" w:rsidRPr="00870493">
        <w:rPr>
          <w:spacing w:val="-1"/>
          <w:lang w:val="fr-FR" w:eastAsia="fr-FR"/>
        </w:rPr>
        <w:t>’</w:t>
      </w:r>
      <w:r w:rsidRPr="00870493">
        <w:rPr>
          <w:spacing w:val="-1"/>
          <w:lang w:val="fr-FR" w:eastAsia="fr-FR"/>
        </w:rPr>
        <w:t>OMI dans ce domaine, dans la mesure où elles englobaient tous les niveaux d</w:t>
      </w:r>
      <w:r w:rsidR="00521757" w:rsidRPr="00870493">
        <w:rPr>
          <w:spacing w:val="-1"/>
          <w:lang w:val="fr-FR" w:eastAsia="fr-FR"/>
        </w:rPr>
        <w:t>’</w:t>
      </w:r>
      <w:r w:rsidRPr="00870493">
        <w:rPr>
          <w:spacing w:val="-1"/>
          <w:lang w:val="fr-FR" w:eastAsia="fr-FR"/>
        </w:rPr>
        <w:t>automatisation.</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8.</w:t>
      </w:r>
      <w:r w:rsidRPr="003340F8">
        <w:rPr>
          <w:rFonts w:eastAsia="Times New Roman"/>
          <w:lang w:val="fr-FR" w:eastAsia="fr-FR"/>
        </w:rPr>
        <w:tab/>
        <w:t xml:space="preserve">À sa soixante-troisième session, le SC.3 a examiné les différentes définitions proposées par la Belgique dans le domaine de la navigation intelligente, à savoir </w:t>
      </w:r>
      <w:r w:rsidR="00973DEB">
        <w:rPr>
          <w:rFonts w:eastAsia="Times New Roman"/>
          <w:lang w:val="fr-FR" w:eastAsia="fr-FR"/>
        </w:rPr>
        <w:t>« </w:t>
      </w:r>
      <w:r w:rsidRPr="003340F8">
        <w:rPr>
          <w:rFonts w:eastAsia="Times New Roman"/>
          <w:lang w:val="fr-FR" w:eastAsia="fr-FR"/>
        </w:rPr>
        <w:t>Bateaux intelligents</w:t>
      </w:r>
      <w:r w:rsidR="00973DEB">
        <w:rPr>
          <w:rFonts w:eastAsia="Times New Roman"/>
          <w:lang w:val="fr-FR" w:eastAsia="fr-FR"/>
        </w:rPr>
        <w:t> »</w:t>
      </w:r>
      <w:r w:rsidRPr="003340F8">
        <w:rPr>
          <w:rFonts w:eastAsia="Times New Roman"/>
          <w:lang w:val="fr-FR" w:eastAsia="fr-FR"/>
        </w:rPr>
        <w:t xml:space="preserve">, </w:t>
      </w:r>
      <w:r w:rsidR="00973DEB">
        <w:rPr>
          <w:rFonts w:eastAsia="Times New Roman"/>
          <w:lang w:val="fr-FR" w:eastAsia="fr-FR"/>
        </w:rPr>
        <w:t>« </w:t>
      </w:r>
      <w:r w:rsidRPr="003340F8">
        <w:rPr>
          <w:rFonts w:eastAsia="Times New Roman"/>
          <w:lang w:val="fr-FR" w:eastAsia="fr-FR"/>
        </w:rPr>
        <w:t>Infrastructure intelligente</w:t>
      </w:r>
      <w:r w:rsidR="00973DEB">
        <w:rPr>
          <w:rFonts w:eastAsia="Times New Roman"/>
          <w:lang w:val="fr-FR" w:eastAsia="fr-FR"/>
        </w:rPr>
        <w:t> »</w:t>
      </w:r>
      <w:r w:rsidRPr="003340F8">
        <w:rPr>
          <w:rFonts w:eastAsia="Times New Roman"/>
          <w:lang w:val="fr-FR" w:eastAsia="fr-FR"/>
        </w:rPr>
        <w:t xml:space="preserve">, </w:t>
      </w:r>
      <w:r w:rsidR="00973DEB">
        <w:rPr>
          <w:rFonts w:eastAsia="Times New Roman"/>
          <w:lang w:val="fr-FR" w:eastAsia="fr-FR"/>
        </w:rPr>
        <w:t>« </w:t>
      </w:r>
      <w:r w:rsidRPr="003340F8">
        <w:rPr>
          <w:rFonts w:eastAsia="Times New Roman"/>
          <w:lang w:val="fr-FR" w:eastAsia="fr-FR"/>
        </w:rPr>
        <w:t>Moyens de communication intelligente</w:t>
      </w:r>
      <w:r w:rsidR="00973DEB">
        <w:rPr>
          <w:rFonts w:eastAsia="Times New Roman"/>
          <w:lang w:val="fr-FR" w:eastAsia="fr-FR"/>
        </w:rPr>
        <w:t> »</w:t>
      </w:r>
      <w:r w:rsidRPr="003340F8">
        <w:rPr>
          <w:rFonts w:eastAsia="Times New Roman"/>
          <w:lang w:val="fr-FR" w:eastAsia="fr-FR"/>
        </w:rPr>
        <w:t xml:space="preserve"> et </w:t>
      </w:r>
      <w:r w:rsidR="00973DEB">
        <w:rPr>
          <w:rFonts w:eastAsia="Times New Roman"/>
          <w:lang w:val="fr-FR" w:eastAsia="fr-FR"/>
        </w:rPr>
        <w:t>« </w:t>
      </w:r>
      <w:r w:rsidRPr="003340F8">
        <w:rPr>
          <w:rFonts w:eastAsia="Times New Roman"/>
          <w:lang w:val="fr-FR" w:eastAsia="fr-FR"/>
        </w:rPr>
        <w:t>Réglementation des dispositifs de navigation intelligente</w:t>
      </w:r>
      <w:r w:rsidR="00973DEB">
        <w:rPr>
          <w:rFonts w:eastAsia="Times New Roman"/>
          <w:lang w:val="fr-FR" w:eastAsia="fr-FR"/>
        </w:rPr>
        <w:t> »</w:t>
      </w:r>
      <w:r w:rsidRPr="003340F8">
        <w:rPr>
          <w:rFonts w:eastAsia="Times New Roman"/>
          <w:lang w:val="fr-FR" w:eastAsia="fr-FR"/>
        </w:rPr>
        <w:t xml:space="preserve"> (ECE/TRANS/SC.3/WP.3/</w:t>
      </w:r>
      <w:r w:rsidR="00973DEB">
        <w:rPr>
          <w:rFonts w:eastAsia="Times New Roman"/>
          <w:lang w:val="fr-FR" w:eastAsia="fr-FR"/>
        </w:rPr>
        <w:t xml:space="preserve"> </w:t>
      </w:r>
      <w:r w:rsidRPr="003340F8">
        <w:rPr>
          <w:rFonts w:eastAsia="Times New Roman"/>
          <w:lang w:val="fr-FR" w:eastAsia="fr-FR"/>
        </w:rPr>
        <w:t>2019/13). Les travaux relatifs aux définitions se poursuivront en 2020</w:t>
      </w:r>
      <w:r w:rsidR="00973DEB">
        <w:rPr>
          <w:rFonts w:eastAsia="Times New Roman"/>
          <w:lang w:val="fr-FR" w:eastAsia="fr-FR"/>
        </w:rPr>
        <w:t> </w:t>
      </w:r>
      <w:r w:rsidRPr="003340F8">
        <w:rPr>
          <w:rFonts w:eastAsia="Times New Roman"/>
          <w:lang w:val="fr-FR" w:eastAsia="fr-FR"/>
        </w:rPr>
        <w:t>; à cette fin, le SC.3 a demandé au secrétariat d</w:t>
      </w:r>
      <w:r w:rsidR="00521757">
        <w:rPr>
          <w:rFonts w:eastAsia="Times New Roman"/>
          <w:lang w:val="fr-FR" w:eastAsia="fr-FR"/>
        </w:rPr>
        <w:t>’</w:t>
      </w:r>
      <w:r w:rsidRPr="003340F8">
        <w:rPr>
          <w:rFonts w:eastAsia="Times New Roman"/>
          <w:lang w:val="fr-FR" w:eastAsia="fr-FR"/>
        </w:rPr>
        <w:t>établir un document présentant un aperçu des termes et des définitions actuel</w:t>
      </w:r>
      <w:r>
        <w:rPr>
          <w:rFonts w:eastAsia="Times New Roman"/>
          <w:lang w:val="fr-FR" w:eastAsia="fr-FR"/>
        </w:rPr>
        <w:t>lement utilisé</w:t>
      </w:r>
      <w:r w:rsidRPr="003340F8">
        <w:rPr>
          <w:rFonts w:eastAsia="Times New Roman"/>
          <w:lang w:val="fr-FR" w:eastAsia="fr-FR"/>
        </w:rPr>
        <w:t>s dans ce domaine.</w:t>
      </w:r>
    </w:p>
    <w:p w:rsidR="008447DA" w:rsidRPr="003340F8" w:rsidRDefault="008447DA" w:rsidP="008915E7">
      <w:pPr>
        <w:pStyle w:val="H1G"/>
        <w:rPr>
          <w:lang w:val="fr-FR" w:eastAsia="fr-FR"/>
        </w:rPr>
      </w:pPr>
      <w:r>
        <w:rPr>
          <w:lang w:val="fr-FR" w:eastAsia="fr-FR"/>
        </w:rPr>
        <w:tab/>
      </w:r>
      <w:r w:rsidRPr="003340F8">
        <w:rPr>
          <w:lang w:val="fr-FR" w:eastAsia="fr-FR"/>
        </w:rPr>
        <w:t>B.</w:t>
      </w:r>
      <w:r w:rsidRPr="003340F8">
        <w:rPr>
          <w:lang w:val="fr-FR" w:eastAsia="fr-FR"/>
        </w:rPr>
        <w:tab/>
        <w:t>Harmonisation du cadre juridique international et domaines d</w:t>
      </w:r>
      <w:r w:rsidR="00521757">
        <w:rPr>
          <w:lang w:val="fr-FR" w:eastAsia="fr-FR"/>
        </w:rPr>
        <w:t>’</w:t>
      </w:r>
      <w:r w:rsidRPr="003340F8">
        <w:rPr>
          <w:lang w:val="fr-FR" w:eastAsia="fr-FR"/>
        </w:rPr>
        <w:t>action communs en vue de favoriser l</w:t>
      </w:r>
      <w:r w:rsidR="00521757">
        <w:rPr>
          <w:lang w:val="fr-FR" w:eastAsia="fr-FR"/>
        </w:rPr>
        <w:t>’</w:t>
      </w:r>
      <w:r w:rsidRPr="003340F8">
        <w:rPr>
          <w:lang w:val="fr-FR" w:eastAsia="fr-FR"/>
        </w:rPr>
        <w:t>innovation</w:t>
      </w:r>
    </w:p>
    <w:p w:rsidR="008447DA" w:rsidRPr="003340F8" w:rsidRDefault="008447DA" w:rsidP="008915E7">
      <w:pPr>
        <w:pStyle w:val="SingleTxtG"/>
        <w:rPr>
          <w:lang w:val="fr-FR" w:eastAsia="fr-FR"/>
        </w:rPr>
      </w:pPr>
      <w:r w:rsidRPr="003340F8">
        <w:rPr>
          <w:lang w:val="fr-FR" w:eastAsia="fr-FR"/>
        </w:rPr>
        <w:t>9.</w:t>
      </w:r>
      <w:r w:rsidRPr="003340F8">
        <w:rPr>
          <w:lang w:val="fr-FR" w:eastAsia="fr-FR"/>
        </w:rPr>
        <w:tab/>
        <w:t>L</w:t>
      </w:r>
      <w:r w:rsidR="00521757">
        <w:rPr>
          <w:lang w:val="fr-FR" w:eastAsia="fr-FR"/>
        </w:rPr>
        <w:t>’</w:t>
      </w:r>
      <w:r w:rsidRPr="003340F8">
        <w:rPr>
          <w:lang w:val="fr-FR" w:eastAsia="fr-FR"/>
        </w:rPr>
        <w:t>actualisation des fondements juridiques est une condition préalable à l</w:t>
      </w:r>
      <w:r w:rsidR="00521757">
        <w:rPr>
          <w:lang w:val="fr-FR" w:eastAsia="fr-FR"/>
        </w:rPr>
        <w:t>’</w:t>
      </w:r>
      <w:r w:rsidRPr="003340F8">
        <w:rPr>
          <w:lang w:val="fr-FR" w:eastAsia="fr-FR"/>
        </w:rPr>
        <w:t>exploitation commerciale de bateaux intelligents sur les voies de navigation intérieure. C</w:t>
      </w:r>
      <w:r w:rsidR="00521757">
        <w:rPr>
          <w:lang w:val="fr-FR" w:eastAsia="fr-FR"/>
        </w:rPr>
        <w:t>’</w:t>
      </w:r>
      <w:r w:rsidRPr="003340F8">
        <w:rPr>
          <w:lang w:val="fr-FR" w:eastAsia="fr-FR"/>
        </w:rPr>
        <w:t>est pourquoi le SC.3 a entamé une discussion sur l</w:t>
      </w:r>
      <w:r w:rsidR="00521757">
        <w:rPr>
          <w:lang w:val="fr-FR" w:eastAsia="fr-FR"/>
        </w:rPr>
        <w:t>’</w:t>
      </w:r>
      <w:r w:rsidRPr="003340F8">
        <w:rPr>
          <w:lang w:val="fr-FR" w:eastAsia="fr-FR"/>
        </w:rPr>
        <w:t>harmonisation du cadre juridique international et des politiques d</w:t>
      </w:r>
      <w:r w:rsidR="00521757">
        <w:rPr>
          <w:lang w:val="fr-FR" w:eastAsia="fr-FR"/>
        </w:rPr>
        <w:t>’</w:t>
      </w:r>
      <w:r w:rsidRPr="003340F8">
        <w:rPr>
          <w:lang w:val="fr-FR" w:eastAsia="fr-FR"/>
        </w:rPr>
        <w:t>harmonisation des mesures visant à encourager l</w:t>
      </w:r>
      <w:r w:rsidR="00521757">
        <w:rPr>
          <w:lang w:val="fr-FR" w:eastAsia="fr-FR"/>
        </w:rPr>
        <w:t>’</w:t>
      </w:r>
      <w:r w:rsidRPr="003340F8">
        <w:rPr>
          <w:lang w:val="fr-FR" w:eastAsia="fr-FR"/>
        </w:rPr>
        <w:t>innovation dans la navigation intérieure. L</w:t>
      </w:r>
      <w:r w:rsidR="00521757">
        <w:rPr>
          <w:lang w:val="fr-FR" w:eastAsia="fr-FR"/>
        </w:rPr>
        <w:t>’</w:t>
      </w:r>
      <w:r w:rsidRPr="003340F8">
        <w:rPr>
          <w:lang w:val="fr-FR" w:eastAsia="fr-FR"/>
        </w:rPr>
        <w:t xml:space="preserve">organisme De </w:t>
      </w:r>
      <w:proofErr w:type="spellStart"/>
      <w:r w:rsidRPr="003340F8">
        <w:rPr>
          <w:lang w:val="fr-FR" w:eastAsia="fr-FR"/>
        </w:rPr>
        <w:t>Vlaamse</w:t>
      </w:r>
      <w:proofErr w:type="spellEnd"/>
      <w:r w:rsidRPr="003340F8">
        <w:rPr>
          <w:lang w:val="fr-FR" w:eastAsia="fr-FR"/>
        </w:rPr>
        <w:t xml:space="preserve"> </w:t>
      </w:r>
      <w:proofErr w:type="spellStart"/>
      <w:r w:rsidRPr="003340F8">
        <w:rPr>
          <w:lang w:val="fr-FR" w:eastAsia="fr-FR"/>
        </w:rPr>
        <w:t>Waterweg</w:t>
      </w:r>
      <w:proofErr w:type="spellEnd"/>
      <w:r w:rsidRPr="003340F8">
        <w:rPr>
          <w:lang w:val="fr-FR" w:eastAsia="fr-FR"/>
        </w:rPr>
        <w:t xml:space="preserve"> nv (Belgique) a lancé le débat et rédigé un aperçu des domaines d</w:t>
      </w:r>
      <w:r w:rsidR="00521757">
        <w:rPr>
          <w:lang w:val="fr-FR" w:eastAsia="fr-FR"/>
        </w:rPr>
        <w:t>’</w:t>
      </w:r>
      <w:r w:rsidRPr="003340F8">
        <w:rPr>
          <w:lang w:val="fr-FR" w:eastAsia="fr-FR"/>
        </w:rPr>
        <w:t>action intéressant le cadre juridique de la Commission économique pour l</w:t>
      </w:r>
      <w:r w:rsidR="00521757">
        <w:rPr>
          <w:lang w:val="fr-FR" w:eastAsia="fr-FR"/>
        </w:rPr>
        <w:t>’</w:t>
      </w:r>
      <w:r w:rsidRPr="003340F8">
        <w:rPr>
          <w:lang w:val="fr-FR" w:eastAsia="fr-FR"/>
        </w:rPr>
        <w:t xml:space="preserve">Europe (CEE) </w:t>
      </w:r>
      <w:r>
        <w:rPr>
          <w:lang w:val="fr-FR" w:eastAsia="fr-FR"/>
        </w:rPr>
        <w:t>dans</w:t>
      </w:r>
      <w:r w:rsidRPr="003340F8">
        <w:rPr>
          <w:lang w:val="fr-FR" w:eastAsia="fr-FR"/>
        </w:rPr>
        <w:t xml:space="preserve"> lesquels une adaptation était nécessaire (ECE/TRANS/SC.3/WP.3/2019/13).</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10.</w:t>
      </w:r>
      <w:r w:rsidRPr="003340F8">
        <w:rPr>
          <w:rFonts w:eastAsia="Times New Roman"/>
          <w:lang w:val="fr-FR" w:eastAsia="fr-FR"/>
        </w:rPr>
        <w:tab/>
        <w:t xml:space="preserve">Il a été établi que les instruments juridiques et les résolutions de la CEE concernant la navigation intérieure présentaient des lacunes, et que notamment plusieurs dispositions techniques faisaient défaut. Cette question devrait être résolue préalablement à </w:t>
      </w:r>
      <w:r w:rsidRPr="003F748C">
        <w:rPr>
          <w:rFonts w:eastAsia="Times New Roman"/>
          <w:lang w:val="fr-FR" w:eastAsia="fr-FR"/>
        </w:rPr>
        <w:t>l</w:t>
      </w:r>
      <w:r w:rsidR="00521757">
        <w:rPr>
          <w:rFonts w:eastAsia="Times New Roman"/>
          <w:lang w:val="fr-FR" w:eastAsia="fr-FR"/>
        </w:rPr>
        <w:t>’</w:t>
      </w:r>
      <w:r w:rsidRPr="003F748C">
        <w:rPr>
          <w:rFonts w:eastAsia="Times New Roman"/>
          <w:lang w:val="fr-FR" w:eastAsia="fr-FR"/>
        </w:rPr>
        <w:t xml:space="preserve">affinement </w:t>
      </w:r>
      <w:r w:rsidRPr="003340F8">
        <w:rPr>
          <w:rFonts w:eastAsia="Times New Roman"/>
          <w:lang w:val="fr-FR" w:eastAsia="fr-FR"/>
        </w:rPr>
        <w:t xml:space="preserve">du cadre réglementaire. Quelques postulats de départ ont été </w:t>
      </w:r>
      <w:r>
        <w:rPr>
          <w:rFonts w:eastAsia="Times New Roman"/>
          <w:lang w:val="fr-FR" w:eastAsia="fr-FR"/>
        </w:rPr>
        <w:t>posé</w:t>
      </w:r>
      <w:r w:rsidRPr="003340F8">
        <w:rPr>
          <w:rFonts w:eastAsia="Times New Roman"/>
          <w:lang w:val="fr-FR" w:eastAsia="fr-FR"/>
        </w:rPr>
        <w:t>s</w:t>
      </w:r>
      <w:r>
        <w:rPr>
          <w:rFonts w:eastAsia="Times New Roman"/>
          <w:lang w:val="fr-FR" w:eastAsia="fr-FR"/>
        </w:rPr>
        <w:t> </w:t>
      </w:r>
      <w:r w:rsidRPr="003340F8">
        <w:rPr>
          <w:rFonts w:eastAsia="Times New Roman"/>
          <w:lang w:val="fr-FR" w:eastAsia="fr-FR"/>
        </w:rPr>
        <w:t>: les bateaux automatisés devraient</w:t>
      </w:r>
      <w:r w:rsidR="008915E7">
        <w:rPr>
          <w:rFonts w:eastAsia="Times New Roman"/>
          <w:lang w:val="fr-FR" w:eastAsia="fr-FR"/>
        </w:rPr>
        <w:t> :</w:t>
      </w:r>
      <w:r w:rsidRPr="003340F8">
        <w:rPr>
          <w:rFonts w:eastAsia="Times New Roman"/>
          <w:lang w:val="fr-FR" w:eastAsia="fr-FR"/>
        </w:rPr>
        <w:t xml:space="preserve"> a)</w:t>
      </w:r>
      <w:r w:rsidR="008915E7">
        <w:rPr>
          <w:rFonts w:eastAsia="Times New Roman"/>
          <w:lang w:val="fr-FR" w:eastAsia="fr-FR"/>
        </w:rPr>
        <w:t> </w:t>
      </w:r>
      <w:r w:rsidRPr="003340F8">
        <w:rPr>
          <w:rFonts w:eastAsia="Times New Roman"/>
          <w:lang w:val="fr-FR" w:eastAsia="fr-FR"/>
        </w:rPr>
        <w:t>permettre d</w:t>
      </w:r>
      <w:r w:rsidR="00521757">
        <w:rPr>
          <w:rFonts w:eastAsia="Times New Roman"/>
          <w:lang w:val="fr-FR" w:eastAsia="fr-FR"/>
        </w:rPr>
        <w:t>’</w:t>
      </w:r>
      <w:r w:rsidRPr="003340F8">
        <w:rPr>
          <w:rFonts w:eastAsia="Times New Roman"/>
          <w:lang w:val="fr-FR" w:eastAsia="fr-FR"/>
        </w:rPr>
        <w:t>obtenir une sécurité maxim</w:t>
      </w:r>
      <w:r>
        <w:rPr>
          <w:rFonts w:eastAsia="Times New Roman"/>
          <w:lang w:val="fr-FR" w:eastAsia="fr-FR"/>
        </w:rPr>
        <w:t>ale</w:t>
      </w:r>
      <w:r w:rsidRPr="003340F8">
        <w:rPr>
          <w:rFonts w:eastAsia="Times New Roman"/>
          <w:lang w:val="fr-FR" w:eastAsia="fr-FR"/>
        </w:rPr>
        <w:t xml:space="preserve"> sur le réseau des voies navigables, b)</w:t>
      </w:r>
      <w:r w:rsidR="008915E7">
        <w:rPr>
          <w:rFonts w:eastAsia="Times New Roman"/>
          <w:lang w:val="fr-FR" w:eastAsia="fr-FR"/>
        </w:rPr>
        <w:t> </w:t>
      </w:r>
      <w:r w:rsidRPr="003340F8">
        <w:rPr>
          <w:rFonts w:eastAsia="Times New Roman"/>
          <w:lang w:val="fr-FR" w:eastAsia="fr-FR"/>
        </w:rPr>
        <w:t>soutenir le marché en attirant de nouveaux flux de marchandises vers la navigation intérieure</w:t>
      </w:r>
      <w:r>
        <w:rPr>
          <w:rFonts w:eastAsia="Times New Roman"/>
          <w:lang w:val="fr-FR" w:eastAsia="fr-FR"/>
        </w:rPr>
        <w:t> ;</w:t>
      </w:r>
      <w:r w:rsidRPr="003340F8">
        <w:rPr>
          <w:rFonts w:eastAsia="Times New Roman"/>
          <w:lang w:val="fr-FR" w:eastAsia="fr-FR"/>
        </w:rPr>
        <w:t xml:space="preserve"> c)</w:t>
      </w:r>
      <w:r w:rsidR="008915E7">
        <w:rPr>
          <w:rFonts w:eastAsia="Times New Roman"/>
          <w:lang w:val="fr-FR" w:eastAsia="fr-FR"/>
        </w:rPr>
        <w:t> </w:t>
      </w:r>
      <w:r w:rsidRPr="003340F8">
        <w:rPr>
          <w:rFonts w:eastAsia="Times New Roman"/>
          <w:lang w:val="fr-FR" w:eastAsia="fr-FR"/>
        </w:rPr>
        <w:t>contribuer à accroître la part du transport par voie navigable dans le transport en général.</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11.</w:t>
      </w:r>
      <w:r w:rsidRPr="003340F8">
        <w:rPr>
          <w:rFonts w:eastAsia="Times New Roman"/>
          <w:lang w:val="fr-FR" w:eastAsia="fr-FR"/>
        </w:rPr>
        <w:tab/>
        <w:t>L</w:t>
      </w:r>
      <w:r w:rsidR="00521757">
        <w:rPr>
          <w:rFonts w:eastAsia="Times New Roman"/>
          <w:lang w:val="fr-FR" w:eastAsia="fr-FR"/>
        </w:rPr>
        <w:t>’</w:t>
      </w:r>
      <w:r w:rsidRPr="003340F8">
        <w:rPr>
          <w:rFonts w:eastAsia="Times New Roman"/>
          <w:lang w:val="fr-FR" w:eastAsia="fr-FR"/>
        </w:rPr>
        <w:t xml:space="preserve">analyse effectuée a permis de définir </w:t>
      </w:r>
      <w:r w:rsidR="006D2EB1">
        <w:rPr>
          <w:rFonts w:eastAsia="Times New Roman"/>
          <w:lang w:val="fr-FR" w:eastAsia="fr-FR"/>
        </w:rPr>
        <w:t>13</w:t>
      </w:r>
      <w:r w:rsidRPr="003340F8">
        <w:rPr>
          <w:rFonts w:eastAsia="Times New Roman"/>
          <w:lang w:val="fr-FR" w:eastAsia="fr-FR"/>
        </w:rPr>
        <w:t xml:space="preserve"> domaines d</w:t>
      </w:r>
      <w:r w:rsidR="00521757">
        <w:rPr>
          <w:rFonts w:eastAsia="Times New Roman"/>
          <w:lang w:val="fr-FR" w:eastAsia="fr-FR"/>
        </w:rPr>
        <w:t>’</w:t>
      </w:r>
      <w:r w:rsidRPr="003340F8">
        <w:rPr>
          <w:rFonts w:eastAsia="Times New Roman"/>
          <w:lang w:val="fr-FR" w:eastAsia="fr-FR"/>
        </w:rPr>
        <w:t>action dans lesquels une harmonisation était nécessaire</w:t>
      </w:r>
      <w:r w:rsidR="006D2EB1">
        <w:rPr>
          <w:rFonts w:eastAsia="Times New Roman"/>
          <w:lang w:val="fr-FR" w:eastAsia="fr-FR"/>
        </w:rPr>
        <w:t> </w:t>
      </w:r>
      <w:r w:rsidRPr="003340F8">
        <w:rPr>
          <w:rFonts w:eastAsia="Times New Roman"/>
          <w:lang w:val="fr-FR" w:eastAsia="fr-FR"/>
        </w:rPr>
        <w:t>:</w:t>
      </w:r>
    </w:p>
    <w:p w:rsidR="008447DA" w:rsidRPr="003340F8" w:rsidRDefault="008447DA" w:rsidP="000A6649">
      <w:pPr>
        <w:pStyle w:val="Bullet1G"/>
        <w:rPr>
          <w:lang w:val="fr-FR" w:eastAsia="fr-FR"/>
        </w:rPr>
      </w:pPr>
      <w:r w:rsidRPr="003340F8">
        <w:rPr>
          <w:lang w:val="fr-FR" w:eastAsia="fr-FR"/>
        </w:rPr>
        <w:t>Les définitions</w:t>
      </w:r>
      <w:r w:rsidR="009F203C">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compétences et les qualifications des équipages</w:t>
      </w:r>
      <w:r w:rsidR="009F203C">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prescriptions techniques applicables aux bateaux de navigation intérieure</w:t>
      </w:r>
      <w:r>
        <w:rPr>
          <w:lang w:val="fr-FR" w:eastAsia="fr-FR"/>
        </w:rPr>
        <w:t> ;</w:t>
      </w:r>
    </w:p>
    <w:p w:rsidR="008447DA" w:rsidRPr="003340F8" w:rsidRDefault="008447DA" w:rsidP="000A6649">
      <w:pPr>
        <w:pStyle w:val="Bullet1G"/>
        <w:rPr>
          <w:lang w:val="fr-FR" w:eastAsia="fr-FR"/>
        </w:rPr>
      </w:pPr>
      <w:r w:rsidRPr="003340F8">
        <w:rPr>
          <w:lang w:val="fr-FR" w:eastAsia="fr-FR"/>
        </w:rPr>
        <w:t>La présence du conducteur et des membres d</w:t>
      </w:r>
      <w:r w:rsidR="00521757">
        <w:rPr>
          <w:lang w:val="fr-FR" w:eastAsia="fr-FR"/>
        </w:rPr>
        <w:t>’</w:t>
      </w:r>
      <w:r w:rsidRPr="003340F8">
        <w:rPr>
          <w:lang w:val="fr-FR" w:eastAsia="fr-FR"/>
        </w:rPr>
        <w:t>équipage à bord</w:t>
      </w:r>
      <w:r w:rsidR="009F203C">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La responsabilité et ses limites</w:t>
      </w:r>
      <w:r w:rsidR="009F203C">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solutions techniques</w:t>
      </w:r>
      <w:r w:rsidR="009F203C">
        <w:rPr>
          <w:lang w:val="fr-FR" w:eastAsia="fr-FR"/>
        </w:rPr>
        <w:t> </w:t>
      </w:r>
      <w:r w:rsidRPr="003340F8">
        <w:rPr>
          <w:lang w:val="fr-FR" w:eastAsia="fr-FR"/>
        </w:rPr>
        <w:t>;</w:t>
      </w:r>
    </w:p>
    <w:p w:rsidR="008447DA" w:rsidRPr="003340F8" w:rsidRDefault="008447DA" w:rsidP="000A6649">
      <w:pPr>
        <w:pStyle w:val="Bullet1G"/>
        <w:rPr>
          <w:bCs/>
          <w:lang w:val="fr-FR" w:eastAsia="fr-FR"/>
        </w:rPr>
      </w:pPr>
      <w:r w:rsidRPr="003340F8">
        <w:rPr>
          <w:lang w:val="fr-FR" w:eastAsia="fr-FR"/>
        </w:rPr>
        <w:t>La communication entre le bateau et l</w:t>
      </w:r>
      <w:r w:rsidR="00521757">
        <w:rPr>
          <w:lang w:val="fr-FR" w:eastAsia="fr-FR"/>
        </w:rPr>
        <w:t>’</w:t>
      </w:r>
      <w:r w:rsidRPr="003340F8">
        <w:rPr>
          <w:lang w:val="fr-FR" w:eastAsia="fr-FR"/>
        </w:rPr>
        <w:t>autorité compétente</w:t>
      </w:r>
      <w:r w:rsidR="00D174DB">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La communication entre bateaux</w:t>
      </w:r>
      <w:r w:rsidR="00D174DB">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documents numériques ou les documents exigés à bord</w:t>
      </w:r>
      <w:r w:rsidR="00D174DB">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La navigation de plaisance</w:t>
      </w:r>
      <w:r w:rsidR="00D174DB">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situations d</w:t>
      </w:r>
      <w:r w:rsidR="00521757">
        <w:rPr>
          <w:lang w:val="fr-FR" w:eastAsia="fr-FR"/>
        </w:rPr>
        <w:t>’</w:t>
      </w:r>
      <w:r w:rsidRPr="003340F8">
        <w:rPr>
          <w:lang w:val="fr-FR" w:eastAsia="fr-FR"/>
        </w:rPr>
        <w:t>urgence</w:t>
      </w:r>
      <w:r w:rsidR="00D174DB">
        <w:rPr>
          <w:lang w:val="fr-FR" w:eastAsia="fr-FR"/>
        </w:rPr>
        <w:t> </w:t>
      </w:r>
      <w:r w:rsidRPr="003340F8">
        <w:rPr>
          <w:lang w:val="fr-FR" w:eastAsia="fr-FR"/>
        </w:rPr>
        <w:t>;</w:t>
      </w:r>
    </w:p>
    <w:p w:rsidR="008447DA" w:rsidRPr="003340F8" w:rsidRDefault="008447DA" w:rsidP="000A6649">
      <w:pPr>
        <w:pStyle w:val="Bullet1G"/>
        <w:keepNext/>
        <w:rPr>
          <w:lang w:val="fr-FR" w:eastAsia="fr-FR"/>
        </w:rPr>
      </w:pPr>
      <w:r w:rsidRPr="003340F8">
        <w:rPr>
          <w:lang w:val="fr-FR" w:eastAsia="fr-FR"/>
        </w:rPr>
        <w:lastRenderedPageBreak/>
        <w:t>La cybersécurité</w:t>
      </w:r>
      <w:r w:rsidR="00D174DB">
        <w:rPr>
          <w:lang w:val="fr-FR" w:eastAsia="fr-FR"/>
        </w:rPr>
        <w:t> </w:t>
      </w:r>
      <w:r w:rsidRPr="003340F8">
        <w:rPr>
          <w:lang w:val="fr-FR" w:eastAsia="fr-FR"/>
        </w:rPr>
        <w:t>;</w:t>
      </w:r>
    </w:p>
    <w:p w:rsidR="008447DA" w:rsidRPr="003340F8" w:rsidRDefault="008447DA" w:rsidP="000A6649">
      <w:pPr>
        <w:pStyle w:val="Bullet1G"/>
        <w:rPr>
          <w:lang w:val="fr-FR" w:eastAsia="fr-FR"/>
        </w:rPr>
      </w:pPr>
      <w:r w:rsidRPr="003340F8">
        <w:rPr>
          <w:lang w:val="fr-FR" w:eastAsia="fr-FR"/>
        </w:rPr>
        <w:t>Les infrastructures des voies navigables.</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12.</w:t>
      </w:r>
      <w:r w:rsidRPr="003340F8">
        <w:rPr>
          <w:rFonts w:eastAsia="Times New Roman"/>
          <w:lang w:val="fr-FR" w:eastAsia="fr-FR"/>
        </w:rPr>
        <w:tab/>
        <w:t>Le SC.3 a soutenu cette proposition et encouragé les États membres, les organisations internationales et les autres parties prenantes à soutenir et à poursuivre ce travail ainsi qu</w:t>
      </w:r>
      <w:r w:rsidR="00521757">
        <w:rPr>
          <w:rFonts w:eastAsia="Times New Roman"/>
          <w:lang w:val="fr-FR" w:eastAsia="fr-FR"/>
        </w:rPr>
        <w:t>’</w:t>
      </w:r>
      <w:r w:rsidRPr="003340F8">
        <w:rPr>
          <w:rFonts w:eastAsia="Times New Roman"/>
          <w:lang w:val="fr-FR" w:eastAsia="fr-FR"/>
        </w:rPr>
        <w:t xml:space="preserve">à soumettre leurs propositions pour compléter le document. Pour les prochaines étapes, il sera nécessaire que les experts des questions techniques et des questions réglementaires interagissent </w:t>
      </w:r>
      <w:r>
        <w:rPr>
          <w:rFonts w:eastAsia="Times New Roman"/>
          <w:lang w:val="fr-FR" w:eastAsia="fr-FR"/>
        </w:rPr>
        <w:t xml:space="preserve">en </w:t>
      </w:r>
      <w:r w:rsidRPr="003340F8">
        <w:rPr>
          <w:rFonts w:eastAsia="Times New Roman"/>
          <w:lang w:val="fr-FR" w:eastAsia="fr-FR"/>
        </w:rPr>
        <w:t>parallèle, en fonction des innovations techniques et des possibilités de développement du cadre réglementaire existant, en gardant à l</w:t>
      </w:r>
      <w:r w:rsidR="00521757">
        <w:rPr>
          <w:rFonts w:eastAsia="Times New Roman"/>
          <w:lang w:val="fr-FR" w:eastAsia="fr-FR"/>
        </w:rPr>
        <w:t>’</w:t>
      </w:r>
      <w:r w:rsidRPr="003340F8">
        <w:rPr>
          <w:rFonts w:eastAsia="Times New Roman"/>
          <w:lang w:val="fr-FR" w:eastAsia="fr-FR"/>
        </w:rPr>
        <w:t>esprit le maintien d</w:t>
      </w:r>
      <w:r w:rsidR="00521757">
        <w:rPr>
          <w:rFonts w:eastAsia="Times New Roman"/>
          <w:lang w:val="fr-FR" w:eastAsia="fr-FR"/>
        </w:rPr>
        <w:t>’</w:t>
      </w:r>
      <w:r w:rsidRPr="003340F8">
        <w:rPr>
          <w:rFonts w:eastAsia="Times New Roman"/>
          <w:lang w:val="fr-FR" w:eastAsia="fr-FR"/>
        </w:rPr>
        <w:t xml:space="preserve">un niveau élevé </w:t>
      </w:r>
      <w:r>
        <w:rPr>
          <w:rFonts w:eastAsia="Times New Roman"/>
          <w:lang w:val="fr-FR" w:eastAsia="fr-FR"/>
        </w:rPr>
        <w:t>en ce qui concerne la</w:t>
      </w:r>
      <w:r w:rsidRPr="003340F8">
        <w:rPr>
          <w:rFonts w:eastAsia="Times New Roman"/>
          <w:lang w:val="fr-FR" w:eastAsia="fr-FR"/>
        </w:rPr>
        <w:t xml:space="preserve"> sécurité dans la navigation et </w:t>
      </w:r>
      <w:r>
        <w:rPr>
          <w:rFonts w:eastAsia="Times New Roman"/>
          <w:lang w:val="fr-FR" w:eastAsia="fr-FR"/>
        </w:rPr>
        <w:t>l</w:t>
      </w:r>
      <w:r w:rsidR="00521757">
        <w:rPr>
          <w:rFonts w:eastAsia="Times New Roman"/>
          <w:lang w:val="fr-FR" w:eastAsia="fr-FR"/>
        </w:rPr>
        <w:t>’</w:t>
      </w:r>
      <w:r w:rsidRPr="003340F8">
        <w:rPr>
          <w:rFonts w:eastAsia="Times New Roman"/>
          <w:lang w:val="fr-FR" w:eastAsia="fr-FR"/>
        </w:rPr>
        <w:t>efficacité du transport de marchandises.</w:t>
      </w:r>
    </w:p>
    <w:p w:rsidR="008447DA" w:rsidRPr="003340F8" w:rsidRDefault="008447DA" w:rsidP="000A6649">
      <w:pPr>
        <w:pStyle w:val="HChG"/>
        <w:rPr>
          <w:lang w:val="fr-FR" w:eastAsia="fr-FR"/>
        </w:rPr>
      </w:pPr>
      <w:r>
        <w:rPr>
          <w:lang w:val="fr-FR" w:eastAsia="fr-FR"/>
        </w:rPr>
        <w:tab/>
      </w:r>
      <w:r w:rsidRPr="003340F8">
        <w:rPr>
          <w:lang w:val="fr-FR" w:eastAsia="fr-FR"/>
        </w:rPr>
        <w:t>III.</w:t>
      </w:r>
      <w:r w:rsidRPr="003340F8">
        <w:rPr>
          <w:lang w:val="fr-FR" w:eastAsia="fr-FR"/>
        </w:rPr>
        <w:tab/>
        <w:t>Tâches et étapes suivantes</w:t>
      </w:r>
    </w:p>
    <w:p w:rsidR="008447DA" w:rsidRPr="003340F8" w:rsidRDefault="008447DA" w:rsidP="000A6649">
      <w:pPr>
        <w:pStyle w:val="H1G"/>
        <w:rPr>
          <w:lang w:val="fr-FR" w:eastAsia="fr-FR"/>
        </w:rPr>
      </w:pPr>
      <w:r>
        <w:rPr>
          <w:lang w:val="fr-FR" w:eastAsia="fr-FR"/>
        </w:rPr>
        <w:tab/>
      </w:r>
      <w:r w:rsidRPr="003340F8">
        <w:rPr>
          <w:lang w:val="fr-FR" w:eastAsia="fr-FR"/>
        </w:rPr>
        <w:t>A.</w:t>
      </w:r>
      <w:r w:rsidRPr="003340F8">
        <w:rPr>
          <w:lang w:val="fr-FR" w:eastAsia="fr-FR"/>
        </w:rPr>
        <w:tab/>
      </w:r>
      <w:r w:rsidRPr="000A6649">
        <w:rPr>
          <w:spacing w:val="-2"/>
          <w:lang w:val="fr-FR" w:eastAsia="fr-FR"/>
        </w:rPr>
        <w:t>Résolution sur le renforcement de la coopération internationale en faveur</w:t>
      </w:r>
      <w:r w:rsidRPr="003340F8">
        <w:rPr>
          <w:lang w:val="fr-FR" w:eastAsia="fr-FR"/>
        </w:rPr>
        <w:t xml:space="preserve"> du développement de la navigation intelligente sur les voies navigables intérieures et plan d</w:t>
      </w:r>
      <w:r w:rsidR="00521757">
        <w:rPr>
          <w:lang w:val="fr-FR" w:eastAsia="fr-FR"/>
        </w:rPr>
        <w:t>’</w:t>
      </w:r>
      <w:r w:rsidRPr="003340F8">
        <w:rPr>
          <w:lang w:val="fr-FR" w:eastAsia="fr-FR"/>
        </w:rPr>
        <w:t>action en vue de l</w:t>
      </w:r>
      <w:r w:rsidR="00521757">
        <w:rPr>
          <w:lang w:val="fr-FR" w:eastAsia="fr-FR"/>
        </w:rPr>
        <w:t>’</w:t>
      </w:r>
      <w:r w:rsidRPr="003340F8">
        <w:rPr>
          <w:lang w:val="fr-FR" w:eastAsia="fr-FR"/>
        </w:rPr>
        <w:t>instauration d</w:t>
      </w:r>
      <w:r w:rsidR="00521757">
        <w:rPr>
          <w:lang w:val="fr-FR" w:eastAsia="fr-FR"/>
        </w:rPr>
        <w:t>’</w:t>
      </w:r>
      <w:r w:rsidRPr="003340F8">
        <w:rPr>
          <w:lang w:val="fr-FR" w:eastAsia="fr-FR"/>
        </w:rPr>
        <w:t>une coopération internationale en faveur de l</w:t>
      </w:r>
      <w:r w:rsidR="00521757">
        <w:rPr>
          <w:lang w:val="fr-FR" w:eastAsia="fr-FR"/>
        </w:rPr>
        <w:t>’</w:t>
      </w:r>
      <w:r w:rsidRPr="003340F8">
        <w:rPr>
          <w:lang w:val="fr-FR" w:eastAsia="fr-FR"/>
        </w:rPr>
        <w:t>élaboration d</w:t>
      </w:r>
      <w:r w:rsidR="00521757">
        <w:rPr>
          <w:lang w:val="fr-FR" w:eastAsia="fr-FR"/>
        </w:rPr>
        <w:t>’</w:t>
      </w:r>
      <w:r w:rsidRPr="003340F8">
        <w:rPr>
          <w:lang w:val="fr-FR" w:eastAsia="fr-FR"/>
        </w:rPr>
        <w:t>un cadre juridique international pour la navigation intelligente</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bookmarkStart w:id="3" w:name="_Hlk21360033"/>
      <w:r w:rsidRPr="003340F8">
        <w:rPr>
          <w:rFonts w:eastAsia="Times New Roman"/>
          <w:lang w:val="fr-FR" w:eastAsia="fr-FR"/>
        </w:rPr>
        <w:t>13.</w:t>
      </w:r>
      <w:r w:rsidRPr="003340F8">
        <w:rPr>
          <w:rFonts w:eastAsia="Times New Roman"/>
          <w:lang w:val="fr-FR" w:eastAsia="fr-FR"/>
        </w:rPr>
        <w:tab/>
        <w:t>Reconnaissant le rôle essentiel de la coopération internationale dans ce domaine, le</w:t>
      </w:r>
      <w:r w:rsidR="000A6649">
        <w:rPr>
          <w:rFonts w:eastAsia="Times New Roman"/>
          <w:lang w:val="fr-FR" w:eastAsia="fr-FR"/>
        </w:rPr>
        <w:t> </w:t>
      </w:r>
      <w:r w:rsidRPr="003340F8">
        <w:rPr>
          <w:rFonts w:eastAsia="Times New Roman"/>
          <w:lang w:val="fr-FR" w:eastAsia="fr-FR"/>
        </w:rPr>
        <w:t>SC.3 a adopté la résolution n</w:t>
      </w:r>
      <w:r w:rsidRPr="0055564D">
        <w:rPr>
          <w:rFonts w:eastAsia="Times New Roman"/>
          <w:vertAlign w:val="superscript"/>
          <w:lang w:val="fr-FR" w:eastAsia="fr-FR"/>
        </w:rPr>
        <w:t>o</w:t>
      </w:r>
      <w:r w:rsidRPr="000A6649">
        <w:rPr>
          <w:rFonts w:eastAsia="Times New Roman"/>
          <w:lang w:val="fr-FR" w:eastAsia="fr-FR"/>
        </w:rPr>
        <w:t> </w:t>
      </w:r>
      <w:r w:rsidRPr="003340F8">
        <w:rPr>
          <w:rFonts w:eastAsia="Times New Roman"/>
          <w:lang w:val="fr-FR" w:eastAsia="fr-FR"/>
        </w:rPr>
        <w:t>95 intitulé</w:t>
      </w:r>
      <w:r>
        <w:rPr>
          <w:rFonts w:eastAsia="Times New Roman"/>
          <w:lang w:val="fr-FR" w:eastAsia="fr-FR"/>
        </w:rPr>
        <w:t>e</w:t>
      </w:r>
      <w:r w:rsidRPr="003340F8">
        <w:rPr>
          <w:rFonts w:eastAsia="Times New Roman"/>
          <w:lang w:val="fr-FR" w:eastAsia="fr-FR"/>
        </w:rPr>
        <w:t xml:space="preserve"> </w:t>
      </w:r>
      <w:r w:rsidR="000A6649">
        <w:rPr>
          <w:rFonts w:eastAsia="Times New Roman"/>
          <w:lang w:val="fr-FR" w:eastAsia="fr-FR"/>
        </w:rPr>
        <w:t>« </w:t>
      </w:r>
      <w:r w:rsidRPr="003340F8">
        <w:rPr>
          <w:rFonts w:eastAsia="Times New Roman"/>
          <w:lang w:val="fr-FR" w:eastAsia="fr-FR"/>
        </w:rPr>
        <w:t>Renforcement de la coopération internationale en faveur du développement de la navigation intelligente sur les voies navigables intérieures</w:t>
      </w:r>
      <w:r w:rsidR="000A6649">
        <w:rPr>
          <w:rFonts w:eastAsia="Times New Roman"/>
          <w:lang w:val="fr-FR" w:eastAsia="fr-FR"/>
        </w:rPr>
        <w:t> »</w:t>
      </w:r>
      <w:r w:rsidRPr="003340F8">
        <w:rPr>
          <w:rFonts w:eastAsia="Times New Roman"/>
          <w:lang w:val="fr-FR" w:eastAsia="fr-FR"/>
        </w:rPr>
        <w:t xml:space="preserve"> à sa soixante-troisième session, le 8</w:t>
      </w:r>
      <w:r w:rsidR="000A6649">
        <w:rPr>
          <w:rFonts w:eastAsia="Times New Roman"/>
          <w:lang w:val="fr-FR" w:eastAsia="fr-FR"/>
        </w:rPr>
        <w:t> </w:t>
      </w:r>
      <w:r w:rsidRPr="003340F8">
        <w:rPr>
          <w:rFonts w:eastAsia="Times New Roman"/>
          <w:lang w:val="fr-FR" w:eastAsia="fr-FR"/>
        </w:rPr>
        <w:t xml:space="preserve">novembre 2019 (ECE/TRANS/SC.3/211). </w:t>
      </w:r>
      <w:r>
        <w:rPr>
          <w:rFonts w:eastAsia="Times New Roman"/>
          <w:lang w:val="fr-FR" w:eastAsia="fr-FR"/>
        </w:rPr>
        <w:t>Dans ce document</w:t>
      </w:r>
      <w:r w:rsidRPr="003340F8">
        <w:rPr>
          <w:rFonts w:eastAsia="Times New Roman"/>
          <w:lang w:val="fr-FR" w:eastAsia="fr-FR"/>
        </w:rPr>
        <w:t>, il a : a)</w:t>
      </w:r>
      <w:r>
        <w:rPr>
          <w:rFonts w:eastAsia="Times New Roman"/>
          <w:lang w:val="fr-FR" w:eastAsia="fr-FR"/>
        </w:rPr>
        <w:t> </w:t>
      </w:r>
      <w:r w:rsidRPr="003340F8">
        <w:rPr>
          <w:rFonts w:eastAsia="Times New Roman"/>
          <w:lang w:val="fr-FR" w:eastAsia="fr-FR"/>
        </w:rPr>
        <w:t>approuvé le plan d</w:t>
      </w:r>
      <w:r w:rsidR="00521757">
        <w:rPr>
          <w:rFonts w:eastAsia="Times New Roman"/>
          <w:lang w:val="fr-FR" w:eastAsia="fr-FR"/>
        </w:rPr>
        <w:t>’</w:t>
      </w:r>
      <w:r w:rsidRPr="003340F8">
        <w:rPr>
          <w:rFonts w:eastAsia="Times New Roman"/>
          <w:lang w:val="fr-FR" w:eastAsia="fr-FR"/>
        </w:rPr>
        <w:t>action pour la coopération internationale aux fins de la promotion et du développement de la navigation intelligente sur les voies navigables intérieure</w:t>
      </w:r>
      <w:r w:rsidR="002018E1">
        <w:rPr>
          <w:rFonts w:eastAsia="Times New Roman"/>
          <w:lang w:val="fr-FR" w:eastAsia="fr-FR"/>
        </w:rPr>
        <w:t>s</w:t>
      </w:r>
      <w:r w:rsidRPr="003340F8">
        <w:rPr>
          <w:rFonts w:eastAsia="Times New Roman"/>
          <w:lang w:val="fr-FR" w:eastAsia="fr-FR"/>
        </w:rPr>
        <w:t> ; b)</w:t>
      </w:r>
      <w:r>
        <w:rPr>
          <w:rFonts w:eastAsia="Times New Roman"/>
          <w:lang w:val="fr-FR" w:eastAsia="fr-FR"/>
        </w:rPr>
        <w:t> </w:t>
      </w:r>
      <w:r w:rsidRPr="003340F8">
        <w:rPr>
          <w:rFonts w:eastAsia="Times New Roman"/>
          <w:lang w:val="fr-FR" w:eastAsia="fr-FR"/>
        </w:rPr>
        <w:t>invité les États, les organisations internationales, les commissions fluviales et les autres parties prenantes à participer activement aux travaux de la CEE visant la création d</w:t>
      </w:r>
      <w:r w:rsidR="00521757">
        <w:rPr>
          <w:rFonts w:eastAsia="Times New Roman"/>
          <w:lang w:val="fr-FR" w:eastAsia="fr-FR"/>
        </w:rPr>
        <w:t>’</w:t>
      </w:r>
      <w:r w:rsidRPr="003340F8">
        <w:rPr>
          <w:rFonts w:eastAsia="Times New Roman"/>
          <w:lang w:val="fr-FR" w:eastAsia="fr-FR"/>
        </w:rPr>
        <w:t>un cadre juridique paneuropéen harmonisé pour la navigation intelligente</w:t>
      </w:r>
      <w:r>
        <w:rPr>
          <w:rFonts w:eastAsia="Times New Roman"/>
          <w:lang w:val="fr-FR" w:eastAsia="fr-FR"/>
        </w:rPr>
        <w:t> </w:t>
      </w:r>
      <w:r w:rsidRPr="003340F8">
        <w:rPr>
          <w:rFonts w:eastAsia="Times New Roman"/>
          <w:lang w:val="fr-FR" w:eastAsia="fr-FR"/>
        </w:rPr>
        <w:t>; c)</w:t>
      </w:r>
      <w:r>
        <w:rPr>
          <w:rFonts w:eastAsia="Times New Roman"/>
          <w:lang w:val="fr-FR" w:eastAsia="fr-FR"/>
        </w:rPr>
        <w:t> </w:t>
      </w:r>
      <w:r w:rsidRPr="003340F8">
        <w:rPr>
          <w:rFonts w:eastAsia="Times New Roman"/>
          <w:lang w:val="fr-FR" w:eastAsia="fr-FR"/>
        </w:rPr>
        <w:t xml:space="preserve">encouragé les États à </w:t>
      </w:r>
      <w:r>
        <w:rPr>
          <w:rFonts w:eastAsia="Times New Roman"/>
          <w:lang w:val="fr-FR" w:eastAsia="fr-FR"/>
        </w:rPr>
        <w:t>inclure</w:t>
      </w:r>
      <w:r w:rsidRPr="003340F8">
        <w:rPr>
          <w:rFonts w:eastAsia="Times New Roman"/>
          <w:lang w:val="fr-FR" w:eastAsia="fr-FR"/>
        </w:rPr>
        <w:t xml:space="preserve"> l</w:t>
      </w:r>
      <w:r w:rsidR="00521757">
        <w:rPr>
          <w:rFonts w:eastAsia="Times New Roman"/>
          <w:lang w:val="fr-FR" w:eastAsia="fr-FR"/>
        </w:rPr>
        <w:t>’</w:t>
      </w:r>
      <w:r w:rsidRPr="003340F8">
        <w:rPr>
          <w:rFonts w:eastAsia="Times New Roman"/>
          <w:lang w:val="fr-FR" w:eastAsia="fr-FR"/>
        </w:rPr>
        <w:t xml:space="preserve">automatisation et la numérisation du transport par voies </w:t>
      </w:r>
      <w:r w:rsidR="002018E1">
        <w:rPr>
          <w:rFonts w:eastAsia="Times New Roman"/>
          <w:lang w:val="fr-FR" w:eastAsia="fr-FR"/>
        </w:rPr>
        <w:t>navigables</w:t>
      </w:r>
      <w:r w:rsidRPr="003340F8">
        <w:rPr>
          <w:rFonts w:eastAsia="Times New Roman"/>
          <w:lang w:val="fr-FR" w:eastAsia="fr-FR"/>
        </w:rPr>
        <w:t xml:space="preserve"> intérieures dans le</w:t>
      </w:r>
      <w:r>
        <w:rPr>
          <w:rFonts w:eastAsia="Times New Roman"/>
          <w:lang w:val="fr-FR" w:eastAsia="fr-FR"/>
        </w:rPr>
        <w:t>ur</w:t>
      </w:r>
      <w:r w:rsidRPr="003340F8">
        <w:rPr>
          <w:rFonts w:eastAsia="Times New Roman"/>
          <w:lang w:val="fr-FR" w:eastAsia="fr-FR"/>
        </w:rPr>
        <w:t>s stratégies et le</w:t>
      </w:r>
      <w:r>
        <w:rPr>
          <w:rFonts w:eastAsia="Times New Roman"/>
          <w:lang w:val="fr-FR" w:eastAsia="fr-FR"/>
        </w:rPr>
        <w:t>ur</w:t>
      </w:r>
      <w:r w:rsidRPr="003340F8">
        <w:rPr>
          <w:rFonts w:eastAsia="Times New Roman"/>
          <w:lang w:val="fr-FR" w:eastAsia="fr-FR"/>
        </w:rPr>
        <w:t>s plans nationaux de développement.</w:t>
      </w:r>
    </w:p>
    <w:p w:rsidR="008447DA" w:rsidRPr="003340F8" w:rsidRDefault="008447DA" w:rsidP="008447DA">
      <w:pPr>
        <w:kinsoku/>
        <w:overflowPunct/>
        <w:autoSpaceDE/>
        <w:autoSpaceDN/>
        <w:adjustRightInd/>
        <w:snapToGrid/>
        <w:spacing w:after="120"/>
        <w:ind w:left="1134" w:right="1134"/>
        <w:jc w:val="both"/>
        <w:rPr>
          <w:rFonts w:eastAsia="Times New Roman"/>
          <w:lang w:val="fr-FR" w:eastAsia="fr-FR"/>
        </w:rPr>
      </w:pPr>
      <w:r w:rsidRPr="003340F8">
        <w:rPr>
          <w:rFonts w:eastAsia="Times New Roman"/>
          <w:lang w:val="fr-FR" w:eastAsia="fr-FR"/>
        </w:rPr>
        <w:t>14.</w:t>
      </w:r>
      <w:r w:rsidRPr="003340F8">
        <w:rPr>
          <w:rFonts w:eastAsia="Times New Roman"/>
          <w:lang w:val="fr-FR" w:eastAsia="fr-FR"/>
        </w:rPr>
        <w:tab/>
        <w:t>Le plan d</w:t>
      </w:r>
      <w:r w:rsidR="00521757">
        <w:rPr>
          <w:rFonts w:eastAsia="Times New Roman"/>
          <w:lang w:val="fr-FR" w:eastAsia="fr-FR"/>
        </w:rPr>
        <w:t>’</w:t>
      </w:r>
      <w:r w:rsidRPr="003340F8">
        <w:rPr>
          <w:rFonts w:eastAsia="Times New Roman"/>
          <w:lang w:val="fr-FR" w:eastAsia="fr-FR"/>
        </w:rPr>
        <w:t xml:space="preserve">action pour 2020-2024 intitulé </w:t>
      </w:r>
      <w:r w:rsidR="000A6649">
        <w:rPr>
          <w:rFonts w:eastAsia="Times New Roman"/>
          <w:lang w:val="fr-FR" w:eastAsia="fr-FR"/>
        </w:rPr>
        <w:t>« </w:t>
      </w:r>
      <w:r w:rsidRPr="003340F8">
        <w:rPr>
          <w:rFonts w:eastAsia="Times New Roman"/>
          <w:lang w:val="fr-FR" w:eastAsia="fr-FR"/>
        </w:rPr>
        <w:t>Instaurer une coopération internationale en faveur de l</w:t>
      </w:r>
      <w:r w:rsidR="00521757">
        <w:rPr>
          <w:rFonts w:eastAsia="Times New Roman"/>
          <w:lang w:val="fr-FR" w:eastAsia="fr-FR"/>
        </w:rPr>
        <w:t>’</w:t>
      </w:r>
      <w:r w:rsidRPr="003340F8">
        <w:rPr>
          <w:rFonts w:eastAsia="Times New Roman"/>
          <w:lang w:val="fr-FR" w:eastAsia="fr-FR"/>
        </w:rPr>
        <w:t>élaboration d</w:t>
      </w:r>
      <w:r w:rsidR="00521757">
        <w:rPr>
          <w:rFonts w:eastAsia="Times New Roman"/>
          <w:lang w:val="fr-FR" w:eastAsia="fr-FR"/>
        </w:rPr>
        <w:t>’</w:t>
      </w:r>
      <w:r w:rsidRPr="003340F8">
        <w:rPr>
          <w:rFonts w:eastAsia="Times New Roman"/>
          <w:lang w:val="fr-FR" w:eastAsia="fr-FR"/>
        </w:rPr>
        <w:t>un cadre juridique international pour la navigation intelligente</w:t>
      </w:r>
      <w:r w:rsidR="000A6649">
        <w:rPr>
          <w:rFonts w:eastAsia="Times New Roman"/>
          <w:lang w:val="fr-FR" w:eastAsia="fr-FR"/>
        </w:rPr>
        <w:t> »</w:t>
      </w:r>
      <w:r w:rsidRPr="003340F8">
        <w:rPr>
          <w:rFonts w:eastAsia="Times New Roman"/>
          <w:lang w:val="fr-FR" w:eastAsia="fr-FR"/>
        </w:rPr>
        <w:t xml:space="preserve"> (voir annexe au document ECE/TRANS/SC.3/211), approuvée par le SC.3, porte sur les questions suivantes :</w:t>
      </w:r>
      <w:bookmarkEnd w:id="3"/>
    </w:p>
    <w:p w:rsidR="008447DA" w:rsidRPr="003340F8" w:rsidRDefault="008447DA" w:rsidP="00DB4876">
      <w:pPr>
        <w:pStyle w:val="Bullet1G"/>
        <w:rPr>
          <w:lang w:val="fr-FR" w:eastAsia="fr-FR"/>
        </w:rPr>
      </w:pPr>
      <w:r w:rsidRPr="003340F8">
        <w:rPr>
          <w:lang w:val="fr-FR" w:eastAsia="fr-FR"/>
        </w:rPr>
        <w:t>Harmonisation des définitions des niveaux d</w:t>
      </w:r>
      <w:r w:rsidR="00521757">
        <w:rPr>
          <w:lang w:val="fr-FR" w:eastAsia="fr-FR"/>
        </w:rPr>
        <w:t>’</w:t>
      </w:r>
      <w:r w:rsidRPr="003340F8">
        <w:rPr>
          <w:lang w:val="fr-FR" w:eastAsia="fr-FR"/>
        </w:rPr>
        <w:t>autonomie dans les documents de la</w:t>
      </w:r>
      <w:r w:rsidR="00DB4876">
        <w:rPr>
          <w:lang w:val="fr-FR" w:eastAsia="fr-FR"/>
        </w:rPr>
        <w:t> </w:t>
      </w:r>
      <w:r w:rsidRPr="003340F8">
        <w:rPr>
          <w:lang w:val="fr-FR" w:eastAsia="fr-FR"/>
        </w:rPr>
        <w:t>CEE</w:t>
      </w:r>
      <w:r>
        <w:rPr>
          <w:lang w:val="fr-FR" w:eastAsia="fr-FR"/>
        </w:rPr>
        <w:t> </w:t>
      </w:r>
      <w:r w:rsidRPr="003340F8">
        <w:rPr>
          <w:lang w:val="fr-FR" w:eastAsia="fr-FR"/>
        </w:rPr>
        <w:t>;</w:t>
      </w:r>
    </w:p>
    <w:p w:rsidR="008447DA" w:rsidRPr="003340F8" w:rsidRDefault="008447DA" w:rsidP="00DB4876">
      <w:pPr>
        <w:pStyle w:val="Bullet1G"/>
        <w:rPr>
          <w:lang w:val="fr-FR" w:eastAsia="fr-FR"/>
        </w:rPr>
      </w:pPr>
      <w:r w:rsidRPr="003340F8">
        <w:rPr>
          <w:lang w:val="fr-FR" w:eastAsia="fr-FR"/>
        </w:rPr>
        <w:t>Examen des résolutions de la CEE et des conventions et accords internationaux</w:t>
      </w:r>
      <w:r>
        <w:rPr>
          <w:lang w:val="fr-FR" w:eastAsia="fr-FR"/>
        </w:rPr>
        <w:t> </w:t>
      </w:r>
      <w:r w:rsidRPr="003340F8">
        <w:rPr>
          <w:lang w:val="fr-FR" w:eastAsia="fr-FR"/>
        </w:rPr>
        <w:t>;</w:t>
      </w:r>
    </w:p>
    <w:p w:rsidR="008447DA" w:rsidRPr="003340F8" w:rsidRDefault="008447DA" w:rsidP="00DB4876">
      <w:pPr>
        <w:pStyle w:val="Bullet1G"/>
        <w:rPr>
          <w:lang w:val="fr-FR" w:eastAsia="fr-FR"/>
        </w:rPr>
      </w:pPr>
      <w:r w:rsidRPr="003340F8">
        <w:rPr>
          <w:lang w:val="fr-FR" w:eastAsia="fr-FR"/>
        </w:rPr>
        <w:t>Harmonisation des stratégies visant à jeter les bases du déploiement de la navigation intelligente ;</w:t>
      </w:r>
    </w:p>
    <w:p w:rsidR="008447DA" w:rsidRPr="003340F8" w:rsidRDefault="008447DA" w:rsidP="00DB4876">
      <w:pPr>
        <w:pStyle w:val="Bullet1G"/>
        <w:rPr>
          <w:lang w:val="fr-FR" w:eastAsia="fr-FR"/>
        </w:rPr>
      </w:pPr>
      <w:r w:rsidRPr="003340F8">
        <w:rPr>
          <w:lang w:val="fr-FR" w:eastAsia="fr-FR"/>
        </w:rPr>
        <w:t>Numérisation et dématérialisation</w:t>
      </w:r>
      <w:r w:rsidR="00DB4876">
        <w:rPr>
          <w:lang w:val="fr-FR" w:eastAsia="fr-FR"/>
        </w:rPr>
        <w:t> ;</w:t>
      </w:r>
    </w:p>
    <w:p w:rsidR="008447DA" w:rsidRPr="003340F8" w:rsidRDefault="008447DA" w:rsidP="00DB4876">
      <w:pPr>
        <w:pStyle w:val="Bullet1G"/>
        <w:rPr>
          <w:lang w:val="fr-FR" w:eastAsia="fr-FR"/>
        </w:rPr>
      </w:pPr>
      <w:r w:rsidRPr="003340F8">
        <w:rPr>
          <w:lang w:val="fr-FR" w:eastAsia="fr-FR"/>
        </w:rPr>
        <w:t>Protection des données, cybersécurité, questions de responsabilité et autres questions pertinentes</w:t>
      </w:r>
      <w:r w:rsidR="00DB4876">
        <w:rPr>
          <w:lang w:val="fr-FR" w:eastAsia="fr-FR"/>
        </w:rPr>
        <w:t> ;</w:t>
      </w:r>
    </w:p>
    <w:p w:rsidR="008447DA" w:rsidRPr="003340F8" w:rsidRDefault="008447DA" w:rsidP="00DB4876">
      <w:pPr>
        <w:pStyle w:val="Bullet1G"/>
        <w:rPr>
          <w:lang w:val="fr-FR" w:eastAsia="fr-FR"/>
        </w:rPr>
      </w:pPr>
      <w:r w:rsidRPr="003340F8">
        <w:rPr>
          <w:lang w:val="fr-FR" w:eastAsia="fr-FR"/>
        </w:rPr>
        <w:t>Évaluation des incidences de l</w:t>
      </w:r>
      <w:r w:rsidR="00521757">
        <w:rPr>
          <w:lang w:val="fr-FR" w:eastAsia="fr-FR"/>
        </w:rPr>
        <w:t>’</w:t>
      </w:r>
      <w:r w:rsidRPr="003340F8">
        <w:rPr>
          <w:lang w:val="fr-FR" w:eastAsia="fr-FR"/>
        </w:rPr>
        <w:t>automatisation dans le domaine social, développement et harmonisation des prescriptions relatives aux équipages, enseignement et formation ;</w:t>
      </w:r>
    </w:p>
    <w:p w:rsidR="008447DA" w:rsidRPr="003340F8" w:rsidRDefault="008447DA" w:rsidP="00DB4876">
      <w:pPr>
        <w:pStyle w:val="Bullet1G"/>
        <w:rPr>
          <w:w w:val="105"/>
          <w:lang w:val="fr-FR" w:eastAsia="fr-FR"/>
        </w:rPr>
      </w:pPr>
      <w:r w:rsidRPr="003340F8">
        <w:rPr>
          <w:lang w:val="fr-FR" w:eastAsia="fr-FR"/>
        </w:rPr>
        <w:t>Aide aux institutions gouvernementales, participation au renforcement des capacités et aux activités de sensibilisation, organisation d</w:t>
      </w:r>
      <w:r w:rsidR="00521757">
        <w:rPr>
          <w:lang w:val="fr-FR" w:eastAsia="fr-FR"/>
        </w:rPr>
        <w:t>’</w:t>
      </w:r>
      <w:r w:rsidRPr="003340F8">
        <w:rPr>
          <w:lang w:val="fr-FR" w:eastAsia="fr-FR"/>
        </w:rPr>
        <w:t>ateliers et des tables rondes sur l</w:t>
      </w:r>
      <w:r w:rsidR="00521757">
        <w:rPr>
          <w:lang w:val="fr-FR" w:eastAsia="fr-FR"/>
        </w:rPr>
        <w:t>’</w:t>
      </w:r>
      <w:r w:rsidRPr="003340F8">
        <w:rPr>
          <w:lang w:val="fr-FR" w:eastAsia="fr-FR"/>
        </w:rPr>
        <w:t>automatisation et la navigation intelligente et participation aux tables rondes des Nations Unies sur les systèmes de transport intelligents et l</w:t>
      </w:r>
      <w:r w:rsidR="00521757">
        <w:rPr>
          <w:lang w:val="fr-FR" w:eastAsia="fr-FR"/>
        </w:rPr>
        <w:t>’</w:t>
      </w:r>
      <w:r w:rsidRPr="003340F8">
        <w:rPr>
          <w:lang w:val="fr-FR" w:eastAsia="fr-FR"/>
        </w:rPr>
        <w:t>automatisation des transports.</w:t>
      </w:r>
      <w:bookmarkStart w:id="4" w:name="_Hlk21450340"/>
      <w:bookmarkEnd w:id="4"/>
    </w:p>
    <w:p w:rsidR="008447DA" w:rsidRPr="003340F8" w:rsidRDefault="008447DA" w:rsidP="00DB4876">
      <w:pPr>
        <w:pStyle w:val="H1G"/>
        <w:rPr>
          <w:lang w:val="fr-FR" w:eastAsia="fr-FR"/>
        </w:rPr>
      </w:pPr>
      <w:r>
        <w:rPr>
          <w:lang w:val="fr-FR" w:eastAsia="fr-FR"/>
        </w:rPr>
        <w:lastRenderedPageBreak/>
        <w:tab/>
      </w:r>
      <w:r w:rsidRPr="003340F8">
        <w:rPr>
          <w:lang w:val="fr-FR" w:eastAsia="fr-FR"/>
        </w:rPr>
        <w:t>B.</w:t>
      </w:r>
      <w:r w:rsidRPr="003340F8">
        <w:rPr>
          <w:lang w:val="fr-FR" w:eastAsia="fr-FR"/>
        </w:rPr>
        <w:tab/>
        <w:t xml:space="preserve">Recommandations du Livre blanc sur les progrès, les réalisations, </w:t>
      </w:r>
      <w:r w:rsidR="00DB4876">
        <w:rPr>
          <w:lang w:val="fr-FR" w:eastAsia="fr-FR"/>
        </w:rPr>
        <w:br/>
      </w:r>
      <w:r w:rsidRPr="003340F8">
        <w:rPr>
          <w:lang w:val="fr-FR" w:eastAsia="fr-FR"/>
        </w:rPr>
        <w:t>les perspectives et la viabilité du transport par voie navigable</w:t>
      </w:r>
    </w:p>
    <w:p w:rsidR="008447DA" w:rsidRPr="003340F8" w:rsidRDefault="008447DA" w:rsidP="00DB4876">
      <w:pPr>
        <w:pStyle w:val="SingleTxtG"/>
        <w:rPr>
          <w:lang w:val="fr-FR" w:eastAsia="fr-FR"/>
        </w:rPr>
      </w:pPr>
      <w:r w:rsidRPr="003340F8">
        <w:rPr>
          <w:lang w:val="fr-FR" w:eastAsia="fr-FR"/>
        </w:rPr>
        <w:t>15.</w:t>
      </w:r>
      <w:r w:rsidRPr="003340F8">
        <w:rPr>
          <w:lang w:val="fr-FR" w:eastAsia="fr-FR"/>
        </w:rPr>
        <w:tab/>
        <w:t>Les travaux, les observations et les conclusions des groupes de travail ont permis d</w:t>
      </w:r>
      <w:r w:rsidR="00521757">
        <w:rPr>
          <w:lang w:val="fr-FR" w:eastAsia="fr-FR"/>
        </w:rPr>
        <w:t>’</w:t>
      </w:r>
      <w:r w:rsidRPr="003340F8">
        <w:rPr>
          <w:lang w:val="fr-FR" w:eastAsia="fr-FR"/>
        </w:rPr>
        <w:t>élaborer, pour le nouveau Livre blanc adopté par le SC.3 à sa soixante-troisième session, les recommandations ci-après (ECE/TRANS/279) :</w:t>
      </w:r>
    </w:p>
    <w:p w:rsidR="008447DA" w:rsidRPr="003340F8" w:rsidRDefault="008447DA" w:rsidP="00DB4876">
      <w:pPr>
        <w:pStyle w:val="Bullet1G"/>
        <w:rPr>
          <w:lang w:val="fr-FR" w:eastAsia="fr-FR"/>
        </w:rPr>
      </w:pPr>
      <w:r w:rsidRPr="003340F8">
        <w:rPr>
          <w:lang w:val="fr-FR" w:eastAsia="fr-FR"/>
        </w:rPr>
        <w:t>Recommandation n</w:t>
      </w:r>
      <w:r w:rsidRPr="0055564D">
        <w:rPr>
          <w:vertAlign w:val="superscript"/>
          <w:lang w:val="fr-FR" w:eastAsia="fr-FR"/>
        </w:rPr>
        <w:t>o</w:t>
      </w:r>
      <w:r w:rsidRPr="00DB4876">
        <w:rPr>
          <w:lang w:val="fr-FR" w:eastAsia="fr-FR"/>
        </w:rPr>
        <w:t> </w:t>
      </w:r>
      <w:r w:rsidRPr="003340F8">
        <w:rPr>
          <w:lang w:val="fr-FR" w:eastAsia="fr-FR"/>
        </w:rPr>
        <w:t>6</w:t>
      </w:r>
      <w:r w:rsidR="00EF43CB">
        <w:rPr>
          <w:lang w:val="fr-FR" w:eastAsia="fr-FR"/>
        </w:rPr>
        <w:t> </w:t>
      </w:r>
      <w:r w:rsidRPr="003340F8">
        <w:rPr>
          <w:lang w:val="fr-FR" w:eastAsia="fr-FR"/>
        </w:rPr>
        <w:t>: Promouvoir le développement de l</w:t>
      </w:r>
      <w:r w:rsidR="00521757">
        <w:rPr>
          <w:lang w:val="fr-FR" w:eastAsia="fr-FR"/>
        </w:rPr>
        <w:t>’</w:t>
      </w:r>
      <w:r w:rsidRPr="003340F8">
        <w:rPr>
          <w:lang w:val="fr-FR" w:eastAsia="fr-FR"/>
        </w:rPr>
        <w:t>automatisation, de la numérisation et d</w:t>
      </w:r>
      <w:r w:rsidR="00521757">
        <w:rPr>
          <w:lang w:val="fr-FR" w:eastAsia="fr-FR"/>
        </w:rPr>
        <w:t>’</w:t>
      </w:r>
      <w:r w:rsidRPr="003340F8">
        <w:rPr>
          <w:lang w:val="fr-FR" w:eastAsia="fr-FR"/>
        </w:rPr>
        <w:t>autres innovations dans le secteur du transport par voie navigable ;</w:t>
      </w:r>
    </w:p>
    <w:p w:rsidR="00F9573C" w:rsidRDefault="008447DA" w:rsidP="00DB4876">
      <w:pPr>
        <w:pStyle w:val="Bullet1G"/>
        <w:rPr>
          <w:lang w:val="fr-FR" w:eastAsia="fr-FR"/>
        </w:rPr>
      </w:pPr>
      <w:r w:rsidRPr="003340F8">
        <w:rPr>
          <w:lang w:val="fr-FR" w:eastAsia="fr-FR"/>
        </w:rPr>
        <w:t xml:space="preserve">Recommandation </w:t>
      </w:r>
      <w:r w:rsidR="00DB4876" w:rsidRPr="00DB4876">
        <w:rPr>
          <w:rFonts w:eastAsia="MS Mincho"/>
          <w:szCs w:val="22"/>
          <w:lang w:val="fr-FR" w:eastAsia="fr-FR"/>
        </w:rPr>
        <w:t>n</w:t>
      </w:r>
      <w:r w:rsidR="00DB4876" w:rsidRPr="00DB4876">
        <w:rPr>
          <w:rFonts w:eastAsia="MS Mincho"/>
          <w:szCs w:val="22"/>
          <w:vertAlign w:val="superscript"/>
          <w:lang w:val="fr-FR" w:eastAsia="fr-FR"/>
        </w:rPr>
        <w:t>o</w:t>
      </w:r>
      <w:r w:rsidR="00DB4876">
        <w:rPr>
          <w:lang w:val="fr-FR" w:eastAsia="fr-FR"/>
        </w:rPr>
        <w:t> </w:t>
      </w:r>
      <w:r w:rsidRPr="003340F8">
        <w:rPr>
          <w:lang w:val="fr-FR" w:eastAsia="fr-FR"/>
        </w:rPr>
        <w:t>8</w:t>
      </w:r>
      <w:r w:rsidR="00EF43CB">
        <w:rPr>
          <w:lang w:val="fr-FR" w:eastAsia="fr-FR"/>
        </w:rPr>
        <w:t> </w:t>
      </w:r>
      <w:r w:rsidRPr="003340F8">
        <w:rPr>
          <w:lang w:val="fr-FR" w:eastAsia="fr-FR"/>
        </w:rPr>
        <w:t>: Sûreté, sécurité et cybersécurité dans le transport par voie navigable</w:t>
      </w:r>
      <w:r>
        <w:rPr>
          <w:lang w:val="fr-FR" w:eastAsia="fr-FR"/>
        </w:rPr>
        <w:t xml:space="preserve"> : </w:t>
      </w:r>
      <w:r w:rsidRPr="003340F8">
        <w:rPr>
          <w:lang w:val="fr-FR" w:eastAsia="fr-FR"/>
        </w:rPr>
        <w:t>faire face aux menaces internes et externes planant sur le secteur.</w:t>
      </w:r>
    </w:p>
    <w:p w:rsidR="00521757" w:rsidRPr="00521757" w:rsidRDefault="00521757" w:rsidP="00521757">
      <w:pPr>
        <w:pStyle w:val="SingleTxtG"/>
        <w:spacing w:before="240" w:after="0"/>
        <w:jc w:val="center"/>
        <w:rPr>
          <w:u w:val="single"/>
        </w:rPr>
      </w:pPr>
      <w:r>
        <w:rPr>
          <w:u w:val="single"/>
        </w:rPr>
        <w:tab/>
      </w:r>
      <w:r>
        <w:rPr>
          <w:u w:val="single"/>
        </w:rPr>
        <w:tab/>
      </w:r>
      <w:r>
        <w:rPr>
          <w:u w:val="single"/>
        </w:rPr>
        <w:tab/>
      </w:r>
    </w:p>
    <w:sectPr w:rsidR="00521757" w:rsidRPr="00521757" w:rsidSect="00883F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4DA" w:rsidRDefault="004D04DA" w:rsidP="00F95C08">
      <w:pPr>
        <w:spacing w:line="240" w:lineRule="auto"/>
      </w:pPr>
    </w:p>
  </w:endnote>
  <w:endnote w:type="continuationSeparator" w:id="0">
    <w:p w:rsidR="004D04DA" w:rsidRPr="00AC3823" w:rsidRDefault="004D04DA" w:rsidP="00AC3823">
      <w:pPr>
        <w:pStyle w:val="Footer"/>
      </w:pPr>
    </w:p>
  </w:endnote>
  <w:endnote w:type="continuationNotice" w:id="1">
    <w:p w:rsidR="004D04DA" w:rsidRDefault="004D04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CE" w:rsidRPr="00883FCE" w:rsidRDefault="00883FCE" w:rsidP="00883FCE">
    <w:pPr>
      <w:pStyle w:val="Footer"/>
      <w:tabs>
        <w:tab w:val="right" w:pos="9638"/>
      </w:tabs>
    </w:pPr>
    <w:r w:rsidRPr="00883FCE">
      <w:rPr>
        <w:b/>
        <w:sz w:val="18"/>
      </w:rPr>
      <w:fldChar w:fldCharType="begin"/>
    </w:r>
    <w:r w:rsidRPr="00883FCE">
      <w:rPr>
        <w:b/>
        <w:sz w:val="18"/>
      </w:rPr>
      <w:instrText xml:space="preserve"> PAGE  \* MERGEFORMAT </w:instrText>
    </w:r>
    <w:r w:rsidRPr="00883FCE">
      <w:rPr>
        <w:b/>
        <w:sz w:val="18"/>
      </w:rPr>
      <w:fldChar w:fldCharType="separate"/>
    </w:r>
    <w:r w:rsidRPr="00883FCE">
      <w:rPr>
        <w:b/>
        <w:noProof/>
        <w:sz w:val="18"/>
      </w:rPr>
      <w:t>2</w:t>
    </w:r>
    <w:r w:rsidRPr="00883FCE">
      <w:rPr>
        <w:b/>
        <w:sz w:val="18"/>
      </w:rPr>
      <w:fldChar w:fldCharType="end"/>
    </w:r>
    <w:r>
      <w:rPr>
        <w:b/>
        <w:sz w:val="18"/>
      </w:rPr>
      <w:tab/>
    </w:r>
    <w:r>
      <w:t>GE.19-21981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CE" w:rsidRPr="00883FCE" w:rsidRDefault="00883FCE" w:rsidP="00883FCE">
    <w:pPr>
      <w:pStyle w:val="Footer"/>
      <w:tabs>
        <w:tab w:val="right" w:pos="9638"/>
      </w:tabs>
      <w:rPr>
        <w:b/>
        <w:sz w:val="18"/>
      </w:rPr>
    </w:pPr>
    <w:r>
      <w:t>GE.19-21981</w:t>
    </w:r>
    <w:r>
      <w:tab/>
    </w:r>
    <w:r w:rsidRPr="00883FCE">
      <w:rPr>
        <w:b/>
        <w:sz w:val="18"/>
      </w:rPr>
      <w:fldChar w:fldCharType="begin"/>
    </w:r>
    <w:r w:rsidRPr="00883FCE">
      <w:rPr>
        <w:b/>
        <w:sz w:val="18"/>
      </w:rPr>
      <w:instrText xml:space="preserve"> PAGE  \* MERGEFORMAT </w:instrText>
    </w:r>
    <w:r w:rsidRPr="00883FCE">
      <w:rPr>
        <w:b/>
        <w:sz w:val="18"/>
      </w:rPr>
      <w:fldChar w:fldCharType="separate"/>
    </w:r>
    <w:r w:rsidRPr="00883FCE">
      <w:rPr>
        <w:b/>
        <w:noProof/>
        <w:sz w:val="18"/>
      </w:rPr>
      <w:t>3</w:t>
    </w:r>
    <w:r w:rsidRPr="00883F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83FCE" w:rsidRDefault="00883FCE" w:rsidP="00883FC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21981  (</w:t>
    </w:r>
    <w:proofErr w:type="gramEnd"/>
    <w:r>
      <w:rPr>
        <w:sz w:val="20"/>
      </w:rPr>
      <w:t>F)    160120    240120</w:t>
    </w:r>
    <w:r>
      <w:rPr>
        <w:sz w:val="20"/>
      </w:rPr>
      <w:br/>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sidRPr="00883FC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4DA" w:rsidRPr="00AC3823" w:rsidRDefault="004D04DA" w:rsidP="00AC3823">
      <w:pPr>
        <w:pStyle w:val="Footer"/>
        <w:tabs>
          <w:tab w:val="right" w:pos="2155"/>
        </w:tabs>
        <w:spacing w:after="80" w:line="240" w:lineRule="atLeast"/>
        <w:ind w:left="680"/>
        <w:rPr>
          <w:u w:val="single"/>
        </w:rPr>
      </w:pPr>
      <w:r>
        <w:rPr>
          <w:u w:val="single"/>
        </w:rPr>
        <w:tab/>
      </w:r>
    </w:p>
  </w:footnote>
  <w:footnote w:type="continuationSeparator" w:id="0">
    <w:p w:rsidR="004D04DA" w:rsidRPr="00AC3823" w:rsidRDefault="004D04DA" w:rsidP="00AC3823">
      <w:pPr>
        <w:pStyle w:val="Footer"/>
        <w:tabs>
          <w:tab w:val="right" w:pos="2155"/>
        </w:tabs>
        <w:spacing w:after="80" w:line="240" w:lineRule="atLeast"/>
        <w:ind w:left="680"/>
        <w:rPr>
          <w:u w:val="single"/>
        </w:rPr>
      </w:pPr>
      <w:r>
        <w:rPr>
          <w:u w:val="single"/>
        </w:rPr>
        <w:tab/>
      </w:r>
    </w:p>
  </w:footnote>
  <w:footnote w:type="continuationNotice" w:id="1">
    <w:p w:rsidR="004D04DA" w:rsidRPr="00AC3823" w:rsidRDefault="004D04DA">
      <w:pPr>
        <w:spacing w:line="240" w:lineRule="auto"/>
        <w:rPr>
          <w:sz w:val="2"/>
          <w:szCs w:val="2"/>
        </w:rPr>
      </w:pPr>
    </w:p>
  </w:footnote>
  <w:footnote w:id="2">
    <w:p w:rsidR="008447DA" w:rsidRPr="001A5D7C" w:rsidRDefault="008447DA" w:rsidP="00521757">
      <w:pPr>
        <w:pStyle w:val="FootnoteText"/>
      </w:pPr>
      <w:r>
        <w:rPr>
          <w:lang w:val="fr-FR"/>
        </w:rPr>
        <w:tab/>
      </w:r>
      <w:r w:rsidRPr="008D3B3D">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rsidR="00975476" w:rsidRPr="00A46372" w:rsidRDefault="00975476" w:rsidP="00975476">
      <w:pPr>
        <w:pStyle w:val="FootnoteText"/>
      </w:pPr>
      <w:r>
        <w:rPr>
          <w:lang w:val="fr-FR"/>
        </w:rPr>
        <w:tab/>
      </w:r>
      <w:r w:rsidRPr="00521757">
        <w:rPr>
          <w:rStyle w:val="FootnoteReference"/>
        </w:rPr>
        <w:footnoteRef/>
      </w:r>
      <w:r>
        <w:rPr>
          <w:lang w:val="fr-FR"/>
        </w:rPr>
        <w:tab/>
        <w:t>ECE/TRANS/288, annexe III.</w:t>
      </w:r>
    </w:p>
  </w:footnote>
  <w:footnote w:id="4">
    <w:p w:rsidR="008447DA" w:rsidRPr="0040137B" w:rsidRDefault="008447DA" w:rsidP="00521757">
      <w:pPr>
        <w:pStyle w:val="FootnoteText"/>
      </w:pPr>
      <w:r>
        <w:rPr>
          <w:lang w:val="fr-FR"/>
        </w:rPr>
        <w:tab/>
      </w:r>
      <w:r w:rsidRPr="00521757">
        <w:rPr>
          <w:rStyle w:val="FootnoteReference"/>
        </w:rPr>
        <w:footnoteRef/>
      </w:r>
      <w:r>
        <w:rPr>
          <w:lang w:val="fr-FR"/>
        </w:rPr>
        <w:tab/>
        <w:t>Système européen de navigation par recouvrement géostationnaire.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CE" w:rsidRPr="00883FCE" w:rsidRDefault="007F4DDE">
    <w:pPr>
      <w:pStyle w:val="Header"/>
    </w:pPr>
    <w:r>
      <w:fldChar w:fldCharType="begin"/>
    </w:r>
    <w:r>
      <w:instrText xml:space="preserve"> TITLE  \* MERGEFORMAT </w:instrText>
    </w:r>
    <w:r>
      <w:fldChar w:fldCharType="separate"/>
    </w:r>
    <w:r w:rsidR="003D4003">
      <w:t>ECE/TRANS/2020/16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CE" w:rsidRPr="00883FCE" w:rsidRDefault="007F4DDE" w:rsidP="00883FCE">
    <w:pPr>
      <w:pStyle w:val="Header"/>
      <w:jc w:val="right"/>
    </w:pPr>
    <w:r>
      <w:fldChar w:fldCharType="begin"/>
    </w:r>
    <w:r>
      <w:instrText xml:space="preserve"> TITLE  \* MERGEFORMAT </w:instrText>
    </w:r>
    <w:r>
      <w:fldChar w:fldCharType="separate"/>
    </w:r>
    <w:r w:rsidR="003D4003">
      <w:t>ECE/TRANS/2020/16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FD2E30"/>
    <w:multiLevelType w:val="hybridMultilevel"/>
    <w:tmpl w:val="30F80A6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15:restartNumberingAfterBreak="0">
    <w:nsid w:val="357209AF"/>
    <w:multiLevelType w:val="hybridMultilevel"/>
    <w:tmpl w:val="67C2011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05B32A7"/>
    <w:multiLevelType w:val="hybridMultilevel"/>
    <w:tmpl w:val="E1B43F4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5" w15:restartNumberingAfterBreak="0">
    <w:nsid w:val="4FE834AA"/>
    <w:multiLevelType w:val="hybridMultilevel"/>
    <w:tmpl w:val="35E882A2"/>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04DA"/>
    <w:rsid w:val="00017F94"/>
    <w:rsid w:val="00023842"/>
    <w:rsid w:val="000334F9"/>
    <w:rsid w:val="00045FEB"/>
    <w:rsid w:val="0007796D"/>
    <w:rsid w:val="000A6649"/>
    <w:rsid w:val="000B7790"/>
    <w:rsid w:val="000C4CC9"/>
    <w:rsid w:val="00111F2F"/>
    <w:rsid w:val="0014365E"/>
    <w:rsid w:val="00143C66"/>
    <w:rsid w:val="00176178"/>
    <w:rsid w:val="001F525A"/>
    <w:rsid w:val="002018E1"/>
    <w:rsid w:val="00223272"/>
    <w:rsid w:val="0024779E"/>
    <w:rsid w:val="00257168"/>
    <w:rsid w:val="002744B8"/>
    <w:rsid w:val="002832AC"/>
    <w:rsid w:val="002D7C93"/>
    <w:rsid w:val="00305801"/>
    <w:rsid w:val="00365175"/>
    <w:rsid w:val="003916DE"/>
    <w:rsid w:val="003D4003"/>
    <w:rsid w:val="00421996"/>
    <w:rsid w:val="00441C3B"/>
    <w:rsid w:val="00446FE5"/>
    <w:rsid w:val="00452396"/>
    <w:rsid w:val="004837D8"/>
    <w:rsid w:val="004D04DA"/>
    <w:rsid w:val="004E2EED"/>
    <w:rsid w:val="004E468C"/>
    <w:rsid w:val="00521757"/>
    <w:rsid w:val="005505B7"/>
    <w:rsid w:val="00573BE5"/>
    <w:rsid w:val="00586ED3"/>
    <w:rsid w:val="00596AA9"/>
    <w:rsid w:val="006D2EB1"/>
    <w:rsid w:val="0071601D"/>
    <w:rsid w:val="007A62E6"/>
    <w:rsid w:val="007F20FA"/>
    <w:rsid w:val="007F4DDE"/>
    <w:rsid w:val="0080684C"/>
    <w:rsid w:val="008447DA"/>
    <w:rsid w:val="00870493"/>
    <w:rsid w:val="00871C75"/>
    <w:rsid w:val="008776DC"/>
    <w:rsid w:val="00883FCE"/>
    <w:rsid w:val="008915E7"/>
    <w:rsid w:val="008D3B3D"/>
    <w:rsid w:val="009446C0"/>
    <w:rsid w:val="009705C8"/>
    <w:rsid w:val="00973DEB"/>
    <w:rsid w:val="00975476"/>
    <w:rsid w:val="009C1CF4"/>
    <w:rsid w:val="009F203C"/>
    <w:rsid w:val="009F6B74"/>
    <w:rsid w:val="00A3029F"/>
    <w:rsid w:val="00A30353"/>
    <w:rsid w:val="00AC3823"/>
    <w:rsid w:val="00AE323C"/>
    <w:rsid w:val="00AF0CB5"/>
    <w:rsid w:val="00B00181"/>
    <w:rsid w:val="00B00B0D"/>
    <w:rsid w:val="00B22120"/>
    <w:rsid w:val="00B45F2E"/>
    <w:rsid w:val="00B765F7"/>
    <w:rsid w:val="00BA0CA9"/>
    <w:rsid w:val="00C02897"/>
    <w:rsid w:val="00C77A3E"/>
    <w:rsid w:val="00C97039"/>
    <w:rsid w:val="00D16203"/>
    <w:rsid w:val="00D174DB"/>
    <w:rsid w:val="00D3439C"/>
    <w:rsid w:val="00DB1831"/>
    <w:rsid w:val="00DB4876"/>
    <w:rsid w:val="00DD3BFD"/>
    <w:rsid w:val="00DF6678"/>
    <w:rsid w:val="00E0299A"/>
    <w:rsid w:val="00E85C74"/>
    <w:rsid w:val="00EA6547"/>
    <w:rsid w:val="00EF2E22"/>
    <w:rsid w:val="00EF43CB"/>
    <w:rsid w:val="00F35BAF"/>
    <w:rsid w:val="00F36E1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B592A1-02E1-4A53-BA86-805F27DA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11305</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ECE/TRANS/2020/16</vt:lpstr>
      <vt:lpstr>ECE/TRANS/2020/16</vt:lpstr>
    </vt:vector>
  </TitlesOfParts>
  <Company>DCM</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ECE/TRANS/2020/16</dc:title>
  <dc:subject/>
  <dc:creator>Corinne ROBERT</dc:creator>
  <cp:keywords/>
  <cp:lastModifiedBy>Anastasia Barinova</cp:lastModifiedBy>
  <cp:revision>2</cp:revision>
  <cp:lastPrinted>2020-01-24T11:39:00Z</cp:lastPrinted>
  <dcterms:created xsi:type="dcterms:W3CDTF">2020-01-24T16:47:00Z</dcterms:created>
  <dcterms:modified xsi:type="dcterms:W3CDTF">2020-01-24T16:47:00Z</dcterms:modified>
</cp:coreProperties>
</file>