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18C8EF4D" w14:textId="77777777" w:rsidTr="00B20551">
        <w:trPr>
          <w:cantSplit/>
          <w:trHeight w:hRule="exact" w:val="851"/>
        </w:trPr>
        <w:tc>
          <w:tcPr>
            <w:tcW w:w="1276" w:type="dxa"/>
            <w:tcBorders>
              <w:bottom w:val="single" w:sz="4" w:space="0" w:color="auto"/>
            </w:tcBorders>
            <w:vAlign w:val="bottom"/>
          </w:tcPr>
          <w:p w14:paraId="2C1497AA" w14:textId="77777777" w:rsidR="009E6CB7" w:rsidRPr="00FF02F5" w:rsidRDefault="009E6CB7" w:rsidP="00B20551">
            <w:pPr>
              <w:spacing w:after="80"/>
            </w:pPr>
          </w:p>
        </w:tc>
        <w:tc>
          <w:tcPr>
            <w:tcW w:w="2268" w:type="dxa"/>
            <w:tcBorders>
              <w:bottom w:val="single" w:sz="4" w:space="0" w:color="auto"/>
            </w:tcBorders>
            <w:vAlign w:val="bottom"/>
          </w:tcPr>
          <w:p w14:paraId="2D0B283B"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20132040" w14:textId="77777777" w:rsidR="009E6CB7" w:rsidRPr="00FF02F5" w:rsidRDefault="00295C35" w:rsidP="00954785">
            <w:pPr>
              <w:jc w:val="right"/>
            </w:pPr>
            <w:r w:rsidRPr="00295C35">
              <w:rPr>
                <w:sz w:val="40"/>
              </w:rPr>
              <w:t>ECE</w:t>
            </w:r>
            <w:r>
              <w:t>/TRANS/2020/13</w:t>
            </w:r>
          </w:p>
        </w:tc>
      </w:tr>
      <w:tr w:rsidR="00FF02F5" w:rsidRPr="00FF02F5" w14:paraId="79DB9794" w14:textId="77777777" w:rsidTr="00B20551">
        <w:trPr>
          <w:cantSplit/>
          <w:trHeight w:hRule="exact" w:val="2835"/>
        </w:trPr>
        <w:tc>
          <w:tcPr>
            <w:tcW w:w="1276" w:type="dxa"/>
            <w:tcBorders>
              <w:top w:val="single" w:sz="4" w:space="0" w:color="auto"/>
              <w:bottom w:val="single" w:sz="12" w:space="0" w:color="auto"/>
            </w:tcBorders>
          </w:tcPr>
          <w:p w14:paraId="6F910B5A" w14:textId="77777777"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6D663F"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41F83DC0" w14:textId="77777777" w:rsidR="009E6CB7" w:rsidRPr="00FF02F5" w:rsidRDefault="00954785" w:rsidP="00954785">
            <w:pPr>
              <w:spacing w:before="240" w:line="240" w:lineRule="exact"/>
            </w:pPr>
            <w:r w:rsidRPr="00FF02F5">
              <w:t>Distr.: General</w:t>
            </w:r>
          </w:p>
          <w:p w14:paraId="6B65D7CC" w14:textId="77777777" w:rsidR="00954785" w:rsidRPr="00FF02F5" w:rsidRDefault="00CB6FAD" w:rsidP="00954785">
            <w:pPr>
              <w:spacing w:line="240" w:lineRule="exact"/>
            </w:pPr>
            <w:r>
              <w:t>1</w:t>
            </w:r>
            <w:r w:rsidR="00295C35">
              <w:t>8</w:t>
            </w:r>
            <w:r>
              <w:t xml:space="preserve"> December</w:t>
            </w:r>
            <w:r w:rsidR="00CD3488">
              <w:t xml:space="preserve"> </w:t>
            </w:r>
            <w:r w:rsidR="00954785" w:rsidRPr="00FF02F5">
              <w:t>2019</w:t>
            </w:r>
          </w:p>
          <w:p w14:paraId="3D14A046" w14:textId="77777777" w:rsidR="00954785" w:rsidRPr="00FF02F5" w:rsidRDefault="00954785" w:rsidP="00954785">
            <w:pPr>
              <w:spacing w:line="240" w:lineRule="exact"/>
            </w:pPr>
          </w:p>
          <w:p w14:paraId="5B557E50" w14:textId="77777777" w:rsidR="00954785" w:rsidRPr="00FF02F5" w:rsidRDefault="00954785" w:rsidP="00954785">
            <w:pPr>
              <w:spacing w:line="240" w:lineRule="exact"/>
            </w:pPr>
            <w:r w:rsidRPr="00FF02F5">
              <w:t>Original: English</w:t>
            </w:r>
          </w:p>
        </w:tc>
      </w:tr>
    </w:tbl>
    <w:p w14:paraId="785304C5" w14:textId="77777777" w:rsidR="00250503" w:rsidRPr="00FF02F5" w:rsidRDefault="00250503" w:rsidP="00250503">
      <w:pPr>
        <w:spacing w:before="120"/>
        <w:rPr>
          <w:b/>
          <w:bCs/>
          <w:sz w:val="28"/>
          <w:szCs w:val="28"/>
        </w:rPr>
      </w:pPr>
      <w:r w:rsidRPr="00FF02F5">
        <w:rPr>
          <w:b/>
          <w:bCs/>
          <w:sz w:val="28"/>
          <w:szCs w:val="28"/>
        </w:rPr>
        <w:t>Economic Commission for Europe</w:t>
      </w:r>
    </w:p>
    <w:p w14:paraId="23EAEB16" w14:textId="77777777" w:rsidR="00250503" w:rsidRPr="00FF02F5" w:rsidRDefault="00250503" w:rsidP="00250503">
      <w:pPr>
        <w:spacing w:before="120"/>
        <w:rPr>
          <w:sz w:val="28"/>
          <w:szCs w:val="28"/>
        </w:rPr>
      </w:pPr>
      <w:r w:rsidRPr="00FF02F5">
        <w:rPr>
          <w:sz w:val="28"/>
          <w:szCs w:val="28"/>
        </w:rPr>
        <w:t>Inland Transport Committee</w:t>
      </w:r>
    </w:p>
    <w:p w14:paraId="064965AA" w14:textId="77777777" w:rsidR="00250503" w:rsidRPr="00FF02F5" w:rsidRDefault="00250503" w:rsidP="00250503">
      <w:pPr>
        <w:spacing w:before="120"/>
        <w:rPr>
          <w:b/>
          <w:bCs/>
        </w:rPr>
      </w:pPr>
      <w:r w:rsidRPr="00FF02F5">
        <w:rPr>
          <w:b/>
          <w:bCs/>
        </w:rPr>
        <w:t>Eighty-second session</w:t>
      </w:r>
    </w:p>
    <w:p w14:paraId="48CDE6DA" w14:textId="77777777" w:rsidR="00970DC5" w:rsidRPr="007470B0" w:rsidRDefault="00250503" w:rsidP="00970DC5">
      <w:pPr>
        <w:rPr>
          <w:b/>
          <w:bCs/>
        </w:rPr>
      </w:pPr>
      <w:r w:rsidRPr="00FF02F5">
        <w:t>Geneva, 25</w:t>
      </w:r>
      <w:r w:rsidR="00887276">
        <w:t>–</w:t>
      </w:r>
      <w:r w:rsidRPr="00FF02F5">
        <w:t>28 February 2020</w:t>
      </w:r>
      <w:r w:rsidRPr="00FF02F5">
        <w:br/>
      </w:r>
      <w:r w:rsidR="00970DC5" w:rsidRPr="007470B0">
        <w:t xml:space="preserve">Item </w:t>
      </w:r>
      <w:r w:rsidR="00970DC5">
        <w:t>4</w:t>
      </w:r>
      <w:r w:rsidR="00970DC5" w:rsidRPr="007470B0">
        <w:t xml:space="preserve"> (</w:t>
      </w:r>
      <w:r w:rsidR="00970DC5">
        <w:t>i</w:t>
      </w:r>
      <w:r w:rsidR="00970DC5" w:rsidRPr="007470B0">
        <w:t>) of the provisional agenda</w:t>
      </w:r>
      <w:r w:rsidR="00970DC5" w:rsidRPr="007470B0">
        <w:br/>
      </w:r>
      <w:r w:rsidR="00902A89" w:rsidRPr="00902A89">
        <w:rPr>
          <w:b/>
          <w:bCs/>
        </w:rPr>
        <w:t>Strategic questions of a horizontal policy or regulatory nature</w:t>
      </w:r>
      <w:r w:rsidR="00970DC5" w:rsidRPr="007470B0">
        <w:rPr>
          <w:b/>
          <w:bCs/>
        </w:rPr>
        <w:t>:</w:t>
      </w:r>
      <w:r w:rsidR="00970DC5" w:rsidRPr="007470B0">
        <w:rPr>
          <w:b/>
          <w:bCs/>
        </w:rPr>
        <w:br/>
        <w:t>Harmonization of vehicle regulations</w:t>
      </w:r>
    </w:p>
    <w:p w14:paraId="1E1E0699" w14:textId="77777777" w:rsidR="00BC1CEB" w:rsidRPr="007470B0" w:rsidRDefault="00BC1CEB" w:rsidP="00D25C00">
      <w:pPr>
        <w:pStyle w:val="HChG"/>
      </w:pPr>
      <w:r w:rsidRPr="007470B0">
        <w:tab/>
      </w:r>
      <w:r w:rsidRPr="007470B0">
        <w:tab/>
        <w:t>Latest Developments in Vehicle Regulations</w:t>
      </w:r>
    </w:p>
    <w:p w14:paraId="00EFE76A" w14:textId="77777777" w:rsidR="00BC1CEB" w:rsidRPr="007470B0" w:rsidRDefault="00BC1CEB" w:rsidP="00BC1CEB">
      <w:pPr>
        <w:pStyle w:val="H1G"/>
        <w:spacing w:before="240"/>
      </w:pPr>
      <w:r w:rsidRPr="007470B0">
        <w:tab/>
      </w:r>
      <w:r w:rsidRPr="007470B0">
        <w:tab/>
        <w:t>Note by the secretariat</w:t>
      </w:r>
      <w:r w:rsidR="00887276" w:rsidRPr="00887276">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C1CEB" w:rsidRPr="007470B0" w14:paraId="6491A11E" w14:textId="77777777" w:rsidTr="00621BF6">
        <w:trPr>
          <w:trHeight w:val="481"/>
          <w:jc w:val="center"/>
        </w:trPr>
        <w:tc>
          <w:tcPr>
            <w:tcW w:w="9629" w:type="dxa"/>
            <w:shd w:val="clear" w:color="auto" w:fill="auto"/>
          </w:tcPr>
          <w:p w14:paraId="0E8D7A18" w14:textId="77777777" w:rsidR="00BC1CEB" w:rsidRPr="007470B0" w:rsidRDefault="00BC1CEB" w:rsidP="0044772F">
            <w:pPr>
              <w:spacing w:before="240" w:after="120"/>
              <w:ind w:left="255"/>
              <w:rPr>
                <w:rFonts w:eastAsia="Times New Roman Bold"/>
                <w:i/>
                <w:sz w:val="24"/>
              </w:rPr>
            </w:pPr>
            <w:r w:rsidRPr="007470B0">
              <w:rPr>
                <w:rFonts w:eastAsia="Times New Roman Bold"/>
                <w:i/>
                <w:sz w:val="24"/>
              </w:rPr>
              <w:t>Summary</w:t>
            </w:r>
          </w:p>
        </w:tc>
      </w:tr>
      <w:tr w:rsidR="00BC1CEB" w:rsidRPr="007470B0" w14:paraId="1DB60A0E" w14:textId="77777777" w:rsidTr="00621BF6">
        <w:trPr>
          <w:jc w:val="center"/>
        </w:trPr>
        <w:tc>
          <w:tcPr>
            <w:tcW w:w="9629" w:type="dxa"/>
            <w:shd w:val="clear" w:color="auto" w:fill="auto"/>
          </w:tcPr>
          <w:p w14:paraId="41DEDC4B" w14:textId="77777777" w:rsidR="00BC1CEB" w:rsidRPr="007470B0" w:rsidRDefault="00BC1CEB" w:rsidP="0044772F">
            <w:pPr>
              <w:spacing w:after="120"/>
              <w:ind w:left="1134" w:right="1134"/>
              <w:jc w:val="both"/>
            </w:pPr>
            <w:r w:rsidRPr="007470B0">
              <w:tab/>
            </w:r>
            <w:r w:rsidR="00621BF6">
              <w:tab/>
            </w:r>
            <w:r w:rsidRPr="007470B0">
              <w:t>The work in the World Forum for Harmonization of Vehicle Regulations (WP.29) continued to strengthen vehicle safety and environmental protection</w:t>
            </w:r>
            <w:r>
              <w:t>,</w:t>
            </w:r>
            <w:r w:rsidRPr="007470B0">
              <w:t xml:space="preserve"> resulting in numerous new and amended vehicle regulations and rules under the 1958, 1997 and the 1998 Agreement</w:t>
            </w:r>
            <w:r>
              <w:t>s</w:t>
            </w:r>
            <w:r w:rsidRPr="007470B0">
              <w:t xml:space="preserve">. </w:t>
            </w:r>
          </w:p>
        </w:tc>
      </w:tr>
      <w:tr w:rsidR="00BC1CEB" w:rsidRPr="007470B0" w14:paraId="5502AEFA" w14:textId="77777777" w:rsidTr="00621BF6">
        <w:trPr>
          <w:jc w:val="center"/>
        </w:trPr>
        <w:tc>
          <w:tcPr>
            <w:tcW w:w="9629" w:type="dxa"/>
            <w:shd w:val="clear" w:color="auto" w:fill="auto"/>
          </w:tcPr>
          <w:p w14:paraId="6BAC88A2" w14:textId="77777777" w:rsidR="00BC1CEB" w:rsidRPr="00E34DF4" w:rsidRDefault="00621BF6" w:rsidP="0044772F">
            <w:pPr>
              <w:spacing w:after="120"/>
              <w:ind w:left="1134" w:right="1134"/>
              <w:jc w:val="both"/>
              <w:rPr>
                <w:rFonts w:eastAsia="Times New Roman Bold"/>
                <w:spacing w:val="-2"/>
              </w:rPr>
            </w:pPr>
            <w:r>
              <w:tab/>
            </w:r>
            <w:r w:rsidR="00BC1CEB" w:rsidRPr="007470B0">
              <w:tab/>
            </w:r>
            <w:r w:rsidR="00BC1CEB" w:rsidRPr="00E34DF4">
              <w:rPr>
                <w:spacing w:val="-2"/>
              </w:rPr>
              <w:t>I</w:t>
            </w:r>
            <w:r w:rsidR="00BC1CEB" w:rsidRPr="00E34DF4">
              <w:rPr>
                <w:rFonts w:eastAsia="Calibri"/>
                <w:spacing w:val="-2"/>
                <w:u w:color="000000"/>
              </w:rPr>
              <w:t xml:space="preserve">mportant topics were the establishment of the </w:t>
            </w:r>
            <w:r w:rsidR="00BC1CEB">
              <w:t>Framework Document on Automated/Autonomous Vehicles</w:t>
            </w:r>
            <w:r w:rsidR="00BC1CEB" w:rsidRPr="00E34DF4">
              <w:rPr>
                <w:rFonts w:eastAsia="Calibri"/>
                <w:spacing w:val="-2"/>
                <w:u w:color="000000"/>
              </w:rPr>
              <w:t xml:space="preserve"> </w:t>
            </w:r>
            <w:r w:rsidR="00BC1CEB">
              <w:rPr>
                <w:rFonts w:eastAsia="Calibri"/>
                <w:spacing w:val="-2"/>
                <w:u w:color="000000"/>
              </w:rPr>
              <w:t xml:space="preserve">and its implementation mainly by the </w:t>
            </w:r>
            <w:r w:rsidR="00BC1CEB" w:rsidRPr="00E34DF4">
              <w:rPr>
                <w:rFonts w:eastAsia="Calibri"/>
                <w:spacing w:val="-2"/>
                <w:u w:color="000000"/>
              </w:rPr>
              <w:t xml:space="preserve">Working Party on Autonomous/Automated Vehicles (GRVA), </w:t>
            </w:r>
            <w:r w:rsidR="00BC1CEB" w:rsidRPr="00E34DF4">
              <w:rPr>
                <w:spacing w:val="-2"/>
              </w:rPr>
              <w:t>the Database for the Exchange of Type Approval (DETA) at the United Nations Economic Commission for Europe (ECE), implementation of the 1998 Agreement and Periodic Technical Inspections (PTI) under the 1997 Agreement</w:t>
            </w:r>
            <w:r w:rsidR="00BC1CEB" w:rsidRPr="00E34DF4">
              <w:rPr>
                <w:rFonts w:eastAsia="Calibri"/>
                <w:spacing w:val="-2"/>
                <w:u w:color="000000"/>
              </w:rPr>
              <w:t>.</w:t>
            </w:r>
          </w:p>
        </w:tc>
      </w:tr>
      <w:tr w:rsidR="00BC1CEB" w:rsidRPr="007470B0" w14:paraId="035EAAB9" w14:textId="77777777" w:rsidTr="00621BF6">
        <w:trPr>
          <w:jc w:val="center"/>
        </w:trPr>
        <w:tc>
          <w:tcPr>
            <w:tcW w:w="9629" w:type="dxa"/>
            <w:shd w:val="clear" w:color="auto" w:fill="auto"/>
          </w:tcPr>
          <w:p w14:paraId="62FF9E09" w14:textId="77777777" w:rsidR="00BC1CEB" w:rsidRPr="007470B0" w:rsidRDefault="00621BF6" w:rsidP="0044772F">
            <w:pPr>
              <w:spacing w:after="120"/>
              <w:ind w:left="1134" w:right="1134"/>
              <w:jc w:val="both"/>
              <w:rPr>
                <w:rFonts w:eastAsia="Times New Roman Bold"/>
              </w:rPr>
            </w:pPr>
            <w:r>
              <w:rPr>
                <w:rFonts w:eastAsia="Calibri"/>
                <w:b/>
                <w:u w:color="000000"/>
              </w:rPr>
              <w:tab/>
            </w:r>
            <w:r w:rsidR="00BC1CEB" w:rsidRPr="007470B0">
              <w:rPr>
                <w:rFonts w:eastAsia="Calibri"/>
                <w:b/>
                <w:u w:color="000000"/>
              </w:rPr>
              <w:tab/>
            </w:r>
            <w:r w:rsidR="00BC1CEB" w:rsidRPr="007470B0">
              <w:rPr>
                <w:rFonts w:eastAsia="Calibri"/>
                <w:u w:color="000000"/>
              </w:rPr>
              <w:t>The Inland Transport Committee</w:t>
            </w:r>
            <w:r w:rsidR="00BC1CEB" w:rsidRPr="007470B0">
              <w:rPr>
                <w:rFonts w:eastAsia="Calibri"/>
                <w:b/>
                <w:u w:color="000000"/>
              </w:rPr>
              <w:t xml:space="preserve"> </w:t>
            </w:r>
            <w:r w:rsidR="00BC1CEB" w:rsidRPr="007470B0">
              <w:rPr>
                <w:rFonts w:eastAsia="Calibri"/>
                <w:u w:color="000000"/>
              </w:rPr>
              <w:t>(ITC)</w:t>
            </w:r>
            <w:r w:rsidR="00BC1CEB" w:rsidRPr="007470B0">
              <w:rPr>
                <w:rFonts w:eastAsia="Calibri"/>
                <w:b/>
                <w:u w:color="000000"/>
              </w:rPr>
              <w:t xml:space="preserve"> is invited</w:t>
            </w:r>
            <w:r w:rsidR="00BC1CEB" w:rsidRPr="007470B0">
              <w:rPr>
                <w:rFonts w:eastAsia="Calibri"/>
                <w:u w:color="000000"/>
              </w:rPr>
              <w:t xml:space="preserve"> to: </w:t>
            </w:r>
          </w:p>
        </w:tc>
      </w:tr>
      <w:tr w:rsidR="00BC1CEB" w:rsidRPr="007470B0" w14:paraId="54ABA42A" w14:textId="77777777" w:rsidTr="00621BF6">
        <w:trPr>
          <w:jc w:val="center"/>
        </w:trPr>
        <w:tc>
          <w:tcPr>
            <w:tcW w:w="9629" w:type="dxa"/>
            <w:shd w:val="clear" w:color="auto" w:fill="auto"/>
          </w:tcPr>
          <w:p w14:paraId="61C81A73" w14:textId="77777777" w:rsidR="00BC1CEB" w:rsidRPr="002A2309" w:rsidRDefault="00BC1CEB" w:rsidP="0044772F">
            <w:pPr>
              <w:pStyle w:val="Bullet1G"/>
              <w:rPr>
                <w:rFonts w:eastAsia="Calibri"/>
                <w:b/>
                <w:u w:color="000000"/>
              </w:rPr>
            </w:pPr>
            <w:r w:rsidRPr="002A2309">
              <w:rPr>
                <w:rFonts w:eastAsia="Calibri"/>
                <w:b/>
                <w:u w:color="000000"/>
              </w:rPr>
              <w:t>Endorse</w:t>
            </w:r>
            <w:r w:rsidRPr="002A2309">
              <w:rPr>
                <w:rFonts w:eastAsia="Calibri"/>
                <w:u w:color="000000"/>
              </w:rPr>
              <w:t xml:space="preserve"> the activities listed in this document </w:t>
            </w:r>
          </w:p>
        </w:tc>
      </w:tr>
      <w:tr w:rsidR="00BC1CEB" w:rsidRPr="007470B0" w14:paraId="574F4645" w14:textId="77777777" w:rsidTr="00621BF6">
        <w:trPr>
          <w:jc w:val="center"/>
        </w:trPr>
        <w:tc>
          <w:tcPr>
            <w:tcW w:w="9629" w:type="dxa"/>
            <w:shd w:val="clear" w:color="auto" w:fill="auto"/>
          </w:tcPr>
          <w:p w14:paraId="57C5B8CC" w14:textId="77777777" w:rsidR="00BC1CEB" w:rsidRPr="002A2309" w:rsidRDefault="00BC1CEB" w:rsidP="0044772F">
            <w:pPr>
              <w:pStyle w:val="Bullet1G"/>
              <w:rPr>
                <w:rFonts w:eastAsia="Calibri"/>
                <w:b/>
                <w:u w:color="000000"/>
              </w:rPr>
            </w:pPr>
            <w:r w:rsidRPr="002A2309">
              <w:rPr>
                <w:rFonts w:eastAsia="Calibri"/>
                <w:b/>
                <w:u w:color="000000"/>
              </w:rPr>
              <w:t xml:space="preserve">Endorse </w:t>
            </w:r>
            <w:r w:rsidRPr="002A2309">
              <w:rPr>
                <w:rFonts w:eastAsia="Calibri"/>
                <w:bCs/>
                <w:u w:color="000000"/>
              </w:rPr>
              <w:t xml:space="preserve">the establishment of </w:t>
            </w:r>
            <w:r w:rsidRPr="002A2309">
              <w:t>the Framework Document on Automated/Autonomous Vehicles</w:t>
            </w:r>
            <w:r w:rsidRPr="002A2309">
              <w:rPr>
                <w:rFonts w:eastAsia="Calibri"/>
                <w:bCs/>
                <w:u w:color="000000"/>
              </w:rPr>
              <w:t xml:space="preserve"> and its implementation mainly by the Working Party on Autonomous/Automated Vehicles (GRVA)</w:t>
            </w:r>
          </w:p>
        </w:tc>
      </w:tr>
      <w:tr w:rsidR="00BC1CEB" w:rsidRPr="007470B0" w14:paraId="340F2047" w14:textId="77777777" w:rsidTr="00621BF6">
        <w:trPr>
          <w:jc w:val="center"/>
        </w:trPr>
        <w:tc>
          <w:tcPr>
            <w:tcW w:w="9629" w:type="dxa"/>
            <w:shd w:val="clear" w:color="auto" w:fill="auto"/>
          </w:tcPr>
          <w:p w14:paraId="1747AEF1" w14:textId="77777777" w:rsidR="00BC1CEB" w:rsidRPr="002A2309" w:rsidRDefault="00BC1CEB" w:rsidP="0044772F">
            <w:pPr>
              <w:pStyle w:val="Bullet1G"/>
              <w:rPr>
                <w:rFonts w:eastAsia="Calibri"/>
                <w:b/>
                <w:u w:color="000000"/>
              </w:rPr>
            </w:pPr>
            <w:r w:rsidRPr="002A2309">
              <w:rPr>
                <w:rFonts w:eastAsia="Calibri"/>
                <w:b/>
                <w:u w:color="000000"/>
              </w:rPr>
              <w:t xml:space="preserve">Note </w:t>
            </w:r>
            <w:r w:rsidRPr="002A2309">
              <w:rPr>
                <w:rFonts w:eastAsia="Calibri"/>
                <w:bCs/>
                <w:u w:color="000000"/>
              </w:rPr>
              <w:t>the limitation of the 179th WP.29 session to three days only as reaction on the financial crisis</w:t>
            </w:r>
          </w:p>
        </w:tc>
      </w:tr>
      <w:tr w:rsidR="00BC1CEB" w:rsidRPr="007470B0" w14:paraId="59BBA186" w14:textId="77777777" w:rsidTr="00621BF6">
        <w:trPr>
          <w:jc w:val="center"/>
        </w:trPr>
        <w:tc>
          <w:tcPr>
            <w:tcW w:w="9629" w:type="dxa"/>
            <w:shd w:val="clear" w:color="auto" w:fill="auto"/>
          </w:tcPr>
          <w:p w14:paraId="43561DA2" w14:textId="5B4735A9" w:rsidR="00BC1CEB" w:rsidRPr="002A2309" w:rsidRDefault="00637EED" w:rsidP="00D17307">
            <w:pPr>
              <w:pStyle w:val="Bullet1G"/>
              <w:rPr>
                <w:rFonts w:eastAsia="Calibri"/>
                <w:b/>
                <w:u w:color="000000"/>
              </w:rPr>
            </w:pPr>
            <w:r>
              <w:rPr>
                <w:rFonts w:eastAsia="Calibri"/>
                <w:b/>
                <w:u w:color="000000"/>
              </w:rPr>
              <w:t>Consider</w:t>
            </w:r>
            <w:r w:rsidR="00BC1CEB" w:rsidRPr="00B13ABD">
              <w:rPr>
                <w:rFonts w:eastAsia="Calibri"/>
                <w:b/>
                <w:u w:color="000000"/>
              </w:rPr>
              <w:t xml:space="preserve"> </w:t>
            </w:r>
            <w:r w:rsidR="00BC1CEB" w:rsidRPr="002A2309">
              <w:rPr>
                <w:rFonts w:eastAsia="Calibri"/>
                <w:u w:color="000000"/>
              </w:rPr>
              <w:t xml:space="preserve">hosting DETA at ECE and </w:t>
            </w:r>
            <w:r w:rsidR="00BC1CEB" w:rsidRPr="002A2309">
              <w:rPr>
                <w:rFonts w:eastAsia="Calibri"/>
                <w:bCs/>
                <w:u w:color="000000"/>
              </w:rPr>
              <w:t>request</w:t>
            </w:r>
            <w:r w:rsidR="00BC1CEB" w:rsidRPr="002A2309">
              <w:rPr>
                <w:rFonts w:eastAsia="Calibri"/>
                <w:b/>
                <w:u w:color="000000"/>
              </w:rPr>
              <w:t xml:space="preserve"> </w:t>
            </w:r>
            <w:r w:rsidR="00BC1CEB" w:rsidRPr="002A2309">
              <w:rPr>
                <w:rFonts w:eastAsia="Calibri"/>
                <w:u w:color="000000"/>
              </w:rPr>
              <w:t>financing of DETA</w:t>
            </w:r>
            <w:r w:rsidRPr="00B13ABD">
              <w:rPr>
                <w:rFonts w:eastAsia="Calibri"/>
                <w:u w:color="000000"/>
              </w:rPr>
              <w:t xml:space="preserve"> </w:t>
            </w:r>
            <w:r>
              <w:rPr>
                <w:rFonts w:eastAsia="Calibri"/>
                <w:u w:color="000000"/>
              </w:rPr>
              <w:t>either</w:t>
            </w:r>
            <w:r w:rsidR="00BC1CEB" w:rsidRPr="002A2309">
              <w:rPr>
                <w:rFonts w:eastAsia="Calibri"/>
                <w:b/>
                <w:u w:color="000000"/>
              </w:rPr>
              <w:t xml:space="preserve"> </w:t>
            </w:r>
            <w:r w:rsidR="00BC1CEB" w:rsidRPr="002A2309">
              <w:rPr>
                <w:rFonts w:eastAsia="Calibri"/>
                <w:u w:color="000000"/>
              </w:rPr>
              <w:t xml:space="preserve">under the United Nations </w:t>
            </w:r>
            <w:r w:rsidR="005C29F7">
              <w:rPr>
                <w:rFonts w:eastAsia="Calibri"/>
                <w:u w:color="000000"/>
              </w:rPr>
              <w:t xml:space="preserve">regular </w:t>
            </w:r>
            <w:r w:rsidR="00BC1CEB" w:rsidRPr="002A2309">
              <w:rPr>
                <w:rFonts w:eastAsia="Calibri"/>
                <w:u w:color="000000"/>
              </w:rPr>
              <w:t>budget</w:t>
            </w:r>
            <w:r w:rsidR="005C29F7">
              <w:rPr>
                <w:rFonts w:eastAsia="Calibri"/>
                <w:u w:color="000000"/>
              </w:rPr>
              <w:t xml:space="preserve"> or </w:t>
            </w:r>
            <w:r w:rsidR="00D17307">
              <w:rPr>
                <w:rFonts w:eastAsia="Calibri"/>
                <w:u w:color="000000"/>
              </w:rPr>
              <w:t xml:space="preserve">through </w:t>
            </w:r>
            <w:r w:rsidR="005C29F7">
              <w:rPr>
                <w:rFonts w:eastAsia="Calibri"/>
                <w:u w:color="000000"/>
              </w:rPr>
              <w:t>voluntary contributions from contracting parties</w:t>
            </w:r>
          </w:p>
        </w:tc>
      </w:tr>
      <w:tr w:rsidR="00BC1CEB" w:rsidRPr="007470B0" w14:paraId="72885FC3" w14:textId="77777777" w:rsidTr="00621BF6">
        <w:trPr>
          <w:jc w:val="center"/>
        </w:trPr>
        <w:tc>
          <w:tcPr>
            <w:tcW w:w="9629" w:type="dxa"/>
            <w:shd w:val="clear" w:color="auto" w:fill="auto"/>
          </w:tcPr>
          <w:p w14:paraId="0E306B13" w14:textId="77777777" w:rsidR="00BC1CEB" w:rsidRPr="007470B0" w:rsidRDefault="00BC1CEB" w:rsidP="0044772F">
            <w:pPr>
              <w:rPr>
                <w:rFonts w:eastAsia="Times New Roman Bold"/>
              </w:rPr>
            </w:pPr>
          </w:p>
        </w:tc>
      </w:tr>
    </w:tbl>
    <w:p w14:paraId="74CEADF4" w14:textId="77777777" w:rsidR="00AB1A46" w:rsidRDefault="00AB1A46">
      <w:pPr>
        <w:suppressAutoHyphens w:val="0"/>
        <w:spacing w:line="240" w:lineRule="auto"/>
        <w:rPr>
          <w:b/>
          <w:sz w:val="28"/>
        </w:rPr>
      </w:pPr>
      <w:r>
        <w:br w:type="page"/>
      </w:r>
    </w:p>
    <w:p w14:paraId="37F45C0F" w14:textId="77777777" w:rsidR="00BC1CEB" w:rsidRDefault="00AB1A46" w:rsidP="00BC1CEB">
      <w:pPr>
        <w:pStyle w:val="HChG"/>
        <w:ind w:left="0" w:firstLine="0"/>
      </w:pPr>
      <w:r>
        <w:lastRenderedPageBreak/>
        <w:tab/>
      </w:r>
      <w:r w:rsidR="00BC1CEB" w:rsidRPr="007470B0">
        <w:t>I.</w:t>
      </w:r>
      <w:r w:rsidR="00BC1CEB">
        <w:tab/>
        <w:t>Vehicle automation</w:t>
      </w:r>
    </w:p>
    <w:p w14:paraId="347C6D03" w14:textId="77777777" w:rsidR="00BC1CEB" w:rsidRPr="007470B0" w:rsidRDefault="00BC1CEB" w:rsidP="00BC1CEB">
      <w:pPr>
        <w:pStyle w:val="SingleTxtG"/>
      </w:pPr>
      <w:r>
        <w:t>1</w:t>
      </w:r>
      <w:r w:rsidRPr="007470B0">
        <w:t>.</w:t>
      </w:r>
      <w:r w:rsidRPr="007470B0">
        <w:tab/>
      </w:r>
      <w:r>
        <w:t>F</w:t>
      </w:r>
      <w:r w:rsidRPr="007470B0">
        <w:t xml:space="preserve">ollowing the </w:t>
      </w:r>
      <w:r>
        <w:t>restructuring</w:t>
      </w:r>
      <w:r w:rsidRPr="007470B0">
        <w:t xml:space="preserve"> of WP.29 in June 2018 to</w:t>
      </w:r>
      <w:r>
        <w:t xml:space="preserve"> </w:t>
      </w:r>
      <w:r w:rsidRPr="007470B0">
        <w:t>implement ITC Decision No.19 of 2018</w:t>
      </w:r>
      <w:r>
        <w:t xml:space="preserve"> and the establishment of the Working Party on Automated/Autonomous and Connected Vehicles (GRVA) WP.29 established the Framework Document on Automated/Autonomous Vehicles (ECE/TRANS/WP.29/2019/34/Rev.1)</w:t>
      </w:r>
      <w:r w:rsidRPr="007470B0">
        <w:t xml:space="preserve">. </w:t>
      </w:r>
      <w:r>
        <w:t xml:space="preserve">This document addresses the safety and security of automated vehicles of SAE levels 3 and higher. It fosters the establishment of performance based and technical neutral provisions, which represent state of the art technology but not restricting future innovations. These technical provisions should be drafted in an agreement neutral way and thus providing the basis for regulations under the three agreements serviced by WP.29 or even guidelines. </w:t>
      </w:r>
      <w:r w:rsidRPr="007470B0">
        <w:t xml:space="preserve">The </w:t>
      </w:r>
      <w:r>
        <w:t>Framework Document establishes a safety vision for automated vehicles and contains a list of common principles such as system safety, failsafe response, object event detection and response, operational domain, cyber security, software updates or data storage systems</w:t>
      </w:r>
      <w:r w:rsidRPr="007470B0">
        <w:t>.</w:t>
      </w:r>
      <w:r>
        <w:t xml:space="preserve"> It also identifies priorities and a workplan.</w:t>
      </w:r>
    </w:p>
    <w:p w14:paraId="246EE375" w14:textId="77777777" w:rsidR="00BC1CEB" w:rsidRPr="007470B0" w:rsidRDefault="00BC1CEB" w:rsidP="00BC1CEB">
      <w:pPr>
        <w:pStyle w:val="SingleTxtG"/>
        <w:jc w:val="lowKashida"/>
      </w:pPr>
      <w:r>
        <w:t>2</w:t>
      </w:r>
      <w:r w:rsidRPr="007470B0">
        <w:t>.</w:t>
      </w:r>
      <w:r w:rsidRPr="007470B0">
        <w:tab/>
      </w:r>
      <w:r w:rsidR="00CB6FAD" w:rsidRPr="00FC170D">
        <w:t xml:space="preserve">GRVA established four new Informal Working Groups (IWGs) </w:t>
      </w:r>
      <w:r w:rsidR="00CB6FAD">
        <w:t xml:space="preserve">to </w:t>
      </w:r>
      <w:r w:rsidR="00CB6FAD" w:rsidRPr="00D40A23">
        <w:t xml:space="preserve">implement the framework document, </w:t>
      </w:r>
      <w:r w:rsidR="00CB6FAD">
        <w:t xml:space="preserve">which </w:t>
      </w:r>
      <w:r w:rsidR="00CB6FAD" w:rsidRPr="00D40A23">
        <w:t>report to GRVA but are not serviced by the secretariat</w:t>
      </w:r>
      <w:r>
        <w:t>:</w:t>
      </w:r>
    </w:p>
    <w:p w14:paraId="4D18D166" w14:textId="77777777" w:rsidR="00BC1CEB" w:rsidRPr="007470B0" w:rsidRDefault="00BC1CEB" w:rsidP="00BC1CEB">
      <w:pPr>
        <w:pStyle w:val="SingleTxtG"/>
        <w:ind w:firstLine="567"/>
      </w:pPr>
      <w:r w:rsidRPr="007470B0">
        <w:t>(a)</w:t>
      </w:r>
      <w:r w:rsidRPr="007470B0">
        <w:tab/>
        <w:t xml:space="preserve">Functional requirements for </w:t>
      </w:r>
      <w:r>
        <w:t>automated</w:t>
      </w:r>
      <w:r w:rsidRPr="007470B0">
        <w:t xml:space="preserve"> vehicles;</w:t>
      </w:r>
    </w:p>
    <w:p w14:paraId="4C262459" w14:textId="77777777" w:rsidR="00BC1CEB" w:rsidRPr="007470B0" w:rsidRDefault="00BC1CEB" w:rsidP="00BC1CEB">
      <w:pPr>
        <w:pStyle w:val="SingleTxtG"/>
        <w:ind w:firstLine="567"/>
      </w:pPr>
      <w:r w:rsidRPr="007470B0">
        <w:t>(b)</w:t>
      </w:r>
      <w:r w:rsidRPr="007470B0">
        <w:tab/>
      </w:r>
      <w:r>
        <w:t>Validation methods for automated driving technologies</w:t>
      </w:r>
      <w:r w:rsidRPr="007470B0">
        <w:t>;</w:t>
      </w:r>
    </w:p>
    <w:p w14:paraId="6E4D528E" w14:textId="77777777" w:rsidR="00BC1CEB" w:rsidRPr="007470B0" w:rsidRDefault="00BC1CEB" w:rsidP="00BC1CEB">
      <w:pPr>
        <w:pStyle w:val="SingleTxtG"/>
        <w:ind w:firstLine="567"/>
      </w:pPr>
      <w:r w:rsidRPr="007470B0">
        <w:t>(c)</w:t>
      </w:r>
      <w:r w:rsidRPr="007470B0">
        <w:tab/>
        <w:t>Data Storage System for Automated Driving (DSSAD);</w:t>
      </w:r>
    </w:p>
    <w:p w14:paraId="276504D4" w14:textId="77777777" w:rsidR="00BC1CEB" w:rsidRPr="007470B0" w:rsidRDefault="00BC1CEB" w:rsidP="00BC1CEB">
      <w:pPr>
        <w:pStyle w:val="SingleTxtG"/>
        <w:ind w:firstLine="567"/>
      </w:pPr>
      <w:r w:rsidRPr="007470B0">
        <w:t>(d)</w:t>
      </w:r>
      <w:r w:rsidRPr="007470B0">
        <w:tab/>
        <w:t>Cyber Security</w:t>
      </w:r>
      <w:r>
        <w:t xml:space="preserve"> and </w:t>
      </w:r>
      <w:r w:rsidRPr="007470B0">
        <w:t>Software updates, including Over-the-Air</w:t>
      </w:r>
      <w:r>
        <w:t>.</w:t>
      </w:r>
    </w:p>
    <w:p w14:paraId="6976FA93" w14:textId="77777777" w:rsidR="00BC1CEB" w:rsidRDefault="00BC1CEB" w:rsidP="00BC1CEB">
      <w:pPr>
        <w:pStyle w:val="SingleTxtG"/>
      </w:pPr>
      <w:r>
        <w:t>3</w:t>
      </w:r>
      <w:r w:rsidRPr="007470B0">
        <w:t>.</w:t>
      </w:r>
      <w:r w:rsidRPr="007470B0">
        <w:tab/>
        <w:t>At its 17</w:t>
      </w:r>
      <w:r>
        <w:t>8</w:t>
      </w:r>
      <w:r w:rsidRPr="007470B0">
        <w:t>th session, WP.29 adopted T</w:t>
      </w:r>
      <w:r w:rsidR="00CB6FAD">
        <w:t xml:space="preserve">erms of Reference </w:t>
      </w:r>
      <w:r w:rsidRPr="007470B0">
        <w:t>and R</w:t>
      </w:r>
      <w:r w:rsidR="00CB6FAD">
        <w:t>ules of Procedure</w:t>
      </w:r>
      <w:r>
        <w:t xml:space="preserve"> </w:t>
      </w:r>
      <w:r w:rsidR="00CB6FAD">
        <w:t>for</w:t>
      </w:r>
      <w:r w:rsidR="00CB6FAD" w:rsidRPr="00E32157">
        <w:t xml:space="preserve"> the new </w:t>
      </w:r>
      <w:r>
        <w:t>IWGs</w:t>
      </w:r>
      <w:r w:rsidRPr="007470B0">
        <w:t>.</w:t>
      </w:r>
      <w:r>
        <w:t xml:space="preserve"> WP.29 reacted on the budget issue that had led to the situation that a vacant post following the promotion of its incumbent could not been filled in 2019 by shortening the 179</w:t>
      </w:r>
      <w:r w:rsidRPr="002F44B7">
        <w:t>th</w:t>
      </w:r>
      <w:r>
        <w:t xml:space="preserve"> WP.29 session to three days in total only.</w:t>
      </w:r>
    </w:p>
    <w:p w14:paraId="1477D723" w14:textId="77777777" w:rsidR="00BC1CEB" w:rsidRPr="007470B0" w:rsidRDefault="00BC1CEB" w:rsidP="00645142">
      <w:pPr>
        <w:pStyle w:val="HChG"/>
        <w:rPr>
          <w:sz w:val="20"/>
        </w:rPr>
      </w:pPr>
      <w:r>
        <w:tab/>
      </w:r>
      <w:r w:rsidRPr="007470B0">
        <w:t>I</w:t>
      </w:r>
      <w:r>
        <w:t>I</w:t>
      </w:r>
      <w:r w:rsidRPr="007470B0">
        <w:t>.</w:t>
      </w:r>
      <w:r>
        <w:tab/>
      </w:r>
      <w:r w:rsidRPr="007470B0">
        <w:t xml:space="preserve">1958 </w:t>
      </w:r>
      <w:r w:rsidRPr="00645142">
        <w:t>Agreement</w:t>
      </w:r>
    </w:p>
    <w:p w14:paraId="5485053F" w14:textId="77777777" w:rsidR="00F55D5C" w:rsidRDefault="00BC1CEB" w:rsidP="00F55D5C">
      <w:pPr>
        <w:pStyle w:val="SingleTxtG"/>
      </w:pPr>
      <w:r>
        <w:t>4</w:t>
      </w:r>
      <w:r w:rsidRPr="007470B0">
        <w:t>.</w:t>
      </w:r>
      <w:r w:rsidRPr="007470B0">
        <w:tab/>
      </w:r>
      <w:r>
        <w:t>Four</w:t>
      </w:r>
      <w:r w:rsidRPr="007470B0">
        <w:t xml:space="preserve"> new United Nations vehicle regulations, aimed at improving vehicle safety and environmental performance entered into force in 201</w:t>
      </w:r>
      <w:r>
        <w:t>9</w:t>
      </w:r>
      <w:r w:rsidRPr="007470B0">
        <w:t>:</w:t>
      </w:r>
      <w:r w:rsidR="004C0163">
        <w:t xml:space="preserve"> </w:t>
      </w:r>
    </w:p>
    <w:p w14:paraId="0E27302F" w14:textId="77777777" w:rsidR="00BC1CEB" w:rsidRDefault="00F55D5C" w:rsidP="00F55D5C">
      <w:pPr>
        <w:pStyle w:val="SingleTxtG"/>
        <w:ind w:firstLine="567"/>
      </w:pPr>
      <w:r w:rsidRPr="007470B0">
        <w:t>(a)</w:t>
      </w:r>
      <w:r w:rsidRPr="007470B0">
        <w:tab/>
      </w:r>
      <w:r w:rsidR="00BC1CEB">
        <w:t>T</w:t>
      </w:r>
      <w:r w:rsidR="00BC1CEB" w:rsidRPr="00680396">
        <w:t>he lighting regulations simplification package consisting of three new UN Regulations</w:t>
      </w:r>
      <w:r w:rsidR="00BC1CEB">
        <w:t xml:space="preserve"> </w:t>
      </w:r>
      <w:r w:rsidR="00BC1CEB" w:rsidRPr="00680396">
        <w:t>cover</w:t>
      </w:r>
      <w:r w:rsidR="00BC1CEB">
        <w:t xml:space="preserve">ing </w:t>
      </w:r>
      <w:r w:rsidR="00BC1CEB" w:rsidRPr="00680396">
        <w:t>the prescriptions of twenty-one individual UN Regulations</w:t>
      </w:r>
      <w:r w:rsidR="00ED0BD6">
        <w:t>:</w:t>
      </w:r>
      <w:r w:rsidR="00BC1CEB" w:rsidRPr="00680396">
        <w:t xml:space="preserve"> </w:t>
      </w:r>
    </w:p>
    <w:p w14:paraId="10703CF0" w14:textId="77777777" w:rsidR="00BC1CEB" w:rsidRPr="007470B0" w:rsidRDefault="00BC1CEB" w:rsidP="00F55D5C">
      <w:pPr>
        <w:pStyle w:val="SingleTxtG"/>
        <w:ind w:left="1701" w:firstLine="567"/>
      </w:pPr>
      <w:r w:rsidRPr="007470B0">
        <w:t>(</w:t>
      </w:r>
      <w:r w:rsidR="00F55D5C">
        <w:t>i</w:t>
      </w:r>
      <w:r w:rsidRPr="007470B0">
        <w:t>)</w:t>
      </w:r>
      <w:r w:rsidRPr="007470B0">
        <w:tab/>
        <w:t xml:space="preserve">UN </w:t>
      </w:r>
      <w:r w:rsidRPr="004C0163">
        <w:t>Regulation</w:t>
      </w:r>
      <w:r w:rsidRPr="007470B0">
        <w:t xml:space="preserve"> No. </w:t>
      </w:r>
      <w:r>
        <w:t>148</w:t>
      </w:r>
      <w:r w:rsidRPr="007470B0">
        <w:t xml:space="preserve"> </w:t>
      </w:r>
      <w:r w:rsidRPr="00680396">
        <w:t>on Light Signalling Devices</w:t>
      </w:r>
      <w:r w:rsidRPr="007470B0">
        <w:t>;</w:t>
      </w:r>
    </w:p>
    <w:p w14:paraId="3CDE9010" w14:textId="77777777" w:rsidR="00BC1CEB" w:rsidRPr="007470B0" w:rsidRDefault="004C0163" w:rsidP="00645142">
      <w:pPr>
        <w:pStyle w:val="SingleTxtG"/>
        <w:ind w:left="1701" w:firstLine="567"/>
      </w:pPr>
      <w:r>
        <w:tab/>
      </w:r>
      <w:r w:rsidR="00BC1CEB" w:rsidRPr="007470B0">
        <w:t>(</w:t>
      </w:r>
      <w:r w:rsidR="00F55D5C">
        <w:t>ii</w:t>
      </w:r>
      <w:r w:rsidR="00BC1CEB" w:rsidRPr="007470B0">
        <w:t>)</w:t>
      </w:r>
      <w:r w:rsidR="00BC1CEB" w:rsidRPr="007470B0">
        <w:tab/>
      </w:r>
      <w:r w:rsidR="00BC1CEB" w:rsidRPr="004C0163">
        <w:t>UN</w:t>
      </w:r>
      <w:r w:rsidR="00BC1CEB" w:rsidRPr="007470B0">
        <w:t xml:space="preserve"> Regulation No. 14</w:t>
      </w:r>
      <w:r w:rsidR="00BC1CEB">
        <w:t>9</w:t>
      </w:r>
      <w:r w:rsidR="00BC1CEB" w:rsidRPr="007470B0">
        <w:t xml:space="preserve"> on </w:t>
      </w:r>
      <w:r w:rsidR="00BC1CEB" w:rsidRPr="00680396">
        <w:t>Road Illumination Devices</w:t>
      </w:r>
      <w:r w:rsidR="00BC1CEB" w:rsidRPr="007470B0">
        <w:t>;</w:t>
      </w:r>
    </w:p>
    <w:p w14:paraId="41499D97" w14:textId="77777777" w:rsidR="00BC1CEB" w:rsidRDefault="004C0163" w:rsidP="00645142">
      <w:pPr>
        <w:pStyle w:val="SingleTxtG"/>
        <w:ind w:left="1701" w:firstLine="567"/>
      </w:pPr>
      <w:r>
        <w:tab/>
      </w:r>
      <w:r w:rsidR="00BC1CEB" w:rsidRPr="007470B0">
        <w:t>(</w:t>
      </w:r>
      <w:r w:rsidR="00F55D5C">
        <w:t>iii</w:t>
      </w:r>
      <w:r w:rsidR="00BC1CEB" w:rsidRPr="007470B0">
        <w:t>)</w:t>
      </w:r>
      <w:r w:rsidR="00BC1CEB" w:rsidRPr="007470B0">
        <w:tab/>
        <w:t>UN Regulation No. 1</w:t>
      </w:r>
      <w:r w:rsidR="00BC1CEB">
        <w:t>50</w:t>
      </w:r>
      <w:r w:rsidR="00BC1CEB" w:rsidRPr="007470B0">
        <w:t xml:space="preserve"> on </w:t>
      </w:r>
      <w:r w:rsidR="00CB6FAD" w:rsidRPr="00D40A23">
        <w:t>Retro</w:t>
      </w:r>
      <w:r w:rsidR="00CB6FAD" w:rsidRPr="00FC170D">
        <w:t>-</w:t>
      </w:r>
      <w:r w:rsidR="00CB6FAD">
        <w:t>R</w:t>
      </w:r>
      <w:r w:rsidR="00CB6FAD" w:rsidRPr="00E32157">
        <w:t>eflective</w:t>
      </w:r>
      <w:r w:rsidR="00BC1CEB" w:rsidRPr="00680396">
        <w:t xml:space="preserve"> Devices</w:t>
      </w:r>
      <w:r w:rsidR="00BC1CEB">
        <w:t>;</w:t>
      </w:r>
    </w:p>
    <w:p w14:paraId="402F7349" w14:textId="77777777" w:rsidR="00BC1CEB" w:rsidRPr="007470B0" w:rsidRDefault="00BC1CEB" w:rsidP="004C0163">
      <w:pPr>
        <w:pStyle w:val="SingleTxtG"/>
        <w:ind w:firstLine="567"/>
      </w:pPr>
      <w:r>
        <w:t>(</w:t>
      </w:r>
      <w:r w:rsidR="00F55D5C">
        <w:rPr>
          <w:lang w:val="en-US"/>
        </w:rPr>
        <w:t>b</w:t>
      </w:r>
      <w:r>
        <w:t>)</w:t>
      </w:r>
      <w:r>
        <w:tab/>
      </w:r>
      <w:r w:rsidRPr="00680396">
        <w:t xml:space="preserve">UN Regulation </w:t>
      </w:r>
      <w:r>
        <w:t xml:space="preserve">No. 151 </w:t>
      </w:r>
      <w:r w:rsidRPr="00680396">
        <w:t xml:space="preserve">on </w:t>
      </w:r>
      <w:r w:rsidR="00197FE6" w:rsidRPr="00E32157">
        <w:t>Blind</w:t>
      </w:r>
      <w:r w:rsidR="00197FE6" w:rsidRPr="00FC170D">
        <w:t>-</w:t>
      </w:r>
      <w:r w:rsidR="00197FE6" w:rsidRPr="00E32157">
        <w:t xml:space="preserve">Spot </w:t>
      </w:r>
      <w:r w:rsidRPr="00680396">
        <w:t xml:space="preserve">Information System for the detection of Bicycles </w:t>
      </w:r>
      <w:r>
        <w:t xml:space="preserve">by heavy duty vehicles </w:t>
      </w:r>
      <w:r w:rsidRPr="00680396">
        <w:t>entered into force</w:t>
      </w:r>
      <w:r>
        <w:t xml:space="preserve"> on 15 November 2019</w:t>
      </w:r>
      <w:r w:rsidR="004C0163">
        <w:t>.</w:t>
      </w:r>
    </w:p>
    <w:p w14:paraId="776691A8" w14:textId="77777777" w:rsidR="00BC1CEB" w:rsidRPr="007470B0" w:rsidRDefault="00BC1CEB" w:rsidP="00197FE6">
      <w:pPr>
        <w:pStyle w:val="SingleTxtG"/>
      </w:pPr>
      <w:r>
        <w:t>5</w:t>
      </w:r>
      <w:r w:rsidRPr="007470B0">
        <w:t>.</w:t>
      </w:r>
      <w:r w:rsidRPr="007470B0">
        <w:tab/>
        <w:t xml:space="preserve">WP. 29 adopted </w:t>
      </w:r>
      <w:r>
        <w:t xml:space="preserve">one more </w:t>
      </w:r>
      <w:r w:rsidRPr="007470B0">
        <w:t>new UN Regulation</w:t>
      </w:r>
      <w:r>
        <w:t xml:space="preserve"> in </w:t>
      </w:r>
      <w:r w:rsidRPr="00CD5C58">
        <w:t>201</w:t>
      </w:r>
      <w:r>
        <w:t>9</w:t>
      </w:r>
      <w:r w:rsidRPr="007470B0">
        <w:t>. Existing UN Regulations were updated by 1</w:t>
      </w:r>
      <w:r>
        <w:t>39</w:t>
      </w:r>
      <w:r w:rsidRPr="007470B0">
        <w:t xml:space="preserve"> amendments, </w:t>
      </w:r>
      <w:r>
        <w:t xml:space="preserve">which </w:t>
      </w:r>
      <w:r w:rsidRPr="007470B0">
        <w:t>adapt the regulations to the most recent technological innovations and introduc</w:t>
      </w:r>
      <w:r>
        <w:t>e</w:t>
      </w:r>
      <w:r w:rsidRPr="007470B0">
        <w:t xml:space="preserve"> more stringent limits aimed at increasing both the safety and environmental performance of vehicles. </w:t>
      </w:r>
      <w:r w:rsidR="00197FE6" w:rsidRPr="00D40A23">
        <w:t>UN Regulation No. 152 on Advanced Emergency Braking Systems for M</w:t>
      </w:r>
      <w:r w:rsidR="00197FE6" w:rsidRPr="00D40A23">
        <w:rPr>
          <w:vertAlign w:val="subscript"/>
        </w:rPr>
        <w:t>1</w:t>
      </w:r>
      <w:r w:rsidR="00197FE6" w:rsidRPr="00D40A23">
        <w:t xml:space="preserve"> (cars) and N</w:t>
      </w:r>
      <w:r w:rsidR="00197FE6" w:rsidRPr="00D40A23">
        <w:rPr>
          <w:vertAlign w:val="subscript"/>
        </w:rPr>
        <w:t>1</w:t>
      </w:r>
      <w:r w:rsidR="00197FE6" w:rsidRPr="00D40A23">
        <w:t xml:space="preserve"> (vans) vehicles was adopted at the June 2019 session of WP.29</w:t>
      </w:r>
      <w:r w:rsidR="00197FE6">
        <w:t xml:space="preserve"> and </w:t>
      </w:r>
      <w:r w:rsidR="00197FE6" w:rsidRPr="00FC170D">
        <w:t>enters into force in January 2020</w:t>
      </w:r>
      <w:r w:rsidR="00197FE6">
        <w:t>.</w:t>
      </w:r>
    </w:p>
    <w:p w14:paraId="34EEC794" w14:textId="3B49E41F" w:rsidR="00BC1CEB" w:rsidRPr="007470B0" w:rsidRDefault="00BC1CEB" w:rsidP="00BC1CEB">
      <w:pPr>
        <w:pStyle w:val="SingleTxtG"/>
      </w:pPr>
      <w:r w:rsidRPr="007470B0">
        <w:t>6.</w:t>
      </w:r>
      <w:r w:rsidRPr="007470B0">
        <w:tab/>
        <w:t>As extrabudgetary funding for hosting DETA at ECE could not be secured (Informal document ITC (2018) No. 9</w:t>
      </w:r>
      <w:r w:rsidR="00197FE6">
        <w:t xml:space="preserve">, </w:t>
      </w:r>
      <w:r w:rsidR="00197FE6" w:rsidRPr="007470B0">
        <w:t>para.5</w:t>
      </w:r>
      <w:r w:rsidRPr="007470B0">
        <w:t>), WP.29</w:t>
      </w:r>
      <w:r w:rsidR="00637EED">
        <w:t>,</w:t>
      </w:r>
      <w:r w:rsidRPr="007470B0">
        <w:t xml:space="preserve"> at its 17</w:t>
      </w:r>
      <w:r w:rsidR="00637EED">
        <w:t>4</w:t>
      </w:r>
      <w:r w:rsidRPr="00637EED">
        <w:rPr>
          <w:vertAlign w:val="superscript"/>
        </w:rPr>
        <w:t>th</w:t>
      </w:r>
      <w:r w:rsidR="00637EED">
        <w:t xml:space="preserve"> session,</w:t>
      </w:r>
      <w:r w:rsidRPr="007470B0">
        <w:t xml:space="preserve"> </w:t>
      </w:r>
      <w:r w:rsidR="00637EED" w:rsidRPr="00253A5F">
        <w:t xml:space="preserve">requested the UNECE </w:t>
      </w:r>
      <w:r w:rsidR="00637EED">
        <w:t>s</w:t>
      </w:r>
      <w:r w:rsidR="00637EED" w:rsidRPr="00253A5F">
        <w:t xml:space="preserve">ecretariat to take the necessary steps to request financing </w:t>
      </w:r>
      <w:r w:rsidR="00637EED" w:rsidRPr="00F75BD7">
        <w:t xml:space="preserve">for </w:t>
      </w:r>
      <w:r w:rsidR="00637EED" w:rsidRPr="00253A5F">
        <w:t>the hosting of DETA under regular budget.</w:t>
      </w:r>
      <w:r w:rsidRPr="007470B0">
        <w:t>, and thanked Germany for hosting DETA until 2020 as an in-kind contribution (Informal document ITC (2018) No. 9</w:t>
      </w:r>
      <w:r w:rsidR="00197FE6">
        <w:t xml:space="preserve">, </w:t>
      </w:r>
      <w:r w:rsidR="00197FE6" w:rsidRPr="007470B0">
        <w:t>para.</w:t>
      </w:r>
      <w:r w:rsidR="00197FE6">
        <w:t xml:space="preserve"> </w:t>
      </w:r>
      <w:r w:rsidR="00197FE6" w:rsidRPr="007470B0">
        <w:t>6</w:t>
      </w:r>
      <w:r w:rsidRPr="007470B0">
        <w:t>).</w:t>
      </w:r>
      <w:r w:rsidR="00637EED">
        <w:t xml:space="preserve"> ITC, at its eighty-first session, </w:t>
      </w:r>
      <w:r w:rsidR="00637EED" w:rsidRPr="00637EED">
        <w:t>reiterated its support for hosting the Database for the Exchange of Vehicle Type Approvals (DETA) at ECE; and requested</w:t>
      </w:r>
      <w:r w:rsidR="00637EED" w:rsidRPr="008F6074">
        <w:t xml:space="preserve"> financing of DETA under the United Nations budget</w:t>
      </w:r>
      <w:r w:rsidR="00637EED">
        <w:t xml:space="preserve">. The 2020 UNECE programme budget, subprogramme 2 "Transport", however, does not contain </w:t>
      </w:r>
      <w:r w:rsidR="0001128E">
        <w:t>DETA.</w:t>
      </w:r>
    </w:p>
    <w:p w14:paraId="476B41D2" w14:textId="77777777" w:rsidR="00BC1CEB" w:rsidRPr="007470B0" w:rsidRDefault="00BC1CEB" w:rsidP="00BC1CEB">
      <w:pPr>
        <w:pStyle w:val="SingleTxtG"/>
      </w:pPr>
      <w:r w:rsidRPr="007470B0">
        <w:lastRenderedPageBreak/>
        <w:t>7.</w:t>
      </w:r>
      <w:r w:rsidRPr="007470B0">
        <w:tab/>
        <w:t>At the 17</w:t>
      </w:r>
      <w:r>
        <w:t>7</w:t>
      </w:r>
      <w:r w:rsidRPr="007470B0">
        <w:t xml:space="preserve">th session of WP.29 in </w:t>
      </w:r>
      <w:r>
        <w:t>March</w:t>
      </w:r>
      <w:r w:rsidRPr="007470B0">
        <w:t xml:space="preserve"> 201</w:t>
      </w:r>
      <w:r>
        <w:t>9</w:t>
      </w:r>
      <w:r w:rsidRPr="007470B0">
        <w:t xml:space="preserve">, the International Motor Vehicle Inspection Committee </w:t>
      </w:r>
      <w:r>
        <w:t>reconfirmed</w:t>
      </w:r>
      <w:r w:rsidRPr="007470B0">
        <w:t xml:space="preserve"> its </w:t>
      </w:r>
      <w:r>
        <w:t>readi</w:t>
      </w:r>
      <w:r w:rsidRPr="007470B0">
        <w:t>ness to finance the development of the module for Declaration of Conformity. The industry associations: International Organization of Motor Vehicle Manufacturers, the European Association of Automotive Suppliers and the European Tyre and Rim Technical Organization confirmed their intention to finance the module for the Unique Identifier</w:t>
      </w:r>
      <w:r>
        <w:t>.</w:t>
      </w:r>
      <w:r w:rsidRPr="007470B0">
        <w:t xml:space="preserve"> </w:t>
      </w:r>
    </w:p>
    <w:p w14:paraId="78C8F2F2" w14:textId="77777777" w:rsidR="00BC1CEB" w:rsidRPr="007470B0" w:rsidRDefault="00BC1CEB" w:rsidP="00BC1CEB">
      <w:pPr>
        <w:pStyle w:val="HChG"/>
        <w:rPr>
          <w:szCs w:val="24"/>
        </w:rPr>
      </w:pPr>
      <w:r w:rsidRPr="007470B0">
        <w:tab/>
        <w:t>II</w:t>
      </w:r>
      <w:r>
        <w:t>I</w:t>
      </w:r>
      <w:r w:rsidRPr="007470B0">
        <w:t>.</w:t>
      </w:r>
      <w:r w:rsidRPr="007470B0">
        <w:tab/>
        <w:t>1997 Agreement</w:t>
      </w:r>
    </w:p>
    <w:p w14:paraId="501D3010" w14:textId="77777777" w:rsidR="00BC1CEB" w:rsidRPr="00680396" w:rsidRDefault="00BC1CEB" w:rsidP="00BC1CEB">
      <w:pPr>
        <w:pStyle w:val="SingleTxtG"/>
      </w:pPr>
      <w:r w:rsidRPr="007470B0">
        <w:t>8.</w:t>
      </w:r>
      <w:r w:rsidRPr="007470B0">
        <w:tab/>
      </w:r>
      <w:r>
        <w:t>On 13 November 2019, the p</w:t>
      </w:r>
      <w:r w:rsidRPr="007470B0">
        <w:t>ropos</w:t>
      </w:r>
      <w:r>
        <w:t>ed</w:t>
      </w:r>
      <w:r w:rsidRPr="007470B0">
        <w:t xml:space="preserve"> amendments to the 1997 Agreement </w:t>
      </w:r>
      <w:r>
        <w:t>entered into force</w:t>
      </w:r>
      <w:r w:rsidRPr="007470B0">
        <w:t xml:space="preserve"> introducing </w:t>
      </w:r>
      <w:r>
        <w:t>new</w:t>
      </w:r>
      <w:r w:rsidRPr="007470B0">
        <w:t xml:space="preserve"> definitions, the possibility for electronic international inspection certificates and provisions on the conformity of periodic technical inspections</w:t>
      </w:r>
      <w:r w:rsidRPr="00DE7E06">
        <w:t>.</w:t>
      </w:r>
      <w:r>
        <w:t xml:space="preserve"> </w:t>
      </w:r>
      <w:r w:rsidRPr="00680396">
        <w:t>This amendment not only enhance</w:t>
      </w:r>
      <w:r>
        <w:t>s</w:t>
      </w:r>
      <w:r w:rsidRPr="00680396">
        <w:t xml:space="preserve"> clarity of the provisions by adding further definitions, but it also provides for an enhanced level of quality based on the requirements of the new appendix 3 on conformity of the periodical technical inspection process.</w:t>
      </w:r>
    </w:p>
    <w:p w14:paraId="0AC9C349" w14:textId="77777777" w:rsidR="00BC1CEB" w:rsidRDefault="00BC1CEB" w:rsidP="00BC1CEB">
      <w:pPr>
        <w:pStyle w:val="SingleTxtG"/>
      </w:pPr>
      <w:r>
        <w:t>9</w:t>
      </w:r>
      <w:r w:rsidRPr="007470B0">
        <w:t>.</w:t>
      </w:r>
      <w:r w:rsidRPr="007470B0">
        <w:tab/>
        <w:t>Two new UN Rules annexed to the 1997 Agreement</w:t>
      </w:r>
      <w:r>
        <w:t xml:space="preserve"> entered into force on 10 June 2019</w:t>
      </w:r>
      <w:r w:rsidRPr="007470B0">
        <w:t>.</w:t>
      </w:r>
    </w:p>
    <w:p w14:paraId="79558974" w14:textId="1CC14DB6" w:rsidR="00BC1CEB" w:rsidRDefault="004C0163" w:rsidP="00BC1CEB">
      <w:pPr>
        <w:pStyle w:val="SingleTxtG"/>
      </w:pPr>
      <w:r>
        <w:tab/>
      </w:r>
      <w:r>
        <w:tab/>
      </w:r>
      <w:r w:rsidR="00BC1CEB">
        <w:t>(a)</w:t>
      </w:r>
      <w:r w:rsidR="00BC1CEB">
        <w:tab/>
      </w:r>
      <w:r w:rsidR="00BC1CEB" w:rsidRPr="007470B0">
        <w:t>UN Rule No.</w:t>
      </w:r>
      <w:r w:rsidR="00963E03">
        <w:t xml:space="preserve"> </w:t>
      </w:r>
      <w:r w:rsidR="00BC1CEB" w:rsidRPr="007470B0">
        <w:t xml:space="preserve">3 sets out uniform provisions for Periodical Technical Inspections of motor vehicles using Compressed Natural Gas (CNG), Liquified Petroleum Gas (LPG) and/or Liquified Natural Gas (LNG) in their propulsion system </w:t>
      </w:r>
      <w:proofErr w:type="gramStart"/>
      <w:r w:rsidR="00BC1CEB" w:rsidRPr="007470B0">
        <w:t>with regard to</w:t>
      </w:r>
      <w:proofErr w:type="gramEnd"/>
      <w:r w:rsidR="00BC1CEB" w:rsidRPr="007470B0">
        <w:t xml:space="preserve"> their roadworthiness</w:t>
      </w:r>
      <w:r w:rsidR="00197FE6">
        <w:t>;</w:t>
      </w:r>
      <w:r w:rsidR="00BC1CEB" w:rsidRPr="007470B0">
        <w:t xml:space="preserve"> </w:t>
      </w:r>
    </w:p>
    <w:p w14:paraId="61872159" w14:textId="50DB0C75" w:rsidR="00BC1CEB" w:rsidRPr="007470B0" w:rsidRDefault="00BC1CEB" w:rsidP="004C0163">
      <w:pPr>
        <w:pStyle w:val="SingleTxtG"/>
        <w:ind w:firstLine="567"/>
      </w:pPr>
      <w:r>
        <w:t>(b)</w:t>
      </w:r>
      <w:r>
        <w:tab/>
      </w:r>
      <w:r w:rsidRPr="007470B0">
        <w:t>UN Rule No.</w:t>
      </w:r>
      <w:r w:rsidR="00963E03">
        <w:t xml:space="preserve"> </w:t>
      </w:r>
      <w:r w:rsidRPr="007470B0">
        <w:t xml:space="preserve">4 establishes uniform provisions for periodical technical inspections of motor vehicles with electric and hybrid-electric propulsion systems </w:t>
      </w:r>
      <w:proofErr w:type="gramStart"/>
      <w:r w:rsidRPr="007470B0">
        <w:t>with regard to</w:t>
      </w:r>
      <w:proofErr w:type="gramEnd"/>
      <w:r w:rsidRPr="007470B0">
        <w:t xml:space="preserve"> their roadworthiness. </w:t>
      </w:r>
    </w:p>
    <w:p w14:paraId="18173710" w14:textId="77777777" w:rsidR="00BC1CEB" w:rsidRPr="007470B0" w:rsidRDefault="00BC1CEB" w:rsidP="00BC1CEB">
      <w:pPr>
        <w:pStyle w:val="HChG"/>
        <w:rPr>
          <w:szCs w:val="24"/>
        </w:rPr>
      </w:pPr>
      <w:r w:rsidRPr="007470B0">
        <w:tab/>
        <w:t>I</w:t>
      </w:r>
      <w:r>
        <w:t>V</w:t>
      </w:r>
      <w:r w:rsidRPr="007470B0">
        <w:t>.</w:t>
      </w:r>
      <w:r w:rsidRPr="007470B0">
        <w:tab/>
        <w:t>1998 Agreement</w:t>
      </w:r>
    </w:p>
    <w:p w14:paraId="4DA83196" w14:textId="77777777" w:rsidR="00BC1CEB" w:rsidRPr="007470B0" w:rsidRDefault="00BC1CEB" w:rsidP="00BC1CEB">
      <w:pPr>
        <w:pStyle w:val="SingleTxtG"/>
      </w:pPr>
      <w:r w:rsidRPr="007470B0">
        <w:t>1</w:t>
      </w:r>
      <w:r>
        <w:t>0</w:t>
      </w:r>
      <w:r w:rsidRPr="007470B0">
        <w:t>.</w:t>
      </w:r>
      <w:r w:rsidRPr="007470B0">
        <w:tab/>
      </w:r>
      <w:r w:rsidR="00197FE6" w:rsidRPr="00D40A23">
        <w:t xml:space="preserve">In 2018, WP.29 concluded several years of work on five amendments to Global Technical Regulations (UN GTRs): No. 2 </w:t>
      </w:r>
      <w:r w:rsidRPr="00680396">
        <w:t>(Measurement procedure for tw</w:t>
      </w:r>
      <w:bookmarkStart w:id="0" w:name="_GoBack"/>
      <w:bookmarkEnd w:id="0"/>
      <w:r w:rsidRPr="00680396">
        <w:t>o-wheeled motorcycles equipped with a positive or compression ignition engine with regard to the emission of gaseous pollutants, CO</w:t>
      </w:r>
      <w:r w:rsidRPr="00B13ABD">
        <w:rPr>
          <w:vertAlign w:val="subscript"/>
        </w:rPr>
        <w:t>2</w:t>
      </w:r>
      <w:r w:rsidRPr="00680396">
        <w:t xml:space="preserve"> emissions and fuel consumption), No. 15 (Worldwide harmonized Light vehicle Test Procedure) and to No. 19 (Evaporate Emission Test Worldwide harmonized Light Duty Test Procedure).</w:t>
      </w:r>
    </w:p>
    <w:p w14:paraId="488319FD" w14:textId="77777777" w:rsidR="00BC1CEB" w:rsidRPr="007470B0" w:rsidRDefault="00BC1CEB" w:rsidP="00BC1CEB">
      <w:pPr>
        <w:pStyle w:val="SingleTxtG"/>
        <w:rPr>
          <w:highlight w:val="yellow"/>
        </w:rPr>
      </w:pPr>
      <w:r w:rsidRPr="00CF5593">
        <w:t>1</w:t>
      </w:r>
      <w:r>
        <w:t>1</w:t>
      </w:r>
      <w:r w:rsidRPr="007470B0">
        <w:t>.</w:t>
      </w:r>
      <w:r w:rsidRPr="007470B0">
        <w:tab/>
        <w:t xml:space="preserve">In </w:t>
      </w:r>
      <w:r>
        <w:t>March</w:t>
      </w:r>
      <w:r w:rsidRPr="007470B0">
        <w:t xml:space="preserve"> 201</w:t>
      </w:r>
      <w:r>
        <w:t>9</w:t>
      </w:r>
      <w:r w:rsidRPr="007470B0">
        <w:t xml:space="preserve"> the development of a new UN GTR on </w:t>
      </w:r>
      <w:r>
        <w:t>the Determination of Electrified Vehicle Power (DEVP)</w:t>
      </w:r>
      <w:r w:rsidRPr="007470B0">
        <w:t xml:space="preserve"> was initiated. The new UN GTR, that is expected to be adopted by 2020, will centralize expertise and resources for </w:t>
      </w:r>
      <w:r>
        <w:t>determining powertrain performance specifically for electrified vehicles</w:t>
      </w:r>
      <w:r w:rsidRPr="007470B0">
        <w:t>.</w:t>
      </w:r>
    </w:p>
    <w:p w14:paraId="6888D839" w14:textId="77777777" w:rsidR="00BC1CEB" w:rsidRPr="007470B0" w:rsidRDefault="00BC1CEB" w:rsidP="00BC1CEB">
      <w:pPr>
        <w:pStyle w:val="HChG"/>
      </w:pPr>
      <w:r w:rsidRPr="007470B0">
        <w:tab/>
      </w:r>
      <w:r w:rsidRPr="00F34069">
        <w:t>V.</w:t>
      </w:r>
      <w:r w:rsidRPr="00F34069">
        <w:tab/>
      </w:r>
      <w:r w:rsidRPr="00872C87">
        <w:t>Link</w:t>
      </w:r>
      <w:r w:rsidRPr="007470B0">
        <w:t xml:space="preserve"> with the </w:t>
      </w:r>
      <w:r w:rsidRPr="00CF5593">
        <w:t>2030</w:t>
      </w:r>
      <w:r w:rsidRPr="007470B0">
        <w:t xml:space="preserve"> Agenda for Sustainable Development</w:t>
      </w:r>
    </w:p>
    <w:p w14:paraId="64DBF053" w14:textId="77777777" w:rsidR="00250503" w:rsidRDefault="00BC1CEB" w:rsidP="00BC1CEB">
      <w:pPr>
        <w:pStyle w:val="SingleTxtG"/>
      </w:pPr>
      <w:r w:rsidRPr="007470B0">
        <w:t>1</w:t>
      </w:r>
      <w:r>
        <w:t>2</w:t>
      </w:r>
      <w:r w:rsidRPr="007470B0">
        <w:t>.</w:t>
      </w:r>
      <w:r w:rsidRPr="007470B0">
        <w:tab/>
        <w:t xml:space="preserve">Accession to United Nations vehicle agreements and adherence to annexed UN Regulations, Rules and </w:t>
      </w:r>
      <w:r>
        <w:t>GTR</w:t>
      </w:r>
      <w:r w:rsidRPr="007470B0">
        <w:t>s can contribute to progress in achieving targets 3.6, 3.9, 7.3, 9.1, 11.2 and 13.2 of the Sustainable Development Goals.</w:t>
      </w:r>
    </w:p>
    <w:p w14:paraId="649F9663" w14:textId="77777777" w:rsidR="004C0163" w:rsidRPr="004C0163" w:rsidRDefault="004C0163" w:rsidP="004C0163">
      <w:pPr>
        <w:spacing w:before="240"/>
        <w:jc w:val="center"/>
        <w:rPr>
          <w:u w:val="single"/>
        </w:rPr>
      </w:pPr>
      <w:r>
        <w:rPr>
          <w:u w:val="single"/>
        </w:rPr>
        <w:tab/>
      </w:r>
      <w:r>
        <w:rPr>
          <w:u w:val="single"/>
        </w:rPr>
        <w:tab/>
      </w:r>
      <w:r>
        <w:rPr>
          <w:u w:val="single"/>
        </w:rPr>
        <w:tab/>
      </w:r>
    </w:p>
    <w:sectPr w:rsidR="004C0163" w:rsidRPr="004C0163" w:rsidSect="00954785">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91CE" w14:textId="77777777" w:rsidR="00064091" w:rsidRDefault="00064091"/>
  </w:endnote>
  <w:endnote w:type="continuationSeparator" w:id="0">
    <w:p w14:paraId="4D0DA340" w14:textId="77777777" w:rsidR="00064091" w:rsidRDefault="00064091"/>
  </w:endnote>
  <w:endnote w:type="continuationNotice" w:id="1">
    <w:p w14:paraId="74CA0EDF" w14:textId="77777777" w:rsidR="00064091" w:rsidRDefault="00064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CC98"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028C"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06CC" w14:textId="77777777" w:rsidR="00064091" w:rsidRPr="000B175B" w:rsidRDefault="00064091" w:rsidP="000B175B">
      <w:pPr>
        <w:tabs>
          <w:tab w:val="right" w:pos="2155"/>
        </w:tabs>
        <w:spacing w:after="80"/>
        <w:ind w:left="680"/>
        <w:rPr>
          <w:u w:val="single"/>
        </w:rPr>
      </w:pPr>
      <w:r>
        <w:rPr>
          <w:u w:val="single"/>
        </w:rPr>
        <w:tab/>
      </w:r>
    </w:p>
  </w:footnote>
  <w:footnote w:type="continuationSeparator" w:id="0">
    <w:p w14:paraId="099A559C" w14:textId="77777777" w:rsidR="00064091" w:rsidRPr="00FC68B7" w:rsidRDefault="00064091" w:rsidP="00FC68B7">
      <w:pPr>
        <w:tabs>
          <w:tab w:val="left" w:pos="2155"/>
        </w:tabs>
        <w:spacing w:after="80"/>
        <w:ind w:left="680"/>
        <w:rPr>
          <w:u w:val="single"/>
        </w:rPr>
      </w:pPr>
      <w:r>
        <w:rPr>
          <w:u w:val="single"/>
        </w:rPr>
        <w:tab/>
      </w:r>
    </w:p>
  </w:footnote>
  <w:footnote w:type="continuationNotice" w:id="1">
    <w:p w14:paraId="373ECE0C" w14:textId="77777777" w:rsidR="00064091" w:rsidRDefault="00064091"/>
  </w:footnote>
  <w:footnote w:id="2">
    <w:p w14:paraId="595945EE" w14:textId="77777777" w:rsidR="00887276" w:rsidRPr="00887276" w:rsidRDefault="00887276">
      <w:pPr>
        <w:pStyle w:val="FootnoteText"/>
        <w:rPr>
          <w:lang w:val="en-US"/>
        </w:rPr>
      </w:pPr>
      <w:r>
        <w:rPr>
          <w:rStyle w:val="FootnoteReference"/>
        </w:rPr>
        <w:tab/>
      </w:r>
      <w:r w:rsidRPr="00887276">
        <w:rPr>
          <w:rStyle w:val="FootnoteReference"/>
          <w:sz w:val="20"/>
          <w:vertAlign w:val="baseline"/>
        </w:rPr>
        <w:t>*</w:t>
      </w:r>
      <w:r>
        <w:rPr>
          <w:rStyle w:val="FootnoteReference"/>
          <w:sz w:val="20"/>
          <w:vertAlign w:val="baseline"/>
        </w:rPr>
        <w:tab/>
      </w:r>
      <w:r w:rsidRPr="00887276">
        <w:rPr>
          <w:sz w:val="20"/>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9FDD" w14:textId="127CCDBA" w:rsidR="00954785" w:rsidRPr="00954785" w:rsidRDefault="00963E03">
    <w:pPr>
      <w:pStyle w:val="Header"/>
    </w:pPr>
    <w:fldSimple w:instr=" TITLE  \* MERGEFORMAT ">
      <w:r w:rsidR="00D17307">
        <w:t>ECE/TRANS/2020/13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F1EA" w14:textId="17BD8800" w:rsidR="00954785" w:rsidRPr="00954785" w:rsidRDefault="00963E03" w:rsidP="00954785">
    <w:pPr>
      <w:pStyle w:val="Header"/>
      <w:jc w:val="right"/>
    </w:pPr>
    <w:fldSimple w:instr=" TITLE  \* MERGEFORMAT ">
      <w:r w:rsidR="00D17307">
        <w:t>ECE/TRANS/2020/13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128E"/>
    <w:rsid w:val="00027624"/>
    <w:rsid w:val="00050F6B"/>
    <w:rsid w:val="00064091"/>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97FE6"/>
    <w:rsid w:val="001A0452"/>
    <w:rsid w:val="001B4B04"/>
    <w:rsid w:val="001B5875"/>
    <w:rsid w:val="001C4B9C"/>
    <w:rsid w:val="001C6663"/>
    <w:rsid w:val="001C7895"/>
    <w:rsid w:val="001D26DF"/>
    <w:rsid w:val="001F1599"/>
    <w:rsid w:val="001F19C4"/>
    <w:rsid w:val="002043F0"/>
    <w:rsid w:val="00211E0B"/>
    <w:rsid w:val="00232575"/>
    <w:rsid w:val="00247258"/>
    <w:rsid w:val="00250503"/>
    <w:rsid w:val="00257CAC"/>
    <w:rsid w:val="0027237A"/>
    <w:rsid w:val="00290AB1"/>
    <w:rsid w:val="00295C35"/>
    <w:rsid w:val="002974E9"/>
    <w:rsid w:val="002A7F94"/>
    <w:rsid w:val="002B109A"/>
    <w:rsid w:val="002C6D45"/>
    <w:rsid w:val="002D6E53"/>
    <w:rsid w:val="002F046D"/>
    <w:rsid w:val="002F3023"/>
    <w:rsid w:val="00301764"/>
    <w:rsid w:val="00316872"/>
    <w:rsid w:val="003229D8"/>
    <w:rsid w:val="00336C97"/>
    <w:rsid w:val="00337F88"/>
    <w:rsid w:val="00342432"/>
    <w:rsid w:val="0034743B"/>
    <w:rsid w:val="0035223F"/>
    <w:rsid w:val="00352D4B"/>
    <w:rsid w:val="0035638C"/>
    <w:rsid w:val="00392DB6"/>
    <w:rsid w:val="003A46BB"/>
    <w:rsid w:val="003A4EC7"/>
    <w:rsid w:val="003A7295"/>
    <w:rsid w:val="003B1F60"/>
    <w:rsid w:val="003C2CC4"/>
    <w:rsid w:val="003C359D"/>
    <w:rsid w:val="003D1382"/>
    <w:rsid w:val="003D4B23"/>
    <w:rsid w:val="003E278A"/>
    <w:rsid w:val="00413520"/>
    <w:rsid w:val="004245FF"/>
    <w:rsid w:val="004325CB"/>
    <w:rsid w:val="00440A07"/>
    <w:rsid w:val="00462880"/>
    <w:rsid w:val="00476F24"/>
    <w:rsid w:val="004923A8"/>
    <w:rsid w:val="004C0163"/>
    <w:rsid w:val="004C55B0"/>
    <w:rsid w:val="004F6BA0"/>
    <w:rsid w:val="00503BEA"/>
    <w:rsid w:val="00533616"/>
    <w:rsid w:val="00535ABA"/>
    <w:rsid w:val="0053768B"/>
    <w:rsid w:val="005420F2"/>
    <w:rsid w:val="0054285C"/>
    <w:rsid w:val="00584173"/>
    <w:rsid w:val="00595520"/>
    <w:rsid w:val="005A44B9"/>
    <w:rsid w:val="005B1BA0"/>
    <w:rsid w:val="005B3DB3"/>
    <w:rsid w:val="005C29F7"/>
    <w:rsid w:val="005D15CA"/>
    <w:rsid w:val="005E416D"/>
    <w:rsid w:val="005F08DF"/>
    <w:rsid w:val="005F3066"/>
    <w:rsid w:val="005F3E61"/>
    <w:rsid w:val="00604DDD"/>
    <w:rsid w:val="006115CC"/>
    <w:rsid w:val="00611FC4"/>
    <w:rsid w:val="006176FB"/>
    <w:rsid w:val="00620F69"/>
    <w:rsid w:val="00621BF6"/>
    <w:rsid w:val="00626881"/>
    <w:rsid w:val="00630FCB"/>
    <w:rsid w:val="00637EED"/>
    <w:rsid w:val="00640B26"/>
    <w:rsid w:val="00645142"/>
    <w:rsid w:val="0065766B"/>
    <w:rsid w:val="006770B2"/>
    <w:rsid w:val="00686A48"/>
    <w:rsid w:val="006940E1"/>
    <w:rsid w:val="006A3C72"/>
    <w:rsid w:val="006A7392"/>
    <w:rsid w:val="006A745A"/>
    <w:rsid w:val="006B03A1"/>
    <w:rsid w:val="006B67D9"/>
    <w:rsid w:val="006C5535"/>
    <w:rsid w:val="006D0589"/>
    <w:rsid w:val="006E564B"/>
    <w:rsid w:val="006E7154"/>
    <w:rsid w:val="007003CD"/>
    <w:rsid w:val="0070701E"/>
    <w:rsid w:val="0072632A"/>
    <w:rsid w:val="007358E8"/>
    <w:rsid w:val="00736ECE"/>
    <w:rsid w:val="0074533B"/>
    <w:rsid w:val="007547EE"/>
    <w:rsid w:val="007643BC"/>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276"/>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02A89"/>
    <w:rsid w:val="00926E47"/>
    <w:rsid w:val="00943748"/>
    <w:rsid w:val="00947162"/>
    <w:rsid w:val="00954785"/>
    <w:rsid w:val="009610D0"/>
    <w:rsid w:val="0096375C"/>
    <w:rsid w:val="00963E03"/>
    <w:rsid w:val="009662E6"/>
    <w:rsid w:val="0097095E"/>
    <w:rsid w:val="00970DC5"/>
    <w:rsid w:val="0098592B"/>
    <w:rsid w:val="00985FC4"/>
    <w:rsid w:val="00990766"/>
    <w:rsid w:val="00991261"/>
    <w:rsid w:val="009964C4"/>
    <w:rsid w:val="009A0761"/>
    <w:rsid w:val="009A7B81"/>
    <w:rsid w:val="009D01C0"/>
    <w:rsid w:val="009D0877"/>
    <w:rsid w:val="009D6A08"/>
    <w:rsid w:val="009E0A16"/>
    <w:rsid w:val="009E6CB7"/>
    <w:rsid w:val="009E7970"/>
    <w:rsid w:val="009F2EAC"/>
    <w:rsid w:val="009F57E3"/>
    <w:rsid w:val="00A10F4F"/>
    <w:rsid w:val="00A11067"/>
    <w:rsid w:val="00A158A7"/>
    <w:rsid w:val="00A1704A"/>
    <w:rsid w:val="00A21B55"/>
    <w:rsid w:val="00A425EB"/>
    <w:rsid w:val="00A72F22"/>
    <w:rsid w:val="00A733BC"/>
    <w:rsid w:val="00A748A6"/>
    <w:rsid w:val="00A76A69"/>
    <w:rsid w:val="00A879A4"/>
    <w:rsid w:val="00AA0FF8"/>
    <w:rsid w:val="00AB1A46"/>
    <w:rsid w:val="00AC0F2C"/>
    <w:rsid w:val="00AC502A"/>
    <w:rsid w:val="00AF1494"/>
    <w:rsid w:val="00AF58C1"/>
    <w:rsid w:val="00B04A3F"/>
    <w:rsid w:val="00B06643"/>
    <w:rsid w:val="00B13ABD"/>
    <w:rsid w:val="00B15055"/>
    <w:rsid w:val="00B20551"/>
    <w:rsid w:val="00B30179"/>
    <w:rsid w:val="00B33FC7"/>
    <w:rsid w:val="00B37B15"/>
    <w:rsid w:val="00B45C02"/>
    <w:rsid w:val="00B70B63"/>
    <w:rsid w:val="00B72A1E"/>
    <w:rsid w:val="00B81E12"/>
    <w:rsid w:val="00BA339B"/>
    <w:rsid w:val="00BB23CC"/>
    <w:rsid w:val="00BC196F"/>
    <w:rsid w:val="00BC1CE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745F"/>
    <w:rsid w:val="00C745C3"/>
    <w:rsid w:val="00C978F5"/>
    <w:rsid w:val="00CA24A4"/>
    <w:rsid w:val="00CB0EAD"/>
    <w:rsid w:val="00CB348D"/>
    <w:rsid w:val="00CB42AE"/>
    <w:rsid w:val="00CB6FAD"/>
    <w:rsid w:val="00CD3488"/>
    <w:rsid w:val="00CD46F5"/>
    <w:rsid w:val="00CD498C"/>
    <w:rsid w:val="00CE4A8F"/>
    <w:rsid w:val="00CF071D"/>
    <w:rsid w:val="00CF331B"/>
    <w:rsid w:val="00D0123D"/>
    <w:rsid w:val="00D15B04"/>
    <w:rsid w:val="00D17307"/>
    <w:rsid w:val="00D2031B"/>
    <w:rsid w:val="00D25C00"/>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1BD6"/>
    <w:rsid w:val="00E423C0"/>
    <w:rsid w:val="00E6414C"/>
    <w:rsid w:val="00E7260F"/>
    <w:rsid w:val="00E8702D"/>
    <w:rsid w:val="00E905F4"/>
    <w:rsid w:val="00E916A9"/>
    <w:rsid w:val="00E916DE"/>
    <w:rsid w:val="00E925AD"/>
    <w:rsid w:val="00E96630"/>
    <w:rsid w:val="00ED0BD6"/>
    <w:rsid w:val="00ED18DC"/>
    <w:rsid w:val="00ED6201"/>
    <w:rsid w:val="00ED7A2A"/>
    <w:rsid w:val="00EF1D7F"/>
    <w:rsid w:val="00F0137E"/>
    <w:rsid w:val="00F01CD2"/>
    <w:rsid w:val="00F21786"/>
    <w:rsid w:val="00F3742B"/>
    <w:rsid w:val="00F41FDB"/>
    <w:rsid w:val="00F55D5C"/>
    <w:rsid w:val="00F56D63"/>
    <w:rsid w:val="00F609A9"/>
    <w:rsid w:val="00F80C99"/>
    <w:rsid w:val="00F867EC"/>
    <w:rsid w:val="00F91B2B"/>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42D7"/>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BC1CEB"/>
    <w:rPr>
      <w:lang w:val="en-GB"/>
    </w:rPr>
  </w:style>
  <w:style w:type="paragraph" w:styleId="Revision">
    <w:name w:val="Revision"/>
    <w:hidden/>
    <w:uiPriority w:val="99"/>
    <w:semiHidden/>
    <w:rsid w:val="000640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TRANS_E.dotm</Template>
  <TotalTime>1</TotalTime>
  <Pages>3</Pages>
  <Words>1179</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ECE/TRANS/2020/13</vt:lpstr>
      <vt:lpstr/>
    </vt:vector>
  </TitlesOfParts>
  <Company>CSD</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ECE/TRANS/2020/13</dc:title>
  <dc:creator>Anastasia Barinova</dc:creator>
  <cp:lastModifiedBy>Anastasia Barinova</cp:lastModifiedBy>
  <cp:revision>2</cp:revision>
  <cp:lastPrinted>2019-12-19T15:05:00Z</cp:lastPrinted>
  <dcterms:created xsi:type="dcterms:W3CDTF">2019-12-20T08:39:00Z</dcterms:created>
  <dcterms:modified xsi:type="dcterms:W3CDTF">2019-12-20T08:39:00Z</dcterms:modified>
</cp:coreProperties>
</file>