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61425" w:rsidRPr="00FF658F" w:rsidTr="00025530">
        <w:trPr>
          <w:cantSplit/>
          <w:trHeight w:hRule="exact" w:val="851"/>
        </w:trPr>
        <w:tc>
          <w:tcPr>
            <w:tcW w:w="1276" w:type="dxa"/>
            <w:tcBorders>
              <w:bottom w:val="single" w:sz="4" w:space="0" w:color="auto"/>
            </w:tcBorders>
            <w:vAlign w:val="bottom"/>
          </w:tcPr>
          <w:p w:rsidR="00C61425" w:rsidRPr="00FF658F" w:rsidRDefault="00C61425" w:rsidP="00025530">
            <w:pPr>
              <w:rPr>
                <w:lang w:eastAsia="en-GB"/>
              </w:rPr>
            </w:pPr>
          </w:p>
        </w:tc>
        <w:tc>
          <w:tcPr>
            <w:tcW w:w="8363" w:type="dxa"/>
            <w:gridSpan w:val="2"/>
            <w:tcBorders>
              <w:bottom w:val="single" w:sz="4" w:space="0" w:color="auto"/>
            </w:tcBorders>
            <w:vAlign w:val="bottom"/>
          </w:tcPr>
          <w:p w:rsidR="00C61425" w:rsidRPr="00FF658F" w:rsidRDefault="00C61425" w:rsidP="00025530">
            <w:pPr>
              <w:jc w:val="right"/>
            </w:pPr>
            <w:r w:rsidRPr="003C435B">
              <w:rPr>
                <w:b/>
                <w:sz w:val="40"/>
                <w:szCs w:val="40"/>
              </w:rPr>
              <w:t>INF.</w:t>
            </w:r>
            <w:r w:rsidR="00BC738B">
              <w:rPr>
                <w:b/>
                <w:sz w:val="40"/>
                <w:szCs w:val="40"/>
              </w:rPr>
              <w:t>7</w:t>
            </w:r>
          </w:p>
        </w:tc>
      </w:tr>
      <w:tr w:rsidR="00C61425" w:rsidRPr="00FF658F" w:rsidTr="00FB0953">
        <w:trPr>
          <w:cantSplit/>
          <w:trHeight w:hRule="exact" w:val="3413"/>
        </w:trPr>
        <w:tc>
          <w:tcPr>
            <w:tcW w:w="6804" w:type="dxa"/>
            <w:gridSpan w:val="2"/>
            <w:tcBorders>
              <w:top w:val="single" w:sz="4" w:space="0" w:color="auto"/>
              <w:bottom w:val="single" w:sz="12" w:space="0" w:color="auto"/>
            </w:tcBorders>
          </w:tcPr>
          <w:p w:rsidR="00C61425" w:rsidRPr="002E7DCB" w:rsidRDefault="00C61425" w:rsidP="00025530">
            <w:pPr>
              <w:spacing w:before="120"/>
              <w:rPr>
                <w:b/>
                <w:sz w:val="28"/>
                <w:szCs w:val="28"/>
              </w:rPr>
            </w:pPr>
            <w:r>
              <w:rPr>
                <w:b/>
                <w:bCs/>
                <w:sz w:val="28"/>
                <w:szCs w:val="28"/>
              </w:rPr>
              <w:t>Economic Commission for Europe</w:t>
            </w:r>
          </w:p>
          <w:p w:rsidR="00C61425" w:rsidRPr="002E7DCB" w:rsidRDefault="00C61425" w:rsidP="00025530">
            <w:pPr>
              <w:spacing w:before="120"/>
              <w:rPr>
                <w:sz w:val="28"/>
                <w:szCs w:val="28"/>
              </w:rPr>
            </w:pPr>
            <w:r>
              <w:rPr>
                <w:sz w:val="28"/>
                <w:szCs w:val="28"/>
              </w:rPr>
              <w:t>Inland Transport Committee</w:t>
            </w:r>
          </w:p>
          <w:p w:rsidR="00C61425" w:rsidRPr="002E7DCB" w:rsidRDefault="00C61425" w:rsidP="00025530">
            <w:pPr>
              <w:spacing w:before="120"/>
              <w:rPr>
                <w:b/>
                <w:sz w:val="24"/>
                <w:szCs w:val="24"/>
              </w:rPr>
            </w:pPr>
            <w:r>
              <w:rPr>
                <w:b/>
                <w:sz w:val="24"/>
                <w:szCs w:val="24"/>
              </w:rPr>
              <w:t>Working Party on the Transport of Dangerous Goods</w:t>
            </w:r>
          </w:p>
          <w:p w:rsidR="00C61425" w:rsidRPr="00FF658F" w:rsidRDefault="00C61425" w:rsidP="00025530">
            <w:pPr>
              <w:spacing w:before="120"/>
              <w:rPr>
                <w:b/>
              </w:rPr>
            </w:pPr>
            <w:r>
              <w:rPr>
                <w:b/>
              </w:rPr>
              <w:t>Joint Meeting of Experts on the Regulations annexed to the</w:t>
            </w:r>
          </w:p>
          <w:p w:rsidR="00C61425" w:rsidRPr="00FF658F" w:rsidRDefault="00C61425" w:rsidP="00025530">
            <w:pPr>
              <w:rPr>
                <w:b/>
              </w:rPr>
            </w:pPr>
            <w:r>
              <w:rPr>
                <w:b/>
              </w:rPr>
              <w:t>European Agreement concerning the International Carriage</w:t>
            </w:r>
          </w:p>
          <w:p w:rsidR="00C61425" w:rsidRPr="002E7DCB" w:rsidRDefault="00C61425" w:rsidP="00025530">
            <w:pPr>
              <w:rPr>
                <w:b/>
              </w:rPr>
            </w:pPr>
            <w:r>
              <w:rPr>
                <w:b/>
              </w:rPr>
              <w:t>of Dangerous Goods by Inland Waterways (ADN)</w:t>
            </w:r>
          </w:p>
          <w:p w:rsidR="00C61425" w:rsidRPr="00FF658F" w:rsidRDefault="00C61425" w:rsidP="00025530">
            <w:pPr>
              <w:spacing w:before="120"/>
              <w:rPr>
                <w:b/>
              </w:rPr>
            </w:pPr>
            <w:r>
              <w:rPr>
                <w:b/>
              </w:rPr>
              <w:t>Thirty-</w:t>
            </w:r>
            <w:r w:rsidR="00C841A6">
              <w:rPr>
                <w:b/>
              </w:rPr>
              <w:t>sixth</w:t>
            </w:r>
            <w:r>
              <w:rPr>
                <w:b/>
              </w:rPr>
              <w:t xml:space="preserve"> session</w:t>
            </w:r>
          </w:p>
          <w:p w:rsidR="00C61425" w:rsidRPr="002E7DCB" w:rsidRDefault="00C61425" w:rsidP="00025530">
            <w:r>
              <w:t xml:space="preserve">Geneva, </w:t>
            </w:r>
            <w:r w:rsidR="00C841A6">
              <w:t>27-31</w:t>
            </w:r>
            <w:r>
              <w:t xml:space="preserve"> </w:t>
            </w:r>
            <w:r w:rsidR="00C841A6">
              <w:t>January</w:t>
            </w:r>
            <w:r>
              <w:t xml:space="preserve"> 20</w:t>
            </w:r>
            <w:r w:rsidR="00C841A6">
              <w:t>20</w:t>
            </w:r>
          </w:p>
          <w:p w:rsidR="00C61425" w:rsidRDefault="00C61425" w:rsidP="00025530">
            <w:r>
              <w:t xml:space="preserve">Item </w:t>
            </w:r>
            <w:r w:rsidR="00FB0953">
              <w:t>5</w:t>
            </w:r>
            <w:r w:rsidR="001E6748">
              <w:t xml:space="preserve"> (</w:t>
            </w:r>
            <w:r w:rsidR="00FB0953">
              <w:t>a</w:t>
            </w:r>
            <w:r w:rsidR="001E6748">
              <w:t>)</w:t>
            </w:r>
            <w:r>
              <w:t xml:space="preserve"> of the provisional agenda</w:t>
            </w:r>
          </w:p>
          <w:p w:rsidR="00D66617" w:rsidRPr="00B70496" w:rsidRDefault="00B70496" w:rsidP="00B70496">
            <w:pPr>
              <w:ind w:left="5" w:hanging="5"/>
              <w:jc w:val="left"/>
              <w:rPr>
                <w:b/>
                <w:bCs/>
              </w:rPr>
            </w:pPr>
            <w:r w:rsidRPr="00B70496">
              <w:rPr>
                <w:b/>
                <w:bCs/>
              </w:rPr>
              <w:t xml:space="preserve">Matters arising from the work of United Nations bodies </w:t>
            </w:r>
            <w:r w:rsidRPr="00B70496">
              <w:rPr>
                <w:b/>
                <w:bCs/>
              </w:rPr>
              <w:br/>
              <w:t>or other organizations</w:t>
            </w:r>
          </w:p>
        </w:tc>
        <w:tc>
          <w:tcPr>
            <w:tcW w:w="2835" w:type="dxa"/>
            <w:tcBorders>
              <w:top w:val="single" w:sz="4" w:space="0" w:color="auto"/>
              <w:bottom w:val="single" w:sz="12" w:space="0" w:color="auto"/>
            </w:tcBorders>
          </w:tcPr>
          <w:p w:rsidR="00C61425" w:rsidRPr="00FF658F" w:rsidRDefault="00C61425" w:rsidP="00025530">
            <w:pPr>
              <w:spacing w:before="120"/>
              <w:rPr>
                <w:lang w:eastAsia="en-GB"/>
              </w:rPr>
            </w:pPr>
          </w:p>
          <w:p w:rsidR="00C61425" w:rsidRDefault="006E1BCD" w:rsidP="00025530">
            <w:pPr>
              <w:spacing w:before="120"/>
              <w:ind w:left="1695"/>
            </w:pPr>
            <w:r>
              <w:t>14</w:t>
            </w:r>
            <w:r w:rsidR="00BC738B">
              <w:t xml:space="preserve"> January 2020</w:t>
            </w:r>
          </w:p>
          <w:p w:rsidR="00502DB5" w:rsidRPr="00FF658F" w:rsidRDefault="00502DB5" w:rsidP="00025530">
            <w:pPr>
              <w:spacing w:before="120"/>
              <w:ind w:left="1695"/>
            </w:pPr>
            <w:r>
              <w:t>English</w:t>
            </w:r>
          </w:p>
        </w:tc>
      </w:tr>
    </w:tbl>
    <w:p w:rsidR="00913ADD" w:rsidRPr="00B70496" w:rsidRDefault="00C841A6" w:rsidP="008D7E59">
      <w:pPr>
        <w:pStyle w:val="HChG"/>
        <w:rPr>
          <w:lang w:val="en-GB"/>
        </w:rPr>
      </w:pPr>
      <w:r w:rsidRPr="00B70496">
        <w:rPr>
          <w:iCs/>
          <w:lang w:val="en-GB"/>
        </w:rPr>
        <w:tab/>
      </w:r>
      <w:r w:rsidRPr="00B70496">
        <w:rPr>
          <w:i/>
          <w:lang w:val="en-GB"/>
        </w:rPr>
        <w:tab/>
      </w:r>
      <w:r w:rsidR="00B70496" w:rsidRPr="00B70496">
        <w:rPr>
          <w:lang w:val="en-GB"/>
        </w:rPr>
        <w:t xml:space="preserve">Outcome of the </w:t>
      </w:r>
      <w:r w:rsidR="002A726E" w:rsidRPr="002A726E">
        <w:rPr>
          <w:lang w:val="en-GB"/>
        </w:rPr>
        <w:t>fifty-sixth</w:t>
      </w:r>
      <w:r w:rsidR="00B70496" w:rsidRPr="00B70496">
        <w:rPr>
          <w:lang w:val="en-GB"/>
        </w:rPr>
        <w:t xml:space="preserve"> session of the United </w:t>
      </w:r>
      <w:r w:rsidR="00B70496" w:rsidRPr="008D7E59">
        <w:t>Nations</w:t>
      </w:r>
      <w:r w:rsidR="00B70496" w:rsidRPr="00B70496">
        <w:rPr>
          <w:lang w:val="en-GB"/>
        </w:rPr>
        <w:t xml:space="preserve"> Sub-Committee of Experts on the Transport of Dangerous Goods</w:t>
      </w:r>
    </w:p>
    <w:p w:rsidR="00C841A6" w:rsidRPr="00BC738B" w:rsidRDefault="00913ADD" w:rsidP="008D7E59">
      <w:pPr>
        <w:pStyle w:val="H1G"/>
        <w:rPr>
          <w:b w:val="0"/>
          <w:bCs/>
          <w:iCs/>
          <w:u w:val="single"/>
          <w:lang w:val="en-GB"/>
        </w:rPr>
      </w:pPr>
      <w:r>
        <w:rPr>
          <w:lang w:val="en-US"/>
        </w:rPr>
        <w:tab/>
      </w:r>
      <w:r>
        <w:rPr>
          <w:lang w:val="en-US"/>
        </w:rPr>
        <w:tab/>
      </w:r>
      <w:r w:rsidR="00BC738B">
        <w:rPr>
          <w:lang w:val="en-US"/>
        </w:rPr>
        <w:t xml:space="preserve">Note by the </w:t>
      </w:r>
      <w:proofErr w:type="spellStart"/>
      <w:r w:rsidR="00FB0953" w:rsidRPr="008D7E59">
        <w:t>s</w:t>
      </w:r>
      <w:r w:rsidR="00BC738B" w:rsidRPr="008D7E59">
        <w:t>ecretariat</w:t>
      </w:r>
      <w:proofErr w:type="spellEnd"/>
    </w:p>
    <w:p w:rsidR="009D0A84" w:rsidRPr="009D0A84" w:rsidRDefault="009D0A84" w:rsidP="008D7E59">
      <w:pPr>
        <w:pStyle w:val="H1G"/>
        <w:rPr>
          <w:shd w:val="clear" w:color="auto" w:fill="FFFFFF"/>
        </w:rPr>
      </w:pPr>
      <w:r>
        <w:tab/>
        <w:t>A.</w:t>
      </w:r>
      <w:r>
        <w:tab/>
      </w:r>
      <w:r w:rsidRPr="009D0A84">
        <w:rPr>
          <w:shd w:val="clear" w:color="auto" w:fill="FFFFFF"/>
        </w:rPr>
        <w:t>Harmonization of RID/ADR/ADN with the twenty-first revised edition of the Model Regulations</w:t>
      </w:r>
    </w:p>
    <w:p w:rsidR="009D0A84" w:rsidRPr="009D0A84" w:rsidRDefault="009D0A84" w:rsidP="009D0A84">
      <w:pPr>
        <w:pStyle w:val="SingleTxtG"/>
        <w:tabs>
          <w:tab w:val="left" w:pos="2977"/>
        </w:tabs>
        <w:jc w:val="left"/>
        <w:rPr>
          <w:lang w:val="en-GB"/>
        </w:rPr>
      </w:pPr>
      <w:r w:rsidRPr="009D0A84">
        <w:rPr>
          <w:i/>
          <w:iCs/>
          <w:lang w:val="en-GB"/>
        </w:rPr>
        <w:t>Document:</w:t>
      </w:r>
      <w:r w:rsidRPr="009D0A84">
        <w:rPr>
          <w:lang w:val="en-GB"/>
        </w:rPr>
        <w:tab/>
      </w:r>
      <w:r>
        <w:rPr>
          <w:lang w:val="en-US"/>
        </w:rPr>
        <w:t>ST/SG/AC.10/C.3/2019/69 (Secretariat)</w:t>
      </w:r>
    </w:p>
    <w:p w:rsidR="009D0A84" w:rsidRPr="009D0A84" w:rsidRDefault="009D0A84" w:rsidP="009D0A84">
      <w:pPr>
        <w:pStyle w:val="SingleTxtG"/>
        <w:tabs>
          <w:tab w:val="left" w:pos="2977"/>
        </w:tabs>
        <w:jc w:val="left"/>
        <w:rPr>
          <w:lang w:val="en-GB"/>
        </w:rPr>
      </w:pPr>
      <w:r w:rsidRPr="009D0A84">
        <w:rPr>
          <w:i/>
          <w:iCs/>
          <w:lang w:val="en-GB"/>
        </w:rPr>
        <w:t xml:space="preserve">Informal documents: </w:t>
      </w:r>
      <w:r w:rsidRPr="009D0A84">
        <w:rPr>
          <w:i/>
          <w:iCs/>
          <w:lang w:val="en-GB"/>
        </w:rPr>
        <w:tab/>
      </w:r>
      <w:r w:rsidRPr="009D0A84">
        <w:rPr>
          <w:lang w:val="en-GB"/>
        </w:rPr>
        <w:t>INF.38, INF.48 and INF.52 (Secretariat)</w:t>
      </w:r>
    </w:p>
    <w:p w:rsidR="009D0A84" w:rsidRPr="009D0A84" w:rsidRDefault="009D0A84" w:rsidP="009D0A84">
      <w:pPr>
        <w:pStyle w:val="SingleTxtG"/>
        <w:rPr>
          <w:lang w:val="en-GB"/>
        </w:rPr>
      </w:pPr>
      <w:r w:rsidRPr="009D0A84">
        <w:rPr>
          <w:lang w:val="en-GB"/>
        </w:rPr>
        <w:t>105.</w:t>
      </w:r>
      <w:r w:rsidRPr="009D0A84">
        <w:rPr>
          <w:lang w:val="en-GB"/>
        </w:rPr>
        <w:tab/>
        <w:t>The Sub-Committee considered each of the issues raised in documents ST/SG/AC.10/C.3/2019/69 and informal documents INF.38, INF.48 and INF.52 and decided as follows:</w:t>
      </w:r>
    </w:p>
    <w:p w:rsidR="009D0A84" w:rsidRDefault="009D0A84" w:rsidP="009D0A84">
      <w:pPr>
        <w:pStyle w:val="H23G"/>
        <w:rPr>
          <w:lang w:val="en-US"/>
        </w:rPr>
      </w:pPr>
      <w:r>
        <w:rPr>
          <w:lang w:val="en-US"/>
        </w:rPr>
        <w:tab/>
        <w:t>1.</w:t>
      </w:r>
      <w:r>
        <w:rPr>
          <w:lang w:val="en-US"/>
        </w:rPr>
        <w:tab/>
        <w:t>Reference to “except for animal material” in the table for high consequence dangerous goods</w:t>
      </w:r>
    </w:p>
    <w:p w:rsidR="009D0A84" w:rsidRDefault="009D0A84" w:rsidP="009D0A84">
      <w:pPr>
        <w:pStyle w:val="SingleTxtG"/>
        <w:rPr>
          <w:lang w:val="en-GB"/>
        </w:rPr>
      </w:pPr>
      <w:r w:rsidRPr="009D0A84">
        <w:rPr>
          <w:lang w:val="en-GB"/>
        </w:rPr>
        <w:t>106.</w:t>
      </w:r>
      <w:r w:rsidRPr="009D0A84">
        <w:rPr>
          <w:lang w:val="en-GB"/>
        </w:rPr>
        <w:tab/>
        <w:t xml:space="preserve">The Sub-Committee considered that animal material of Category A should not be excluded from the list of high consequence dangerous goods and, therefore, did not support its deletion from table 1.4.1 of the Model Regulations. </w:t>
      </w:r>
    </w:p>
    <w:p w:rsidR="004D50D8" w:rsidRPr="004D50D8" w:rsidRDefault="004D50D8" w:rsidP="009D0A84">
      <w:pPr>
        <w:pStyle w:val="SingleTxtG"/>
        <w:rPr>
          <w:color w:val="548DD4" w:themeColor="text2" w:themeTint="99"/>
          <w:u w:val="single"/>
          <w:lang w:val="en-GB"/>
        </w:rPr>
      </w:pPr>
      <w:r w:rsidRPr="004D50D8">
        <w:rPr>
          <w:color w:val="548DD4" w:themeColor="text2" w:themeTint="99"/>
          <w:u w:val="single"/>
          <w:lang w:val="en-GB"/>
        </w:rPr>
        <w:t>Related amendment in ECE/TRANS/WP.15/AC.2/2020/23</w:t>
      </w:r>
      <w:r w:rsidR="001D72C1">
        <w:rPr>
          <w:color w:val="548DD4" w:themeColor="text2" w:themeTint="99"/>
          <w:u w:val="single"/>
          <w:lang w:val="en-GB"/>
        </w:rPr>
        <w:t>:</w:t>
      </w:r>
    </w:p>
    <w:p w:rsidR="004D50D8" w:rsidRPr="004D50D8" w:rsidRDefault="004D50D8" w:rsidP="009D0A84">
      <w:pPr>
        <w:pStyle w:val="SingleTxtG"/>
        <w:rPr>
          <w:color w:val="548DD4" w:themeColor="text2" w:themeTint="99"/>
          <w:lang w:val="en-GB"/>
        </w:rPr>
      </w:pPr>
      <w:r w:rsidRPr="004D50D8">
        <w:rPr>
          <w:color w:val="548DD4" w:themeColor="text2" w:themeTint="99"/>
          <w:lang w:val="en-GB"/>
        </w:rPr>
        <w:t>Table 1.10.3.1.2</w:t>
      </w:r>
    </w:p>
    <w:p w:rsidR="004D50D8" w:rsidRPr="004D50D8" w:rsidRDefault="004D50D8" w:rsidP="009D0A84">
      <w:pPr>
        <w:pStyle w:val="SingleTxtG"/>
        <w:rPr>
          <w:color w:val="548DD4" w:themeColor="text2" w:themeTint="99"/>
          <w:lang w:val="en-GB"/>
        </w:rPr>
      </w:pPr>
      <w:r w:rsidRPr="004D50D8">
        <w:rPr>
          <w:color w:val="548DD4" w:themeColor="text2" w:themeTint="99"/>
          <w:lang w:val="en-GB"/>
        </w:rPr>
        <w:t>For Class 6.2, amend the text in column “Substance or article” to read “Infectious substances of Category A (UN Nos. 2814 and 2900, except for animal material) and medical waste of Category A (UN No. 3549)”</w:t>
      </w:r>
    </w:p>
    <w:p w:rsidR="009D0A84" w:rsidRDefault="009D0A84" w:rsidP="009D0A84">
      <w:pPr>
        <w:pStyle w:val="H23G"/>
        <w:rPr>
          <w:lang w:val="en-US"/>
        </w:rPr>
      </w:pPr>
      <w:r>
        <w:rPr>
          <w:lang w:val="en-US"/>
        </w:rPr>
        <w:tab/>
        <w:t>2.</w:t>
      </w:r>
      <w:r>
        <w:rPr>
          <w:lang w:val="en-US"/>
        </w:rPr>
        <w:tab/>
        <w:t>Assignment</w:t>
      </w:r>
      <w:r w:rsidRPr="00D31CF2">
        <w:rPr>
          <w:lang w:val="en-US"/>
        </w:rPr>
        <w:t xml:space="preserve"> of fireworks to UN 0431</w:t>
      </w:r>
    </w:p>
    <w:p w:rsidR="009D0A84" w:rsidRDefault="009D0A84" w:rsidP="009D0A84">
      <w:pPr>
        <w:pStyle w:val="SingleTxtG"/>
        <w:rPr>
          <w:lang w:val="en-GB"/>
        </w:rPr>
      </w:pPr>
      <w:r w:rsidRPr="009D0A84">
        <w:rPr>
          <w:lang w:val="en-GB"/>
        </w:rPr>
        <w:t>107.</w:t>
      </w:r>
      <w:r w:rsidRPr="009D0A84">
        <w:rPr>
          <w:lang w:val="en-GB"/>
        </w:rPr>
        <w:tab/>
        <w:t>The correction to 2.1.3.5.2 in annex I to ST/SG/AC.10/C.3/2019/69 was adopted (see annex III).</w:t>
      </w:r>
    </w:p>
    <w:p w:rsidR="000C7BBB" w:rsidRPr="000C7BBB" w:rsidRDefault="000C7BBB" w:rsidP="009D0A84">
      <w:pPr>
        <w:pStyle w:val="SingleTxtG"/>
        <w:rPr>
          <w:color w:val="548DD4" w:themeColor="text2" w:themeTint="99"/>
          <w:lang w:val="en-GB"/>
        </w:rPr>
      </w:pPr>
      <w:proofErr w:type="gramStart"/>
      <w:r w:rsidRPr="000C7BBB">
        <w:rPr>
          <w:color w:val="548DD4" w:themeColor="text2" w:themeTint="99"/>
          <w:lang w:val="en-GB"/>
        </w:rPr>
        <w:t>Taken into account</w:t>
      </w:r>
      <w:proofErr w:type="gramEnd"/>
      <w:r w:rsidRPr="000C7BBB">
        <w:rPr>
          <w:color w:val="548DD4" w:themeColor="text2" w:themeTint="99"/>
          <w:lang w:val="en-GB"/>
        </w:rPr>
        <w:t xml:space="preserve"> in amendment to 2.2.1.1.7.2 in ECE/TRANS/WP.15/AC.2/2020/23</w:t>
      </w:r>
      <w:r>
        <w:rPr>
          <w:color w:val="548DD4" w:themeColor="text2" w:themeTint="99"/>
          <w:lang w:val="en-GB"/>
        </w:rPr>
        <w:t>.</w:t>
      </w:r>
    </w:p>
    <w:p w:rsidR="009D0A84" w:rsidRDefault="009D0A84" w:rsidP="009D0A84">
      <w:pPr>
        <w:pStyle w:val="H23G"/>
        <w:rPr>
          <w:lang w:val="en-US"/>
        </w:rPr>
      </w:pPr>
      <w:r>
        <w:rPr>
          <w:lang w:val="en-US"/>
        </w:rPr>
        <w:lastRenderedPageBreak/>
        <w:tab/>
        <w:t>3.</w:t>
      </w:r>
      <w:r>
        <w:rPr>
          <w:lang w:val="en-US"/>
        </w:rPr>
        <w:tab/>
      </w:r>
      <w:r w:rsidRPr="00D31CF2">
        <w:rPr>
          <w:lang w:val="en-US"/>
        </w:rPr>
        <w:t>Medical or clinical waste</w:t>
      </w:r>
    </w:p>
    <w:p w:rsidR="009D0A84" w:rsidRDefault="009D0A84" w:rsidP="009D0A84">
      <w:pPr>
        <w:pStyle w:val="SingleTxtG"/>
        <w:rPr>
          <w:lang w:val="en-GB"/>
        </w:rPr>
      </w:pPr>
      <w:r w:rsidRPr="009D0A84">
        <w:rPr>
          <w:lang w:val="en-GB"/>
        </w:rPr>
        <w:t>108.</w:t>
      </w:r>
      <w:r w:rsidRPr="009D0A84">
        <w:rPr>
          <w:lang w:val="en-GB"/>
        </w:rPr>
        <w:tab/>
        <w:t>Several experts considered that the proposed correction to note 1 to 2.6.3.2.2.1 (b) for UN 2900 could have unintended consequences. In addition, noting that the use of upper- and lower-case characters in the proper shipping name was addressed in paragraph 3.1.2.1, the Sub-Committee considered that the correction was unnecessary and did not adopt it.</w:t>
      </w:r>
    </w:p>
    <w:p w:rsidR="00133232" w:rsidRPr="004D50D8" w:rsidRDefault="00133232" w:rsidP="008D7E59">
      <w:pPr>
        <w:pStyle w:val="SingleTxtG"/>
        <w:rPr>
          <w:color w:val="548DD4" w:themeColor="text2" w:themeTint="99"/>
          <w:u w:val="single"/>
          <w:lang w:val="en-GB"/>
        </w:rPr>
      </w:pPr>
      <w:r w:rsidRPr="004D50D8">
        <w:rPr>
          <w:color w:val="548DD4" w:themeColor="text2" w:themeTint="99"/>
          <w:u w:val="single"/>
          <w:lang w:val="en-GB"/>
        </w:rPr>
        <w:t>Related amendment</w:t>
      </w:r>
      <w:r w:rsidR="00DF5587">
        <w:rPr>
          <w:color w:val="548DD4" w:themeColor="text2" w:themeTint="99"/>
          <w:u w:val="single"/>
          <w:lang w:val="en-GB"/>
        </w:rPr>
        <w:t>s</w:t>
      </w:r>
      <w:r w:rsidRPr="004D50D8">
        <w:rPr>
          <w:color w:val="548DD4" w:themeColor="text2" w:themeTint="99"/>
          <w:u w:val="single"/>
          <w:lang w:val="en-GB"/>
        </w:rPr>
        <w:t xml:space="preserve"> in ECE/TRANS/WP.15/AC.2/2020/23</w:t>
      </w:r>
      <w:r w:rsidR="001D72C1">
        <w:rPr>
          <w:color w:val="548DD4" w:themeColor="text2" w:themeTint="99"/>
          <w:u w:val="single"/>
          <w:lang w:val="en-GB"/>
        </w:rPr>
        <w:t>:</w:t>
      </w:r>
    </w:p>
    <w:p w:rsidR="00133232" w:rsidRDefault="00133232" w:rsidP="009D0A84">
      <w:pPr>
        <w:pStyle w:val="SingleTxtG"/>
        <w:rPr>
          <w:color w:val="548DD4" w:themeColor="text2" w:themeTint="99"/>
          <w:lang w:val="en-GB"/>
        </w:rPr>
      </w:pPr>
      <w:r w:rsidRPr="00212AE3">
        <w:rPr>
          <w:color w:val="548DD4" w:themeColor="text2" w:themeTint="99"/>
          <w:lang w:val="en-GB"/>
        </w:rPr>
        <w:t xml:space="preserve">2.2.62.1.4.1, Note 1 </w:t>
      </w:r>
      <w:r w:rsidR="001D72C1">
        <w:rPr>
          <w:color w:val="548DD4" w:themeColor="text2" w:themeTint="99"/>
          <w:lang w:val="en-GB"/>
        </w:rPr>
        <w:tab/>
      </w:r>
      <w:r w:rsidRPr="00212AE3">
        <w:rPr>
          <w:color w:val="548DD4" w:themeColor="text2" w:themeTint="99"/>
          <w:lang w:val="en-GB"/>
        </w:rPr>
        <w:t>Replace “proper shipping name” by “name” (twice)</w:t>
      </w:r>
      <w:r w:rsidR="00DF5587">
        <w:rPr>
          <w:color w:val="548DD4" w:themeColor="text2" w:themeTint="99"/>
          <w:lang w:val="en-GB"/>
        </w:rPr>
        <w:t>.</w:t>
      </w:r>
    </w:p>
    <w:p w:rsidR="00205EEB" w:rsidRPr="00DF5587" w:rsidRDefault="00205EEB" w:rsidP="009D0A84">
      <w:pPr>
        <w:pStyle w:val="SingleTxtG"/>
        <w:rPr>
          <w:color w:val="548DD4" w:themeColor="text2" w:themeTint="99"/>
          <w:lang w:val="en-GB"/>
        </w:rPr>
      </w:pPr>
      <w:r w:rsidRPr="00DF5587">
        <w:rPr>
          <w:color w:val="548DD4" w:themeColor="text2" w:themeTint="99"/>
          <w:lang w:val="en-GB"/>
        </w:rPr>
        <w:t xml:space="preserve">2.2.62.1.4.2, Note </w:t>
      </w:r>
      <w:r w:rsidR="00DF5587" w:rsidRPr="00DF5587">
        <w:rPr>
          <w:color w:val="548DD4" w:themeColor="text2" w:themeTint="99"/>
          <w:lang w:val="en-GB"/>
        </w:rPr>
        <w:tab/>
      </w:r>
      <w:r w:rsidRPr="00DF5587">
        <w:rPr>
          <w:color w:val="548DD4" w:themeColor="text2" w:themeTint="99"/>
          <w:lang w:val="en-GB"/>
        </w:rPr>
        <w:t>Replace “proper shipping name” by “name”</w:t>
      </w:r>
      <w:r w:rsidR="00DF5587" w:rsidRPr="00DF5587">
        <w:rPr>
          <w:color w:val="548DD4" w:themeColor="text2" w:themeTint="99"/>
          <w:lang w:val="en-GB"/>
        </w:rPr>
        <w:t>.</w:t>
      </w:r>
    </w:p>
    <w:p w:rsidR="00DF5587" w:rsidRPr="00DF5587" w:rsidRDefault="00DF5587" w:rsidP="009D0A84">
      <w:pPr>
        <w:pStyle w:val="SingleTxtG"/>
        <w:rPr>
          <w:color w:val="548DD4" w:themeColor="text2" w:themeTint="99"/>
          <w:lang w:val="en-GB"/>
        </w:rPr>
      </w:pPr>
      <w:r w:rsidRPr="00DF5587">
        <w:rPr>
          <w:color w:val="548DD4" w:themeColor="text2" w:themeTint="99"/>
          <w:lang w:val="en-GB"/>
        </w:rPr>
        <w:t xml:space="preserve">2.2.62.1.11.1 Amend to read as follows: </w:t>
      </w:r>
    </w:p>
    <w:p w:rsidR="00DF5587" w:rsidRDefault="00DF5587" w:rsidP="009D0A84">
      <w:pPr>
        <w:pStyle w:val="SingleTxtG"/>
        <w:rPr>
          <w:color w:val="548DD4" w:themeColor="text2" w:themeTint="99"/>
          <w:lang w:val="en-GB"/>
        </w:rPr>
      </w:pPr>
      <w:r w:rsidRPr="00DF5587">
        <w:rPr>
          <w:color w:val="548DD4" w:themeColor="text2" w:themeTint="99"/>
          <w:lang w:val="en-GB"/>
        </w:rPr>
        <w:t xml:space="preserve">2.2.62.1.11.1 Medical or clinical waste containing: </w:t>
      </w:r>
    </w:p>
    <w:p w:rsidR="00DF5587" w:rsidRDefault="00DF5587" w:rsidP="009D0A84">
      <w:pPr>
        <w:pStyle w:val="SingleTxtG"/>
        <w:rPr>
          <w:color w:val="548DD4" w:themeColor="text2" w:themeTint="99"/>
          <w:lang w:val="en-GB"/>
        </w:rPr>
      </w:pPr>
      <w:r w:rsidRPr="00DF5587">
        <w:rPr>
          <w:color w:val="548DD4" w:themeColor="text2" w:themeTint="99"/>
          <w:lang w:val="en-GB"/>
        </w:rPr>
        <w:t xml:space="preserve">(a) 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 </w:t>
      </w:r>
    </w:p>
    <w:p w:rsidR="00DF5587" w:rsidRDefault="00DF5587" w:rsidP="009D0A84">
      <w:pPr>
        <w:pStyle w:val="SingleTxtG"/>
        <w:rPr>
          <w:color w:val="548DD4" w:themeColor="text2" w:themeTint="99"/>
          <w:lang w:val="en-GB"/>
        </w:rPr>
      </w:pPr>
      <w:r w:rsidRPr="00DF5587">
        <w:rPr>
          <w:color w:val="548DD4" w:themeColor="text2" w:themeTint="99"/>
          <w:lang w:val="en-GB"/>
        </w:rPr>
        <w:t xml:space="preserve">(b) Category B infectious substances shall be assigned to UN No. 3291. </w:t>
      </w:r>
    </w:p>
    <w:p w:rsidR="00DF5587" w:rsidRDefault="00DF5587" w:rsidP="009D0A84">
      <w:pPr>
        <w:pStyle w:val="SingleTxtG"/>
        <w:rPr>
          <w:i/>
          <w:iCs/>
          <w:color w:val="548DD4" w:themeColor="text2" w:themeTint="99"/>
          <w:lang w:val="en-GB"/>
        </w:rPr>
      </w:pPr>
      <w:r w:rsidRPr="00DF5587">
        <w:rPr>
          <w:b/>
          <w:bCs/>
          <w:i/>
          <w:iCs/>
          <w:color w:val="548DD4" w:themeColor="text2" w:themeTint="99"/>
          <w:lang w:val="en-GB"/>
        </w:rPr>
        <w:t>NOTE 1:</w:t>
      </w:r>
      <w:r w:rsidRPr="00DF5587">
        <w:rPr>
          <w:i/>
          <w:iCs/>
          <w:color w:val="548DD4" w:themeColor="text2" w:themeTint="99"/>
          <w:lang w:val="en-GB"/>
        </w:rPr>
        <w:t xml:space="preserve"> The name for UN No. 3549 is "MEDICAL WASTE, CATEGORY A, AFFECTING HUMANS, solid" or "MEDICAL WASTE, CATEGORY A, AFFECTING ANIMALS only, solid".”.</w:t>
      </w:r>
    </w:p>
    <w:p w:rsidR="00DF5587" w:rsidRPr="00DF5587" w:rsidRDefault="00DF5587" w:rsidP="009D0A84">
      <w:pPr>
        <w:pStyle w:val="SingleTxtG"/>
        <w:rPr>
          <w:color w:val="548DD4" w:themeColor="text2" w:themeTint="99"/>
          <w:lang w:val="en-GB"/>
        </w:rPr>
      </w:pPr>
      <w:r w:rsidRPr="00DF5587">
        <w:rPr>
          <w:color w:val="548DD4" w:themeColor="text2" w:themeTint="99"/>
          <w:lang w:val="en-GB"/>
        </w:rPr>
        <w:t>Renumber existing Note as Note 2.</w:t>
      </w:r>
    </w:p>
    <w:p w:rsidR="009D0A84" w:rsidRPr="00DF5587" w:rsidRDefault="009D0A84" w:rsidP="009D0A84">
      <w:pPr>
        <w:pStyle w:val="H23G"/>
        <w:rPr>
          <w:bCs/>
          <w:lang w:val="en-US"/>
        </w:rPr>
      </w:pPr>
      <w:r w:rsidRPr="00DF5587">
        <w:rPr>
          <w:b w:val="0"/>
          <w:color w:val="548DD4" w:themeColor="text2" w:themeTint="99"/>
          <w:lang w:val="en-GB"/>
        </w:rPr>
        <w:tab/>
      </w:r>
      <w:r w:rsidRPr="00DF5587">
        <w:rPr>
          <w:bCs/>
          <w:lang w:val="en-GB"/>
        </w:rPr>
        <w:t>4.</w:t>
      </w:r>
      <w:r w:rsidRPr="00DF5587">
        <w:rPr>
          <w:bCs/>
          <w:lang w:val="en-GB"/>
        </w:rPr>
        <w:tab/>
        <w:t>Technical name for UN 3077 and 3082 in special</w:t>
      </w:r>
      <w:r w:rsidRPr="00DF5587">
        <w:rPr>
          <w:bCs/>
          <w:lang w:val="en-US"/>
        </w:rPr>
        <w:t xml:space="preserve"> provision 274</w:t>
      </w:r>
    </w:p>
    <w:p w:rsidR="009D0A84" w:rsidRDefault="009D0A84" w:rsidP="009D0A84">
      <w:pPr>
        <w:pStyle w:val="SingleTxtG"/>
        <w:rPr>
          <w:lang w:val="en-GB"/>
        </w:rPr>
      </w:pPr>
      <w:r>
        <w:rPr>
          <w:lang w:val="en-US"/>
        </w:rPr>
        <w:t>109.</w:t>
      </w:r>
      <w:r>
        <w:rPr>
          <w:lang w:val="en-US"/>
        </w:rPr>
        <w:tab/>
        <w:t xml:space="preserve">The Sub-Committee was informed that the amendments proposed by the Ad-hoc Working Group had not been adopted by the </w:t>
      </w:r>
      <w:r w:rsidRPr="009D0A84">
        <w:rPr>
          <w:lang w:val="en-GB"/>
        </w:rPr>
        <w:t>RID/ADR/ADN Joint Meeting of Experts. Consequently, the proposed consequential amendments to special provision 274 in the Model Regulations were withdrawn.</w:t>
      </w:r>
    </w:p>
    <w:p w:rsidR="00212AE3" w:rsidRPr="00212AE3" w:rsidRDefault="00212AE3" w:rsidP="009D0A84">
      <w:pPr>
        <w:pStyle w:val="SingleTxtG"/>
        <w:rPr>
          <w:color w:val="548DD4" w:themeColor="text2" w:themeTint="99"/>
          <w:lang w:val="en-GB"/>
        </w:rPr>
      </w:pPr>
      <w:r w:rsidRPr="00212AE3">
        <w:rPr>
          <w:color w:val="548DD4" w:themeColor="text2" w:themeTint="99"/>
          <w:lang w:val="en-GB"/>
        </w:rPr>
        <w:t>No action necessary</w:t>
      </w:r>
    </w:p>
    <w:p w:rsidR="009D0A84" w:rsidRDefault="009D0A84" w:rsidP="009D0A84">
      <w:pPr>
        <w:pStyle w:val="H23G"/>
        <w:rPr>
          <w:lang w:val="en-US"/>
        </w:rPr>
      </w:pPr>
      <w:r>
        <w:rPr>
          <w:lang w:val="en-US"/>
        </w:rPr>
        <w:tab/>
        <w:t>5.</w:t>
      </w:r>
      <w:r>
        <w:rPr>
          <w:lang w:val="en-US"/>
        </w:rPr>
        <w:tab/>
      </w:r>
      <w:r w:rsidRPr="00637757">
        <w:rPr>
          <w:lang w:val="en-US"/>
        </w:rPr>
        <w:t>Proper shipping name of UN 3</w:t>
      </w:r>
      <w:r>
        <w:rPr>
          <w:lang w:val="en-US"/>
        </w:rPr>
        <w:t>53</w:t>
      </w:r>
      <w:r w:rsidRPr="00637757">
        <w:rPr>
          <w:lang w:val="en-US"/>
        </w:rPr>
        <w:t xml:space="preserve">6 </w:t>
      </w:r>
    </w:p>
    <w:p w:rsidR="009D0A84" w:rsidRPr="009D0A84" w:rsidRDefault="009D0A84" w:rsidP="009D0A84">
      <w:pPr>
        <w:pStyle w:val="SingleTxtG"/>
        <w:rPr>
          <w:lang w:val="en-GB"/>
        </w:rPr>
      </w:pPr>
      <w:r w:rsidRPr="009D0A84">
        <w:rPr>
          <w:lang w:val="en-GB"/>
        </w:rPr>
        <w:t>110.</w:t>
      </w:r>
      <w:r w:rsidRPr="009D0A84">
        <w:rPr>
          <w:lang w:val="en-GB"/>
        </w:rPr>
        <w:tab/>
        <w:t xml:space="preserve">The Sub-Committee was informed that this question had been put on hold by the RID/ADR/ADN Joint Meeting of Experts pending a decision by the Sub-Committee, as a follow-up to the discussions held on this matter at its fifty-fifth session. </w:t>
      </w:r>
    </w:p>
    <w:p w:rsidR="009D0A84" w:rsidRPr="009D0A84" w:rsidRDefault="009D0A84" w:rsidP="009D0A84">
      <w:pPr>
        <w:pStyle w:val="SingleTxtG"/>
        <w:rPr>
          <w:lang w:val="en-GB"/>
        </w:rPr>
      </w:pPr>
      <w:r w:rsidRPr="009D0A84">
        <w:rPr>
          <w:lang w:val="en-GB"/>
        </w:rPr>
        <w:t>111.</w:t>
      </w:r>
      <w:r w:rsidRPr="009D0A84">
        <w:rPr>
          <w:lang w:val="en-GB"/>
        </w:rPr>
        <w:tab/>
        <w:t xml:space="preserve">Following a question raised by the </w:t>
      </w:r>
      <w:bookmarkStart w:id="0" w:name="_GoBack"/>
      <w:bookmarkEnd w:id="0"/>
      <w:r w:rsidRPr="009D0A84">
        <w:rPr>
          <w:lang w:val="en-GB"/>
        </w:rPr>
        <w:t xml:space="preserve">expert from Germany and noting that no revised proposal had been submitted to this session, some experts volunteered to reconsider document ST/SG/AC.10/C.3/2019/8 (submitted by OTIF at the fifty-fifth session), which was circulated as informal document INF.48. The document was considered by a working group led by the expert from France, who reported orally to the plenary as follows: </w:t>
      </w:r>
    </w:p>
    <w:p w:rsidR="009D0A84" w:rsidRPr="009D0A84" w:rsidRDefault="009D0A84" w:rsidP="00366303">
      <w:pPr>
        <w:pStyle w:val="SingleTxtG"/>
        <w:ind w:left="1985" w:hanging="567"/>
        <w:rPr>
          <w:lang w:val="en-GB"/>
        </w:rPr>
      </w:pPr>
      <w:r w:rsidRPr="009D0A84">
        <w:rPr>
          <w:lang w:val="en-GB"/>
        </w:rPr>
        <w:t>(a)</w:t>
      </w:r>
      <w:r w:rsidRPr="009D0A84">
        <w:rPr>
          <w:lang w:val="en-GB"/>
        </w:rPr>
        <w:tab/>
        <w:t>the group confirmed that the term “cargo transport unit” was appropriate in the context of UN 3536 and was meant to cover containers, wagons and vehicles, in accordance with the definition in 1.2.1. Therefore, there is no need to consider other terms;</w:t>
      </w:r>
    </w:p>
    <w:p w:rsidR="009D0A84" w:rsidRPr="009D0A84" w:rsidRDefault="009D0A84" w:rsidP="00366303">
      <w:pPr>
        <w:pStyle w:val="SingleTxtG"/>
        <w:ind w:left="1985" w:hanging="567"/>
        <w:rPr>
          <w:lang w:val="en-GB"/>
        </w:rPr>
      </w:pPr>
      <w:r w:rsidRPr="009D0A84">
        <w:rPr>
          <w:lang w:val="en-GB"/>
        </w:rPr>
        <w:t>(b)</w:t>
      </w:r>
      <w:r w:rsidRPr="009D0A84">
        <w:rPr>
          <w:lang w:val="en-GB"/>
        </w:rPr>
        <w:tab/>
        <w:t xml:space="preserve">the group concluded that placarding and marking should be required on the four sides of the cargo transport unit, to ensure they remain visible irrespective of its configuration. </w:t>
      </w:r>
    </w:p>
    <w:p w:rsidR="007A0024" w:rsidRDefault="009D0A84" w:rsidP="009D0A84">
      <w:pPr>
        <w:pStyle w:val="SingleTxtG"/>
        <w:rPr>
          <w:lang w:val="en-GB"/>
        </w:rPr>
      </w:pPr>
      <w:r w:rsidRPr="009D0A84">
        <w:rPr>
          <w:lang w:val="en-GB"/>
        </w:rPr>
        <w:lastRenderedPageBreak/>
        <w:t>112.</w:t>
      </w:r>
      <w:r w:rsidRPr="009D0A84">
        <w:rPr>
          <w:lang w:val="en-GB"/>
        </w:rPr>
        <w:tab/>
        <w:t>The Sub-Committee noted that a proposal addressing the above would be submitted at the next session.</w:t>
      </w:r>
    </w:p>
    <w:p w:rsidR="009D0A84" w:rsidRPr="009D0A84" w:rsidRDefault="007A0024" w:rsidP="009D0A84">
      <w:pPr>
        <w:pStyle w:val="SingleTxtG"/>
        <w:rPr>
          <w:lang w:val="en-GB"/>
        </w:rPr>
      </w:pPr>
      <w:r w:rsidRPr="00212AE3">
        <w:rPr>
          <w:color w:val="548DD4" w:themeColor="text2" w:themeTint="99"/>
          <w:lang w:val="en-GB"/>
        </w:rPr>
        <w:t>No action necessary</w:t>
      </w:r>
    </w:p>
    <w:p w:rsidR="009D0A84" w:rsidRPr="00396D8F" w:rsidRDefault="009D0A84" w:rsidP="009D0A84">
      <w:pPr>
        <w:pStyle w:val="H23G"/>
        <w:rPr>
          <w:lang w:val="en-US"/>
        </w:rPr>
      </w:pPr>
      <w:r>
        <w:rPr>
          <w:lang w:val="en-US"/>
        </w:rPr>
        <w:tab/>
        <w:t>6.</w:t>
      </w:r>
      <w:r>
        <w:rPr>
          <w:lang w:val="en-US"/>
        </w:rPr>
        <w:tab/>
      </w:r>
      <w:r w:rsidRPr="00396D8F">
        <w:rPr>
          <w:lang w:val="en-US"/>
        </w:rPr>
        <w:t xml:space="preserve">Packing instructions P622, P801 (2) (a) and (c) </w:t>
      </w:r>
    </w:p>
    <w:p w:rsidR="009D0A84" w:rsidRDefault="009D0A84" w:rsidP="009D0A84">
      <w:pPr>
        <w:pStyle w:val="SingleTxtG"/>
        <w:rPr>
          <w:lang w:val="en-US"/>
        </w:rPr>
      </w:pPr>
      <w:r w:rsidRPr="009D0A84">
        <w:rPr>
          <w:lang w:val="en-GB"/>
        </w:rPr>
        <w:t>113.</w:t>
      </w:r>
      <w:r w:rsidRPr="009D0A84">
        <w:rPr>
          <w:lang w:val="en-GB"/>
        </w:rPr>
        <w:tab/>
        <w:t xml:space="preserve">The Sub-Committee was informed that the corrections proposed by the Ad-hoc Working Group to packing instructions </w:t>
      </w:r>
      <w:r w:rsidRPr="00396D8F">
        <w:rPr>
          <w:lang w:val="en-US"/>
        </w:rPr>
        <w:t xml:space="preserve">P801 (2) (a) and (c) </w:t>
      </w:r>
      <w:r w:rsidRPr="009D0A84">
        <w:rPr>
          <w:lang w:val="en-GB"/>
        </w:rPr>
        <w:t xml:space="preserve">had not been adopted by the Joint Meeting. Consequently, they were </w:t>
      </w:r>
      <w:r>
        <w:rPr>
          <w:lang w:val="en-US"/>
        </w:rPr>
        <w:t>withdrawn. The correction to packing instruction P622 was adopted (see annex III).</w:t>
      </w:r>
    </w:p>
    <w:p w:rsidR="007A0024" w:rsidRPr="007A0024" w:rsidRDefault="007A0024" w:rsidP="009D0A84">
      <w:pPr>
        <w:pStyle w:val="SingleTxtG"/>
        <w:rPr>
          <w:color w:val="548DD4" w:themeColor="text2" w:themeTint="99"/>
          <w:lang w:val="en-GB"/>
        </w:rPr>
      </w:pPr>
      <w:r w:rsidRPr="007A0024">
        <w:rPr>
          <w:color w:val="548DD4" w:themeColor="text2" w:themeTint="99"/>
          <w:lang w:val="en-GB"/>
        </w:rPr>
        <w:t>Not relevant for ADN</w:t>
      </w:r>
    </w:p>
    <w:p w:rsidR="009D0A84" w:rsidRDefault="009D0A84" w:rsidP="009D0A84">
      <w:pPr>
        <w:pStyle w:val="H23G"/>
        <w:rPr>
          <w:lang w:val="en-US"/>
        </w:rPr>
      </w:pPr>
      <w:r>
        <w:rPr>
          <w:lang w:val="en-US"/>
        </w:rPr>
        <w:tab/>
        <w:t>7.</w:t>
      </w:r>
      <w:r>
        <w:rPr>
          <w:lang w:val="en-US"/>
        </w:rPr>
        <w:tab/>
      </w:r>
      <w:r w:rsidRPr="000001E6">
        <w:rPr>
          <w:lang w:val="en-US"/>
        </w:rPr>
        <w:t xml:space="preserve">Reference to “type </w:t>
      </w:r>
      <w:r>
        <w:rPr>
          <w:lang w:val="en-US"/>
        </w:rPr>
        <w:t xml:space="preserve">approval </w:t>
      </w:r>
      <w:r w:rsidRPr="000001E6">
        <w:rPr>
          <w:lang w:val="en-US"/>
        </w:rPr>
        <w:t xml:space="preserve">mark” </w:t>
      </w:r>
      <w:r>
        <w:rPr>
          <w:lang w:val="en-US"/>
        </w:rPr>
        <w:t>in 6.1.3.1 (e) and 6.1.3.13</w:t>
      </w:r>
    </w:p>
    <w:p w:rsidR="009D0A84" w:rsidRDefault="009D0A84" w:rsidP="009D0A84">
      <w:pPr>
        <w:pStyle w:val="SingleTxtG"/>
        <w:rPr>
          <w:lang w:val="en-GB"/>
        </w:rPr>
      </w:pPr>
      <w:r w:rsidRPr="00D86004">
        <w:rPr>
          <w:lang w:val="en-GB"/>
        </w:rPr>
        <w:t>114.</w:t>
      </w:r>
      <w:r w:rsidRPr="00D86004">
        <w:rPr>
          <w:lang w:val="en-GB"/>
        </w:rPr>
        <w:tab/>
        <w:t>The Sub-Committee confirmed that the term “UN design type mark” was appropriate and did not accept the proposals to replace it with “type approval mark” in 6.1.3.1 (e) and 6.1.3.13. The additional amendment to 6.1.3.1 (e) was not adopted.</w:t>
      </w:r>
    </w:p>
    <w:p w:rsidR="007A0024" w:rsidRPr="007A0024" w:rsidRDefault="007A0024" w:rsidP="007A0024">
      <w:pPr>
        <w:pStyle w:val="SingleTxtG"/>
        <w:rPr>
          <w:color w:val="548DD4" w:themeColor="text2" w:themeTint="99"/>
          <w:lang w:val="en-GB"/>
        </w:rPr>
      </w:pPr>
      <w:r w:rsidRPr="007A0024">
        <w:rPr>
          <w:color w:val="548DD4" w:themeColor="text2" w:themeTint="99"/>
          <w:lang w:val="en-GB"/>
        </w:rPr>
        <w:t>Not relevant for ADN</w:t>
      </w:r>
    </w:p>
    <w:p w:rsidR="009D0A84" w:rsidRDefault="009D0A84" w:rsidP="009D0A84">
      <w:pPr>
        <w:pStyle w:val="H23G"/>
        <w:rPr>
          <w:lang w:val="en-US"/>
        </w:rPr>
      </w:pPr>
      <w:r>
        <w:rPr>
          <w:lang w:val="en-US"/>
        </w:rPr>
        <w:tab/>
        <w:t>8.</w:t>
      </w:r>
      <w:r>
        <w:rPr>
          <w:lang w:val="en-US"/>
        </w:rPr>
        <w:tab/>
        <w:t>Corrections to 6.1.3.13, 6.5.2.1.3 and 6.6.3.4</w:t>
      </w:r>
    </w:p>
    <w:p w:rsidR="009D0A84" w:rsidRDefault="009D0A84" w:rsidP="009D0A84">
      <w:pPr>
        <w:pStyle w:val="SingleTxtG"/>
        <w:rPr>
          <w:lang w:val="en-GB"/>
        </w:rPr>
      </w:pPr>
      <w:r w:rsidRPr="00D86004">
        <w:rPr>
          <w:lang w:val="en-GB"/>
        </w:rPr>
        <w:t>115.</w:t>
      </w:r>
      <w:r w:rsidRPr="00D86004">
        <w:rPr>
          <w:lang w:val="en-GB"/>
        </w:rPr>
        <w:tab/>
        <w:t>The Sub-Committee agreed to the replacement of “must” with “shall” in 6.1.3.13 and 6.6.3.4 and of “a packaging” with “an IBC” in 6.5.2.1.3 as proposed (see annex III).</w:t>
      </w:r>
    </w:p>
    <w:p w:rsidR="007A0024" w:rsidRPr="007A0024" w:rsidRDefault="007A0024" w:rsidP="007A0024">
      <w:pPr>
        <w:pStyle w:val="SingleTxtG"/>
        <w:rPr>
          <w:color w:val="548DD4" w:themeColor="text2" w:themeTint="99"/>
          <w:lang w:val="en-GB"/>
        </w:rPr>
      </w:pPr>
      <w:r w:rsidRPr="007A0024">
        <w:rPr>
          <w:color w:val="548DD4" w:themeColor="text2" w:themeTint="99"/>
          <w:lang w:val="en-GB"/>
        </w:rPr>
        <w:t>Not relevant for ADN</w:t>
      </w:r>
    </w:p>
    <w:p w:rsidR="009D50DD" w:rsidRDefault="009D50DD" w:rsidP="008D7E59">
      <w:pPr>
        <w:pStyle w:val="H1G"/>
      </w:pPr>
      <w:r w:rsidRPr="002659ED">
        <w:tab/>
      </w:r>
      <w:r>
        <w:t>B.</w:t>
      </w:r>
      <w:r w:rsidRPr="002659ED">
        <w:tab/>
      </w:r>
      <w:r w:rsidR="001D72C1" w:rsidRPr="00D86004">
        <w:t>Miscellaneous corrections to the Model Regulations</w:t>
      </w:r>
    </w:p>
    <w:p w:rsidR="00FB0953" w:rsidRPr="006C77AF" w:rsidRDefault="00FB0953" w:rsidP="00FB0953">
      <w:pPr>
        <w:pStyle w:val="SingleTxtG"/>
        <w:rPr>
          <w:lang w:val="en-GB"/>
        </w:rPr>
      </w:pPr>
      <w:r w:rsidRPr="006C77AF">
        <w:rPr>
          <w:lang w:val="en-GB"/>
        </w:rPr>
        <w:t>1.</w:t>
      </w:r>
      <w:r w:rsidRPr="006C77AF">
        <w:rPr>
          <w:lang w:val="en-GB"/>
        </w:rPr>
        <w:tab/>
        <w:t xml:space="preserve">The </w:t>
      </w:r>
      <w:r w:rsidR="006C77AF" w:rsidRPr="006C77AF">
        <w:rPr>
          <w:lang w:val="en-GB"/>
        </w:rPr>
        <w:t>Sub-Committee of Experts on the Transport of Dangerous Goods</w:t>
      </w:r>
      <w:r w:rsidRPr="006C77AF">
        <w:rPr>
          <w:lang w:val="en-US"/>
        </w:rPr>
        <w:t xml:space="preserve"> </w:t>
      </w:r>
      <w:r w:rsidRPr="006C77AF">
        <w:rPr>
          <w:lang w:val="en-GB"/>
        </w:rPr>
        <w:t xml:space="preserve">met in Geneva from </w:t>
      </w:r>
      <w:r w:rsidR="006C77AF" w:rsidRPr="006C77AF">
        <w:rPr>
          <w:lang w:val="en-GB"/>
        </w:rPr>
        <w:t xml:space="preserve">4-10 December 2019 and at the request of the </w:t>
      </w:r>
      <w:r w:rsidR="006C77AF" w:rsidRPr="006C77AF">
        <w:rPr>
          <w:lang w:val="en-US"/>
        </w:rPr>
        <w:t>ADN Safety Committee</w:t>
      </w:r>
      <w:r w:rsidR="006C77AF" w:rsidRPr="006C77AF">
        <w:rPr>
          <w:lang w:val="en-GB"/>
        </w:rPr>
        <w:t xml:space="preserve"> the secretariat transmitted some proposals of corrections to the Sub-Committee. </w:t>
      </w:r>
    </w:p>
    <w:p w:rsidR="00FB0953" w:rsidRDefault="00FB0953" w:rsidP="00FB0953">
      <w:pPr>
        <w:pStyle w:val="SingleTxtG"/>
        <w:rPr>
          <w:lang w:val="en-GB"/>
        </w:rPr>
      </w:pPr>
      <w:r w:rsidRPr="002659ED">
        <w:rPr>
          <w:lang w:val="en-GB"/>
        </w:rPr>
        <w:t>2.</w:t>
      </w:r>
      <w:r w:rsidRPr="002659ED">
        <w:rPr>
          <w:lang w:val="en-GB"/>
        </w:rPr>
        <w:tab/>
        <w:t xml:space="preserve">At that session, </w:t>
      </w:r>
      <w:r w:rsidR="00270C17">
        <w:rPr>
          <w:lang w:val="en-GB"/>
        </w:rPr>
        <w:t xml:space="preserve">the </w:t>
      </w:r>
      <w:r w:rsidR="006C77AF" w:rsidRPr="006C77AF">
        <w:rPr>
          <w:lang w:val="en-GB"/>
        </w:rPr>
        <w:t>Sub-Committee</w:t>
      </w:r>
      <w:r w:rsidR="006C77AF">
        <w:rPr>
          <w:lang w:val="en-GB"/>
        </w:rPr>
        <w:t xml:space="preserve"> adopted the corrections transmitted by the secretariat together with some others relevant for ADN, which are reproduced below for consideration by the </w:t>
      </w:r>
      <w:r w:rsidR="006C77AF" w:rsidRPr="006C77AF">
        <w:rPr>
          <w:lang w:val="en-US"/>
        </w:rPr>
        <w:t>ADN Safety Committee</w:t>
      </w:r>
      <w:r w:rsidR="006C77AF">
        <w:rPr>
          <w:lang w:val="en-US"/>
        </w:rPr>
        <w:t>.</w:t>
      </w:r>
    </w:p>
    <w:p w:rsidR="004763F6" w:rsidRPr="00FB0953" w:rsidRDefault="004763F6" w:rsidP="004763F6">
      <w:pPr>
        <w:ind w:hanging="567"/>
        <w:rPr>
          <w:i/>
          <w:iCs/>
          <w:u w:val="single"/>
        </w:rPr>
      </w:pPr>
      <w:r w:rsidRPr="00FB0953">
        <w:rPr>
          <w:i/>
          <w:iCs/>
          <w:u w:val="single"/>
        </w:rPr>
        <w:t>In the English text:</w:t>
      </w:r>
    </w:p>
    <w:p w:rsidR="004763F6" w:rsidRPr="006C77AF" w:rsidRDefault="004763F6" w:rsidP="004763F6">
      <w:pPr>
        <w:pStyle w:val="H23G"/>
        <w:rPr>
          <w:lang w:val="en-GB"/>
        </w:rPr>
      </w:pPr>
      <w:r w:rsidRPr="004763F6">
        <w:rPr>
          <w:lang w:val="en-GB"/>
        </w:rPr>
        <w:tab/>
        <w:t>1.</w:t>
      </w:r>
      <w:r w:rsidRPr="004763F6">
        <w:rPr>
          <w:lang w:val="en-GB"/>
        </w:rPr>
        <w:tab/>
      </w:r>
      <w:r w:rsidRPr="006C77AF">
        <w:rPr>
          <w:rFonts w:eastAsia="MS Mincho"/>
          <w:lang w:val="en-GB"/>
        </w:rPr>
        <w:t xml:space="preserve">Chapter </w:t>
      </w:r>
      <w:r w:rsidRPr="006C77AF">
        <w:rPr>
          <w:lang w:val="en-GB"/>
        </w:rPr>
        <w:t xml:space="preserve">3.3, </w:t>
      </w:r>
      <w:r w:rsidRPr="006C77AF">
        <w:rPr>
          <w:rFonts w:eastAsia="MS Mincho"/>
          <w:lang w:val="en-GB"/>
        </w:rPr>
        <w:t xml:space="preserve">SP </w:t>
      </w:r>
      <w:r w:rsidRPr="006C77AF">
        <w:rPr>
          <w:lang w:val="en-GB"/>
        </w:rPr>
        <w:t>241</w:t>
      </w:r>
    </w:p>
    <w:p w:rsidR="004763F6" w:rsidRPr="006C77AF" w:rsidRDefault="004763F6" w:rsidP="004763F6">
      <w:pPr>
        <w:pStyle w:val="SingleTxtG"/>
        <w:rPr>
          <w:lang w:val="en-GB"/>
        </w:rPr>
      </w:pPr>
      <w:r w:rsidRPr="007859C5">
        <w:rPr>
          <w:i/>
          <w:iCs/>
          <w:lang w:val="en-GB"/>
        </w:rPr>
        <w:t xml:space="preserve">For </w:t>
      </w:r>
      <w:r w:rsidRPr="007859C5">
        <w:rPr>
          <w:lang w:val="en-GB"/>
        </w:rPr>
        <w:t>in accordance with T</w:t>
      </w:r>
      <w:r w:rsidRPr="006C77AF">
        <w:rPr>
          <w:lang w:val="en-GB"/>
        </w:rPr>
        <w:t xml:space="preserve">est No.1 </w:t>
      </w:r>
      <w:r w:rsidRPr="006C77AF">
        <w:rPr>
          <w:i/>
          <w:iCs/>
          <w:lang w:val="en-GB"/>
        </w:rPr>
        <w:t xml:space="preserve">read </w:t>
      </w:r>
      <w:r w:rsidRPr="007859C5">
        <w:rPr>
          <w:lang w:val="en-GB"/>
        </w:rPr>
        <w:t>in accordance with T</w:t>
      </w:r>
      <w:r w:rsidRPr="006C77AF">
        <w:rPr>
          <w:lang w:val="en-GB"/>
        </w:rPr>
        <w:t>est N.1</w:t>
      </w:r>
    </w:p>
    <w:p w:rsidR="004763F6" w:rsidRPr="006C77AF" w:rsidRDefault="004763F6" w:rsidP="004763F6">
      <w:pPr>
        <w:pStyle w:val="H23G"/>
        <w:rPr>
          <w:lang w:val="en-GB"/>
        </w:rPr>
      </w:pPr>
      <w:r w:rsidRPr="006C77AF">
        <w:rPr>
          <w:lang w:val="en-GB"/>
        </w:rPr>
        <w:tab/>
      </w:r>
      <w:r>
        <w:rPr>
          <w:lang w:val="en-GB"/>
        </w:rPr>
        <w:t>2.</w:t>
      </w:r>
      <w:r w:rsidRPr="006C77AF">
        <w:rPr>
          <w:lang w:val="en-GB"/>
        </w:rPr>
        <w:tab/>
      </w:r>
      <w:r w:rsidRPr="006C77AF">
        <w:rPr>
          <w:rFonts w:eastAsia="MS Mincho"/>
          <w:lang w:val="en-GB"/>
        </w:rPr>
        <w:t xml:space="preserve">Chapter </w:t>
      </w:r>
      <w:r w:rsidRPr="006C77AF">
        <w:rPr>
          <w:lang w:val="en-GB"/>
        </w:rPr>
        <w:t xml:space="preserve">3.3, </w:t>
      </w:r>
      <w:r w:rsidRPr="006C77AF">
        <w:rPr>
          <w:rFonts w:eastAsia="MS Mincho"/>
          <w:lang w:val="en-GB"/>
        </w:rPr>
        <w:t xml:space="preserve">SP </w:t>
      </w:r>
      <w:r w:rsidRPr="006C77AF">
        <w:rPr>
          <w:lang w:val="en-GB"/>
        </w:rPr>
        <w:t>241</w:t>
      </w:r>
    </w:p>
    <w:p w:rsidR="004763F6" w:rsidRDefault="004763F6" w:rsidP="004763F6">
      <w:pPr>
        <w:pStyle w:val="SingleTxtG"/>
        <w:rPr>
          <w:lang w:val="en-GB"/>
        </w:rPr>
      </w:pPr>
      <w:r w:rsidRPr="006C77AF">
        <w:rPr>
          <w:lang w:val="en-GB"/>
        </w:rPr>
        <w:t>Not applicable to English</w:t>
      </w:r>
    </w:p>
    <w:p w:rsidR="004763F6" w:rsidRPr="006C77AF" w:rsidRDefault="004763F6" w:rsidP="004763F6">
      <w:pPr>
        <w:pStyle w:val="H23G"/>
        <w:rPr>
          <w:rFonts w:eastAsia="MS Mincho"/>
          <w:lang w:val="en-GB"/>
        </w:rPr>
      </w:pPr>
      <w:r w:rsidRPr="004763F6">
        <w:rPr>
          <w:rFonts w:eastAsia="MS Mincho"/>
          <w:lang w:val="en-GB"/>
        </w:rPr>
        <w:tab/>
        <w:t>3.</w:t>
      </w:r>
      <w:r w:rsidRPr="004763F6">
        <w:rPr>
          <w:rFonts w:eastAsia="MS Mincho"/>
          <w:lang w:val="en-GB"/>
        </w:rPr>
        <w:tab/>
      </w:r>
      <w:r w:rsidRPr="006C77AF">
        <w:rPr>
          <w:rFonts w:eastAsia="MS Mincho"/>
          <w:lang w:val="en-GB"/>
        </w:rPr>
        <w:t>Chapter 3.3, SP 310</w:t>
      </w:r>
      <w:r>
        <w:rPr>
          <w:rFonts w:eastAsia="MS Mincho"/>
          <w:lang w:val="en-GB"/>
        </w:rPr>
        <w:t>, third paragraph</w:t>
      </w:r>
    </w:p>
    <w:p w:rsidR="004763F6" w:rsidRPr="006C77AF" w:rsidRDefault="004763F6" w:rsidP="004763F6">
      <w:pPr>
        <w:pStyle w:val="SingleTxtG"/>
        <w:rPr>
          <w:rFonts w:eastAsia="MS Mincho"/>
          <w:lang w:val="en-GB"/>
        </w:rPr>
      </w:pPr>
      <w:r w:rsidRPr="006C77AF">
        <w:rPr>
          <w:rFonts w:eastAsia="MS Mincho"/>
          <w:i/>
          <w:iCs/>
          <w:lang w:val="en-GB"/>
        </w:rPr>
        <w:t xml:space="preserve">Delete </w:t>
      </w:r>
      <w:r w:rsidRPr="006C77AF">
        <w:rPr>
          <w:rFonts w:eastAsia="MS Mincho"/>
          <w:lang w:val="en-GB"/>
        </w:rPr>
        <w:t>and packaged in accordance with P908 of 4.1.4.1 or LP904 of 4.1.4.3 of ADR, as applicable</w:t>
      </w:r>
    </w:p>
    <w:p w:rsidR="004763F6" w:rsidRPr="006C77AF" w:rsidRDefault="004763F6" w:rsidP="004763F6">
      <w:pPr>
        <w:pStyle w:val="H23G"/>
        <w:rPr>
          <w:rFonts w:eastAsia="MS Mincho"/>
          <w:lang w:val="en-GB"/>
        </w:rPr>
      </w:pPr>
      <w:r w:rsidRPr="004763F6">
        <w:rPr>
          <w:rFonts w:eastAsia="MS Mincho"/>
          <w:lang w:val="en-GB"/>
        </w:rPr>
        <w:tab/>
        <w:t>4.</w:t>
      </w:r>
      <w:r w:rsidRPr="004763F6">
        <w:rPr>
          <w:rFonts w:eastAsia="MS Mincho"/>
          <w:lang w:val="en-GB"/>
        </w:rPr>
        <w:tab/>
      </w:r>
      <w:r w:rsidRPr="006C77AF">
        <w:rPr>
          <w:rFonts w:eastAsia="MS Mincho"/>
          <w:lang w:val="en-GB"/>
        </w:rPr>
        <w:t>Chapter 3.3, SP 377</w:t>
      </w:r>
      <w:r>
        <w:rPr>
          <w:rFonts w:eastAsia="MS Mincho"/>
          <w:lang w:val="en-GB"/>
        </w:rPr>
        <w:t>, last paragraph</w:t>
      </w:r>
    </w:p>
    <w:p w:rsidR="004763F6" w:rsidRPr="006C77AF" w:rsidRDefault="004763F6" w:rsidP="004763F6">
      <w:pPr>
        <w:pStyle w:val="SingleTxtG"/>
        <w:rPr>
          <w:rFonts w:eastAsia="MS Mincho"/>
          <w:lang w:val="en-GB"/>
        </w:rPr>
      </w:pPr>
      <w:r w:rsidRPr="006C77AF">
        <w:rPr>
          <w:rFonts w:eastAsia="MS Mincho"/>
          <w:i/>
          <w:iCs/>
          <w:lang w:val="en-GB"/>
        </w:rPr>
        <w:t xml:space="preserve">Delete </w:t>
      </w:r>
      <w:r w:rsidRPr="006C77AF">
        <w:rPr>
          <w:rFonts w:eastAsia="MS Mincho"/>
          <w:lang w:val="en-GB"/>
        </w:rPr>
        <w:t>and packaged in accordance with P908 of 4.1.4.1 or LP904 of 4.1.4.3 of ADR, as applicable</w:t>
      </w:r>
    </w:p>
    <w:p w:rsidR="004763F6" w:rsidRPr="006C77AF" w:rsidRDefault="004763F6" w:rsidP="004763F6">
      <w:pPr>
        <w:pStyle w:val="H23G"/>
        <w:rPr>
          <w:rFonts w:eastAsia="MS Mincho"/>
          <w:lang w:val="en-GB"/>
        </w:rPr>
      </w:pPr>
      <w:r w:rsidRPr="006C77AF">
        <w:rPr>
          <w:lang w:val="en-GB"/>
        </w:rPr>
        <w:lastRenderedPageBreak/>
        <w:tab/>
        <w:t>5.</w:t>
      </w:r>
      <w:r w:rsidRPr="006C77AF">
        <w:rPr>
          <w:lang w:val="en-GB"/>
        </w:rPr>
        <w:tab/>
        <w:t>Chapter 7.1, 7.1.4.14.7.3.3 (b)</w:t>
      </w:r>
      <w:r>
        <w:rPr>
          <w:lang w:val="en-GB"/>
        </w:rPr>
        <w:t xml:space="preserve"> </w:t>
      </w:r>
      <w:r w:rsidRPr="00C811DA">
        <w:rPr>
          <w:b w:val="0"/>
          <w:bCs/>
          <w:lang w:val="en-GB"/>
        </w:rPr>
        <w:t>(</w:t>
      </w:r>
      <w:r w:rsidRPr="004763F6">
        <w:rPr>
          <w:b w:val="0"/>
          <w:bCs/>
          <w:u w:val="single"/>
          <w:lang w:val="en-GB"/>
        </w:rPr>
        <w:t>Correction to proposed amendment in ECE/TRANS/WP.15/AC.2/2020/23</w:t>
      </w:r>
      <w:r w:rsidRPr="00C811DA">
        <w:rPr>
          <w:b w:val="0"/>
          <w:bCs/>
          <w:lang w:val="en-GB"/>
        </w:rPr>
        <w:t>)</w:t>
      </w:r>
    </w:p>
    <w:p w:rsidR="004763F6" w:rsidRPr="006C77AF" w:rsidRDefault="004763F6" w:rsidP="004763F6">
      <w:pPr>
        <w:pStyle w:val="SingleTxtG"/>
        <w:rPr>
          <w:lang w:val="en-GB"/>
        </w:rPr>
      </w:pPr>
      <w:r w:rsidRPr="006C77AF">
        <w:rPr>
          <w:i/>
          <w:iCs/>
          <w:lang w:val="en-GB"/>
        </w:rPr>
        <w:t xml:space="preserve">For </w:t>
      </w:r>
      <w:r w:rsidRPr="006C77AF">
        <w:rPr>
          <w:lang w:val="en-GB"/>
        </w:rPr>
        <w:t>radiation limits</w:t>
      </w:r>
      <w:r w:rsidRPr="006C77AF">
        <w:rPr>
          <w:i/>
          <w:iCs/>
          <w:lang w:val="en-GB"/>
        </w:rPr>
        <w:t xml:space="preserve"> read </w:t>
      </w:r>
      <w:r w:rsidRPr="006C77AF">
        <w:rPr>
          <w:lang w:val="en-GB"/>
        </w:rPr>
        <w:t>dose rate limits</w:t>
      </w:r>
    </w:p>
    <w:p w:rsidR="00FB0953" w:rsidRPr="00FB0953" w:rsidRDefault="00FB0953" w:rsidP="00FB0953">
      <w:pPr>
        <w:ind w:hanging="567"/>
        <w:rPr>
          <w:i/>
          <w:iCs/>
          <w:u w:val="single"/>
        </w:rPr>
      </w:pPr>
      <w:r w:rsidRPr="00FB0953">
        <w:rPr>
          <w:i/>
          <w:iCs/>
          <w:u w:val="single"/>
        </w:rPr>
        <w:t>In the French text:</w:t>
      </w:r>
    </w:p>
    <w:p w:rsidR="006C77AF" w:rsidRPr="004763F6" w:rsidRDefault="006C77AF" w:rsidP="006C77AF">
      <w:pPr>
        <w:pStyle w:val="H23G"/>
        <w:rPr>
          <w:lang w:val="en-GB"/>
        </w:rPr>
      </w:pPr>
      <w:r w:rsidRPr="004763F6">
        <w:rPr>
          <w:lang w:val="en-GB"/>
        </w:rPr>
        <w:tab/>
        <w:t>1.</w:t>
      </w:r>
      <w:r w:rsidRPr="004763F6">
        <w:rPr>
          <w:lang w:val="en-GB"/>
        </w:rPr>
        <w:tab/>
      </w:r>
      <w:proofErr w:type="spellStart"/>
      <w:r w:rsidRPr="004763F6">
        <w:rPr>
          <w:lang w:val="en-GB"/>
        </w:rPr>
        <w:t>Chapitre</w:t>
      </w:r>
      <w:proofErr w:type="spellEnd"/>
      <w:r w:rsidRPr="004763F6">
        <w:rPr>
          <w:lang w:val="en-GB"/>
        </w:rPr>
        <w:t xml:space="preserve"> 3.3, DS 241</w:t>
      </w:r>
    </w:p>
    <w:p w:rsidR="006C77AF" w:rsidRPr="00692350" w:rsidRDefault="006C77AF" w:rsidP="006C77AF">
      <w:pPr>
        <w:pStyle w:val="SingleTxtG"/>
      </w:pPr>
      <w:r w:rsidRPr="00692350">
        <w:rPr>
          <w:i/>
          <w:iCs/>
        </w:rPr>
        <w:t>Au lieu de</w:t>
      </w:r>
      <w:r w:rsidRPr="00692350">
        <w:t xml:space="preserve"> </w:t>
      </w:r>
    </w:p>
    <w:p w:rsidR="006C77AF" w:rsidRPr="00692350" w:rsidRDefault="006C77AF" w:rsidP="006C77AF">
      <w:pPr>
        <w:pStyle w:val="SingleTxtG"/>
      </w:pPr>
      <w:proofErr w:type="gramStart"/>
      <w:r w:rsidRPr="00692350">
        <w:t>un</w:t>
      </w:r>
      <w:proofErr w:type="gramEnd"/>
      <w:r w:rsidRPr="00692350">
        <w:t xml:space="preserve"> comportement de matières inflammables lorsqu’elles sont soumises à l’épreuve No 1 </w:t>
      </w:r>
    </w:p>
    <w:p w:rsidR="006C77AF" w:rsidRPr="00692350" w:rsidRDefault="006C77AF" w:rsidP="006C77AF">
      <w:pPr>
        <w:pStyle w:val="SingleTxtG"/>
      </w:pPr>
      <w:proofErr w:type="gramStart"/>
      <w:r w:rsidRPr="00692350">
        <w:rPr>
          <w:i/>
          <w:iCs/>
        </w:rPr>
        <w:t>lire</w:t>
      </w:r>
      <w:proofErr w:type="gramEnd"/>
      <w:r w:rsidRPr="00692350">
        <w:t xml:space="preserve"> </w:t>
      </w:r>
    </w:p>
    <w:p w:rsidR="006C77AF" w:rsidRPr="00692350" w:rsidRDefault="006C77AF" w:rsidP="006C77AF">
      <w:pPr>
        <w:pStyle w:val="SingleTxtG"/>
      </w:pPr>
      <w:proofErr w:type="gramStart"/>
      <w:r w:rsidRPr="00692350">
        <w:t>un</w:t>
      </w:r>
      <w:proofErr w:type="gramEnd"/>
      <w:r w:rsidRPr="00692350">
        <w:t xml:space="preserve"> comportement de matières solides inflammables lorsqu’elles sont soumises à l’épreuve N.1</w:t>
      </w:r>
    </w:p>
    <w:p w:rsidR="006C77AF" w:rsidRPr="00692350" w:rsidRDefault="006C77AF" w:rsidP="006C77AF">
      <w:pPr>
        <w:pStyle w:val="H23G"/>
        <w:rPr>
          <w:lang w:val="fr-FR"/>
        </w:rPr>
      </w:pPr>
      <w:r w:rsidRPr="00692350">
        <w:rPr>
          <w:lang w:val="fr-FR"/>
        </w:rPr>
        <w:tab/>
      </w:r>
      <w:r>
        <w:rPr>
          <w:lang w:val="fr-FR"/>
        </w:rPr>
        <w:t>2.</w:t>
      </w:r>
      <w:r w:rsidRPr="00692350">
        <w:rPr>
          <w:lang w:val="fr-FR"/>
        </w:rPr>
        <w:tab/>
        <w:t xml:space="preserve">Chapitre 3.3, DS </w:t>
      </w:r>
      <w:r w:rsidRPr="00692350">
        <w:t>241</w:t>
      </w:r>
    </w:p>
    <w:p w:rsidR="006C77AF" w:rsidRPr="00692350" w:rsidRDefault="006C77AF" w:rsidP="006C77AF">
      <w:pPr>
        <w:pStyle w:val="SingleTxtG"/>
      </w:pPr>
      <w:r w:rsidRPr="00692350">
        <w:rPr>
          <w:i/>
          <w:iCs/>
        </w:rPr>
        <w:t>Au lieu de</w:t>
      </w:r>
      <w:r w:rsidRPr="00692350">
        <w:t xml:space="preserve"> granulométrie inférieure ou égale à 1,25 mm </w:t>
      </w:r>
      <w:r w:rsidRPr="00692350">
        <w:rPr>
          <w:i/>
          <w:iCs/>
        </w:rPr>
        <w:t>lire</w:t>
      </w:r>
      <w:r w:rsidRPr="00692350">
        <w:t xml:space="preserve"> granulométrie inférieure à 1,25 mm</w:t>
      </w:r>
    </w:p>
    <w:p w:rsidR="006C77AF" w:rsidRPr="00692350" w:rsidRDefault="006C77AF" w:rsidP="006C77AF">
      <w:pPr>
        <w:pStyle w:val="H23G"/>
        <w:rPr>
          <w:lang w:val="fr-FR"/>
        </w:rPr>
      </w:pPr>
      <w:r w:rsidRPr="00692350">
        <w:rPr>
          <w:lang w:val="fr-FR"/>
        </w:rPr>
        <w:tab/>
      </w:r>
      <w:r>
        <w:rPr>
          <w:lang w:val="fr-FR"/>
        </w:rPr>
        <w:t>3.</w:t>
      </w:r>
      <w:r w:rsidRPr="00692350">
        <w:rPr>
          <w:lang w:val="fr-FR"/>
        </w:rPr>
        <w:tab/>
        <w:t xml:space="preserve">Chapitre 3.3, DS </w:t>
      </w:r>
      <w:r w:rsidRPr="00692350">
        <w:t xml:space="preserve">310, </w:t>
      </w:r>
      <w:r>
        <w:t>troisième</w:t>
      </w:r>
      <w:r w:rsidRPr="00692350">
        <w:t xml:space="preserve"> paragraphe</w:t>
      </w:r>
    </w:p>
    <w:p w:rsidR="00FB0953" w:rsidRDefault="006C77AF" w:rsidP="006C77AF">
      <w:pPr>
        <w:pStyle w:val="SingleTxtG"/>
      </w:pPr>
      <w:r w:rsidRPr="006C77AF">
        <w:rPr>
          <w:i/>
          <w:iCs/>
        </w:rPr>
        <w:t>Supprimer</w:t>
      </w:r>
      <w:r w:rsidRPr="006C77AF">
        <w:t xml:space="preserve"> et emballées conformément aux instructions d’emballage P908 du 4.1.4.1 ou LP904 du 4.1.4.3 de l’ADR, selon les cas</w:t>
      </w:r>
    </w:p>
    <w:p w:rsidR="006C77AF" w:rsidRPr="00692350" w:rsidRDefault="006C77AF" w:rsidP="006C77AF">
      <w:pPr>
        <w:pStyle w:val="H23G"/>
        <w:rPr>
          <w:lang w:val="fr-FR"/>
        </w:rPr>
      </w:pPr>
      <w:r w:rsidRPr="00692350">
        <w:rPr>
          <w:lang w:val="fr-FR"/>
        </w:rPr>
        <w:tab/>
      </w:r>
      <w:r>
        <w:rPr>
          <w:lang w:val="fr-FR"/>
        </w:rPr>
        <w:t>4.</w:t>
      </w:r>
      <w:r w:rsidRPr="00692350">
        <w:rPr>
          <w:lang w:val="fr-FR"/>
        </w:rPr>
        <w:tab/>
        <w:t xml:space="preserve">Chapitre 3.3, DS </w:t>
      </w:r>
      <w:r w:rsidRPr="00692350">
        <w:t>377, dernier paragraphe</w:t>
      </w:r>
    </w:p>
    <w:p w:rsidR="006C77AF" w:rsidRPr="00692350" w:rsidRDefault="006C77AF" w:rsidP="006C77AF">
      <w:pPr>
        <w:pStyle w:val="SingleTxtG"/>
      </w:pPr>
      <w:r w:rsidRPr="00692350">
        <w:rPr>
          <w:i/>
          <w:iCs/>
        </w:rPr>
        <w:t>Supprimer</w:t>
      </w:r>
      <w:r w:rsidRPr="00692350">
        <w:t xml:space="preserve"> et emballées conformément aux instructions d’emballage P908 du 4.1.4.1 ou LP904 du 4.1.4.3</w:t>
      </w:r>
      <w:r>
        <w:t xml:space="preserve"> de l’ADR</w:t>
      </w:r>
      <w:r w:rsidRPr="00692350">
        <w:t>, selon les cas</w:t>
      </w:r>
    </w:p>
    <w:p w:rsidR="006C77AF" w:rsidRPr="00967792" w:rsidRDefault="006C77AF" w:rsidP="006C77AF">
      <w:pPr>
        <w:pStyle w:val="H23G"/>
        <w:rPr>
          <w:lang w:val="en-GB"/>
        </w:rPr>
      </w:pPr>
      <w:r w:rsidRPr="003C1460">
        <w:tab/>
      </w:r>
      <w:r>
        <w:t>5.</w:t>
      </w:r>
      <w:r w:rsidRPr="003C1460">
        <w:rPr>
          <w:lang w:val="fr-FR"/>
        </w:rPr>
        <w:tab/>
      </w:r>
      <w:r w:rsidRPr="003C1460">
        <w:rPr>
          <w:lang w:val="fr-FR"/>
        </w:rPr>
        <w:tab/>
      </w:r>
      <w:proofErr w:type="spellStart"/>
      <w:r w:rsidRPr="00007501">
        <w:rPr>
          <w:lang w:val="en-GB"/>
        </w:rPr>
        <w:t>Chapitre</w:t>
      </w:r>
      <w:proofErr w:type="spellEnd"/>
      <w:r w:rsidRPr="00007501">
        <w:rPr>
          <w:lang w:val="en-GB"/>
        </w:rPr>
        <w:t xml:space="preserve"> 7.1, 7.1.4.14.7.3.3 b)</w:t>
      </w:r>
      <w:r w:rsidR="00007501" w:rsidRPr="00007501">
        <w:rPr>
          <w:lang w:val="en-GB"/>
        </w:rPr>
        <w:t xml:space="preserve"> </w:t>
      </w:r>
    </w:p>
    <w:p w:rsidR="006C77AF" w:rsidRDefault="006C77AF" w:rsidP="006C77AF">
      <w:pPr>
        <w:pStyle w:val="SingleTxtG"/>
      </w:pPr>
      <w:r w:rsidRPr="00692350">
        <w:rPr>
          <w:i/>
          <w:iCs/>
        </w:rPr>
        <w:t xml:space="preserve">Au lieu </w:t>
      </w:r>
      <w:proofErr w:type="gramStart"/>
      <w:r w:rsidRPr="00692350">
        <w:rPr>
          <w:i/>
          <w:iCs/>
        </w:rPr>
        <w:t xml:space="preserve">de </w:t>
      </w:r>
      <w:r w:rsidRPr="00692350">
        <w:t>les</w:t>
      </w:r>
      <w:proofErr w:type="gramEnd"/>
      <w:r w:rsidRPr="00692350">
        <w:t xml:space="preserve"> limites d’intensité de rayonnement </w:t>
      </w:r>
      <w:r w:rsidRPr="00692350">
        <w:rPr>
          <w:i/>
          <w:iCs/>
        </w:rPr>
        <w:t>lire</w:t>
      </w:r>
      <w:r w:rsidRPr="00692350">
        <w:t xml:space="preserve"> les limites de débit de dose</w:t>
      </w:r>
    </w:p>
    <w:p w:rsidR="006C77AF" w:rsidRPr="00B70496" w:rsidRDefault="00C811DA" w:rsidP="008D7E59">
      <w:pPr>
        <w:spacing w:before="240"/>
        <w:jc w:val="center"/>
      </w:pPr>
      <w:r w:rsidRPr="00786D36">
        <w:rPr>
          <w:u w:val="single"/>
          <w:lang w:val="fr-CH"/>
        </w:rPr>
        <w:tab/>
      </w:r>
      <w:r w:rsidRPr="00786D36">
        <w:rPr>
          <w:u w:val="single"/>
          <w:lang w:val="fr-CH"/>
        </w:rPr>
        <w:tab/>
      </w:r>
      <w:r w:rsidRPr="00786D36">
        <w:rPr>
          <w:u w:val="single"/>
          <w:lang w:val="fr-CH"/>
        </w:rPr>
        <w:tab/>
      </w:r>
    </w:p>
    <w:sectPr w:rsidR="006C77AF" w:rsidRPr="00B70496" w:rsidSect="00054303">
      <w:headerReference w:type="even" r:id="rId8"/>
      <w:headerReference w:type="default" r:id="rId9"/>
      <w:footerReference w:type="even" r:id="rId10"/>
      <w:footerReference w:type="defaul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25" w:rsidRDefault="00C61425" w:rsidP="00F95C08"/>
  </w:endnote>
  <w:endnote w:type="continuationSeparator" w:id="0">
    <w:p w:rsidR="00C61425" w:rsidRPr="00AC3823" w:rsidRDefault="00C61425" w:rsidP="00AC3823">
      <w:pPr>
        <w:pStyle w:val="Footer"/>
      </w:pPr>
    </w:p>
  </w:endnote>
  <w:endnote w:type="continuationNotice" w:id="1">
    <w:p w:rsidR="00C61425" w:rsidRDefault="00C6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021512"/>
      <w:docPartObj>
        <w:docPartGallery w:val="Page Numbers (Bottom of Page)"/>
        <w:docPartUnique/>
      </w:docPartObj>
    </w:sdtPr>
    <w:sdtEndPr>
      <w:rPr>
        <w:b/>
        <w:bCs/>
        <w:noProof/>
        <w:sz w:val="18"/>
        <w:szCs w:val="22"/>
      </w:rPr>
    </w:sdtEndPr>
    <w:sdtContent>
      <w:p w:rsidR="008D7E59" w:rsidRPr="008D7E59" w:rsidRDefault="008D7E59" w:rsidP="008D7E59">
        <w:pPr>
          <w:pStyle w:val="Footer"/>
          <w:rPr>
            <w:b/>
            <w:bCs/>
            <w:sz w:val="18"/>
            <w:szCs w:val="22"/>
          </w:rPr>
        </w:pPr>
        <w:r w:rsidRPr="008D7E59">
          <w:rPr>
            <w:b/>
            <w:bCs/>
            <w:sz w:val="18"/>
            <w:szCs w:val="22"/>
          </w:rPr>
          <w:fldChar w:fldCharType="begin"/>
        </w:r>
        <w:r w:rsidRPr="008D7E59">
          <w:rPr>
            <w:b/>
            <w:bCs/>
            <w:sz w:val="18"/>
            <w:szCs w:val="22"/>
          </w:rPr>
          <w:instrText xml:space="preserve"> PAGE   \* MERGEFORMAT </w:instrText>
        </w:r>
        <w:r w:rsidRPr="008D7E59">
          <w:rPr>
            <w:b/>
            <w:bCs/>
            <w:sz w:val="18"/>
            <w:szCs w:val="22"/>
          </w:rPr>
          <w:fldChar w:fldCharType="separate"/>
        </w:r>
        <w:r w:rsidRPr="008D7E59">
          <w:rPr>
            <w:b/>
            <w:bCs/>
            <w:noProof/>
            <w:sz w:val="18"/>
            <w:szCs w:val="22"/>
          </w:rPr>
          <w:t>2</w:t>
        </w:r>
        <w:r w:rsidRPr="008D7E59">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593962"/>
      <w:docPartObj>
        <w:docPartGallery w:val="Page Numbers (Bottom of Page)"/>
        <w:docPartUnique/>
      </w:docPartObj>
    </w:sdtPr>
    <w:sdtEndPr>
      <w:rPr>
        <w:b/>
        <w:bCs/>
        <w:noProof/>
        <w:sz w:val="18"/>
        <w:szCs w:val="22"/>
      </w:rPr>
    </w:sdtEndPr>
    <w:sdtContent>
      <w:p w:rsidR="008D7E59" w:rsidRPr="008D7E59" w:rsidRDefault="008D7E59" w:rsidP="008D7E59">
        <w:pPr>
          <w:pStyle w:val="Footer"/>
          <w:jc w:val="right"/>
          <w:rPr>
            <w:b/>
            <w:bCs/>
            <w:sz w:val="18"/>
            <w:szCs w:val="22"/>
          </w:rPr>
        </w:pPr>
        <w:r w:rsidRPr="008D7E59">
          <w:rPr>
            <w:b/>
            <w:bCs/>
            <w:sz w:val="18"/>
            <w:szCs w:val="22"/>
          </w:rPr>
          <w:fldChar w:fldCharType="begin"/>
        </w:r>
        <w:r w:rsidRPr="008D7E59">
          <w:rPr>
            <w:b/>
            <w:bCs/>
            <w:sz w:val="18"/>
            <w:szCs w:val="22"/>
          </w:rPr>
          <w:instrText xml:space="preserve"> PAGE   \* MERGEFORMAT </w:instrText>
        </w:r>
        <w:r w:rsidRPr="008D7E59">
          <w:rPr>
            <w:b/>
            <w:bCs/>
            <w:sz w:val="18"/>
            <w:szCs w:val="22"/>
          </w:rPr>
          <w:fldChar w:fldCharType="separate"/>
        </w:r>
        <w:r>
          <w:rPr>
            <w:b/>
            <w:bCs/>
            <w:sz w:val="18"/>
          </w:rPr>
          <w:t>2</w:t>
        </w:r>
        <w:r w:rsidRPr="008D7E59">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25" w:rsidRPr="00AC3823" w:rsidRDefault="00C61425" w:rsidP="00AC3823">
      <w:pPr>
        <w:pStyle w:val="Footer"/>
        <w:tabs>
          <w:tab w:val="right" w:pos="2155"/>
        </w:tabs>
        <w:spacing w:after="80" w:line="240" w:lineRule="atLeast"/>
        <w:ind w:left="680"/>
        <w:rPr>
          <w:u w:val="single"/>
        </w:rPr>
      </w:pPr>
      <w:r>
        <w:rPr>
          <w:u w:val="single"/>
        </w:rPr>
        <w:tab/>
      </w:r>
    </w:p>
  </w:footnote>
  <w:footnote w:type="continuationSeparator" w:id="0">
    <w:p w:rsidR="00C61425" w:rsidRPr="00AC3823" w:rsidRDefault="00C61425" w:rsidP="00AC3823">
      <w:pPr>
        <w:pStyle w:val="Footer"/>
        <w:tabs>
          <w:tab w:val="right" w:pos="2155"/>
        </w:tabs>
        <w:spacing w:after="80" w:line="240" w:lineRule="atLeast"/>
        <w:ind w:left="680"/>
        <w:rPr>
          <w:u w:val="single"/>
        </w:rPr>
      </w:pPr>
      <w:r>
        <w:rPr>
          <w:u w:val="single"/>
        </w:rPr>
        <w:tab/>
      </w:r>
    </w:p>
  </w:footnote>
  <w:footnote w:type="continuationNotice" w:id="1">
    <w:p w:rsidR="00C61425" w:rsidRPr="00AC3823" w:rsidRDefault="00C61425">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59" w:rsidRDefault="008D7E59">
    <w:pPr>
      <w:pStyle w:val="Header"/>
    </w:pPr>
    <w: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59" w:rsidRDefault="008D7E59" w:rsidP="008D7E59">
    <w:pPr>
      <w:pStyle w:val="Header"/>
      <w:jc w:val="right"/>
    </w:pPr>
    <w:r>
      <w:t>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25"/>
    <w:rsid w:val="00007501"/>
    <w:rsid w:val="00017F94"/>
    <w:rsid w:val="00023842"/>
    <w:rsid w:val="000334F9"/>
    <w:rsid w:val="00054303"/>
    <w:rsid w:val="00075F0A"/>
    <w:rsid w:val="0007796D"/>
    <w:rsid w:val="000B7790"/>
    <w:rsid w:val="000C390E"/>
    <w:rsid w:val="000C7BBB"/>
    <w:rsid w:val="00100AA8"/>
    <w:rsid w:val="00103267"/>
    <w:rsid w:val="00111F2F"/>
    <w:rsid w:val="00133232"/>
    <w:rsid w:val="0014365E"/>
    <w:rsid w:val="0014660A"/>
    <w:rsid w:val="00150DB2"/>
    <w:rsid w:val="00176178"/>
    <w:rsid w:val="001D72C1"/>
    <w:rsid w:val="001E6748"/>
    <w:rsid w:val="001F525A"/>
    <w:rsid w:val="00205EEB"/>
    <w:rsid w:val="00212AE3"/>
    <w:rsid w:val="00223272"/>
    <w:rsid w:val="0024779E"/>
    <w:rsid w:val="00270C17"/>
    <w:rsid w:val="00291F1D"/>
    <w:rsid w:val="0029407C"/>
    <w:rsid w:val="002A726E"/>
    <w:rsid w:val="00350987"/>
    <w:rsid w:val="00353ED5"/>
    <w:rsid w:val="00366303"/>
    <w:rsid w:val="00382A1F"/>
    <w:rsid w:val="00390178"/>
    <w:rsid w:val="003D1AD0"/>
    <w:rsid w:val="00403D7C"/>
    <w:rsid w:val="00446FE5"/>
    <w:rsid w:val="00452396"/>
    <w:rsid w:val="004610B7"/>
    <w:rsid w:val="004763F6"/>
    <w:rsid w:val="004849A7"/>
    <w:rsid w:val="004D1CEB"/>
    <w:rsid w:val="004D50D8"/>
    <w:rsid w:val="00502DB5"/>
    <w:rsid w:val="005126CC"/>
    <w:rsid w:val="005505B7"/>
    <w:rsid w:val="00573BE5"/>
    <w:rsid w:val="00586ED3"/>
    <w:rsid w:val="00596AA9"/>
    <w:rsid w:val="006122C4"/>
    <w:rsid w:val="006C77AF"/>
    <w:rsid w:val="006E1BCD"/>
    <w:rsid w:val="006E2C9B"/>
    <w:rsid w:val="0071601D"/>
    <w:rsid w:val="00734A4A"/>
    <w:rsid w:val="0076624F"/>
    <w:rsid w:val="00766CEC"/>
    <w:rsid w:val="0079527C"/>
    <w:rsid w:val="007A0024"/>
    <w:rsid w:val="007A62E6"/>
    <w:rsid w:val="007D0A06"/>
    <w:rsid w:val="0080684C"/>
    <w:rsid w:val="00815502"/>
    <w:rsid w:val="00871C75"/>
    <w:rsid w:val="008776DC"/>
    <w:rsid w:val="008D7E59"/>
    <w:rsid w:val="008F2A1D"/>
    <w:rsid w:val="00913ADD"/>
    <w:rsid w:val="0093050C"/>
    <w:rsid w:val="00957790"/>
    <w:rsid w:val="00967792"/>
    <w:rsid w:val="009705C8"/>
    <w:rsid w:val="009D0A84"/>
    <w:rsid w:val="009D50DD"/>
    <w:rsid w:val="00A05180"/>
    <w:rsid w:val="00A12AB5"/>
    <w:rsid w:val="00AC3823"/>
    <w:rsid w:val="00AD3959"/>
    <w:rsid w:val="00AE323C"/>
    <w:rsid w:val="00AE7D9F"/>
    <w:rsid w:val="00B00181"/>
    <w:rsid w:val="00B0324B"/>
    <w:rsid w:val="00B43C66"/>
    <w:rsid w:val="00B70496"/>
    <w:rsid w:val="00B765F7"/>
    <w:rsid w:val="00B93C23"/>
    <w:rsid w:val="00BA0CA9"/>
    <w:rsid w:val="00BB3E59"/>
    <w:rsid w:val="00BC738B"/>
    <w:rsid w:val="00BE1F4C"/>
    <w:rsid w:val="00BE4745"/>
    <w:rsid w:val="00BF3C2C"/>
    <w:rsid w:val="00C02897"/>
    <w:rsid w:val="00C61425"/>
    <w:rsid w:val="00C811DA"/>
    <w:rsid w:val="00C841A6"/>
    <w:rsid w:val="00C94FD2"/>
    <w:rsid w:val="00CF3280"/>
    <w:rsid w:val="00CF3AE1"/>
    <w:rsid w:val="00D3439C"/>
    <w:rsid w:val="00D40AEB"/>
    <w:rsid w:val="00D66617"/>
    <w:rsid w:val="00D86004"/>
    <w:rsid w:val="00DA22F4"/>
    <w:rsid w:val="00DB1831"/>
    <w:rsid w:val="00DD3BFD"/>
    <w:rsid w:val="00DF5587"/>
    <w:rsid w:val="00DF6678"/>
    <w:rsid w:val="00E22CF2"/>
    <w:rsid w:val="00E33F14"/>
    <w:rsid w:val="00E52D9F"/>
    <w:rsid w:val="00EE4B44"/>
    <w:rsid w:val="00F12269"/>
    <w:rsid w:val="00F164B0"/>
    <w:rsid w:val="00F660DF"/>
    <w:rsid w:val="00F80094"/>
    <w:rsid w:val="00F95C08"/>
    <w:rsid w:val="00FA01DD"/>
    <w:rsid w:val="00FB09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A95307"/>
  <w15:chartTrackingRefBased/>
  <w15:docId w15:val="{1797DEAF-9BE8-499F-A403-6AE4CE26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425"/>
    <w:pPr>
      <w:widowControl w:val="0"/>
      <w:overflowPunct w:val="0"/>
      <w:autoSpaceDE w:val="0"/>
      <w:autoSpaceDN w:val="0"/>
      <w:adjustRightInd w:val="0"/>
      <w:spacing w:after="0" w:line="240" w:lineRule="auto"/>
      <w:ind w:left="1134" w:hanging="1134"/>
      <w:jc w:val="both"/>
      <w:textAlignment w:val="baseline"/>
    </w:pPr>
    <w:rPr>
      <w:rFonts w:eastAsia="Times New Roman"/>
      <w:lang w:val="en-GB" w:eastAsia="fr-FR"/>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widowControl/>
      <w:suppressAutoHyphens/>
      <w:kinsoku w:val="0"/>
      <w:snapToGrid w:val="0"/>
      <w:spacing w:line="240" w:lineRule="atLeast"/>
      <w:ind w:left="0" w:firstLine="0"/>
      <w:jc w:val="left"/>
      <w:textAlignment w:val="auto"/>
      <w:outlineLvl w:val="1"/>
    </w:pPr>
    <w:rPr>
      <w:rFonts w:eastAsiaTheme="minorEastAsia"/>
      <w:lang w:val="fr-CH" w:eastAsia="zh-CN"/>
    </w:rPr>
  </w:style>
  <w:style w:type="paragraph" w:styleId="Heading3">
    <w:name w:val="heading 3"/>
    <w:basedOn w:val="Normal"/>
    <w:next w:val="Normal"/>
    <w:link w:val="Heading3Char"/>
    <w:semiHidden/>
    <w:qFormat/>
    <w:rsid w:val="00023842"/>
    <w:pPr>
      <w:widowControl/>
      <w:suppressAutoHyphens/>
      <w:kinsoku w:val="0"/>
      <w:snapToGrid w:val="0"/>
      <w:spacing w:line="240" w:lineRule="atLeast"/>
      <w:ind w:left="0" w:firstLine="0"/>
      <w:jc w:val="left"/>
      <w:textAlignment w:val="auto"/>
      <w:outlineLvl w:val="2"/>
    </w:pPr>
    <w:rPr>
      <w:rFonts w:eastAsiaTheme="minorEastAsia"/>
      <w:lang w:val="fr-CH" w:eastAsia="zh-CN"/>
    </w:rPr>
  </w:style>
  <w:style w:type="paragraph" w:styleId="Heading4">
    <w:name w:val="heading 4"/>
    <w:basedOn w:val="Normal"/>
    <w:next w:val="Normal"/>
    <w:link w:val="Heading4Char"/>
    <w:semiHidden/>
    <w:qFormat/>
    <w:rsid w:val="00023842"/>
    <w:pPr>
      <w:widowControl/>
      <w:suppressAutoHyphens/>
      <w:kinsoku w:val="0"/>
      <w:snapToGrid w:val="0"/>
      <w:spacing w:line="240" w:lineRule="atLeast"/>
      <w:ind w:left="0" w:firstLine="0"/>
      <w:jc w:val="left"/>
      <w:textAlignment w:val="auto"/>
      <w:outlineLvl w:val="3"/>
    </w:pPr>
    <w:rPr>
      <w:rFonts w:eastAsiaTheme="minorEastAsia"/>
      <w:lang w:val="fr-CH" w:eastAsia="zh-CN"/>
    </w:rPr>
  </w:style>
  <w:style w:type="paragraph" w:styleId="Heading5">
    <w:name w:val="heading 5"/>
    <w:basedOn w:val="Normal"/>
    <w:next w:val="Normal"/>
    <w:link w:val="Heading5Char"/>
    <w:semiHidden/>
    <w:qFormat/>
    <w:rsid w:val="00023842"/>
    <w:pPr>
      <w:widowControl/>
      <w:suppressAutoHyphens/>
      <w:kinsoku w:val="0"/>
      <w:snapToGrid w:val="0"/>
      <w:spacing w:line="240" w:lineRule="atLeast"/>
      <w:ind w:left="0" w:firstLine="0"/>
      <w:jc w:val="left"/>
      <w:textAlignment w:val="auto"/>
      <w:outlineLvl w:val="4"/>
    </w:pPr>
    <w:rPr>
      <w:rFonts w:eastAsiaTheme="minorEastAsia"/>
      <w:lang w:val="fr-CH" w:eastAsia="zh-CN"/>
    </w:rPr>
  </w:style>
  <w:style w:type="paragraph" w:styleId="Heading6">
    <w:name w:val="heading 6"/>
    <w:basedOn w:val="Normal"/>
    <w:next w:val="Normal"/>
    <w:link w:val="Heading6Char"/>
    <w:semiHidden/>
    <w:qFormat/>
    <w:rsid w:val="00023842"/>
    <w:pPr>
      <w:widowControl/>
      <w:suppressAutoHyphens/>
      <w:kinsoku w:val="0"/>
      <w:snapToGrid w:val="0"/>
      <w:spacing w:line="240" w:lineRule="atLeast"/>
      <w:ind w:left="0" w:firstLine="0"/>
      <w:jc w:val="left"/>
      <w:textAlignment w:val="auto"/>
      <w:outlineLvl w:val="5"/>
    </w:pPr>
    <w:rPr>
      <w:rFonts w:eastAsiaTheme="minorEastAsia"/>
      <w:lang w:val="fr-CH" w:eastAsia="zh-CN"/>
    </w:rPr>
  </w:style>
  <w:style w:type="paragraph" w:styleId="Heading7">
    <w:name w:val="heading 7"/>
    <w:basedOn w:val="Normal"/>
    <w:next w:val="Normal"/>
    <w:link w:val="Heading7Char"/>
    <w:semiHidden/>
    <w:qFormat/>
    <w:rsid w:val="00023842"/>
    <w:pPr>
      <w:widowControl/>
      <w:suppressAutoHyphens/>
      <w:kinsoku w:val="0"/>
      <w:snapToGrid w:val="0"/>
      <w:spacing w:line="240" w:lineRule="atLeast"/>
      <w:ind w:left="0" w:firstLine="0"/>
      <w:jc w:val="left"/>
      <w:textAlignment w:val="auto"/>
      <w:outlineLvl w:val="6"/>
    </w:pPr>
    <w:rPr>
      <w:rFonts w:eastAsiaTheme="minorEastAsia"/>
      <w:lang w:val="fr-CH" w:eastAsia="zh-CN"/>
    </w:rPr>
  </w:style>
  <w:style w:type="paragraph" w:styleId="Heading8">
    <w:name w:val="heading 8"/>
    <w:basedOn w:val="Normal"/>
    <w:next w:val="Normal"/>
    <w:link w:val="Heading8Char"/>
    <w:semiHidden/>
    <w:qFormat/>
    <w:rsid w:val="00023842"/>
    <w:pPr>
      <w:widowControl/>
      <w:suppressAutoHyphens/>
      <w:kinsoku w:val="0"/>
      <w:snapToGrid w:val="0"/>
      <w:spacing w:line="240" w:lineRule="atLeast"/>
      <w:ind w:left="0" w:firstLine="0"/>
      <w:jc w:val="left"/>
      <w:textAlignment w:val="auto"/>
      <w:outlineLvl w:val="7"/>
    </w:pPr>
    <w:rPr>
      <w:rFonts w:eastAsiaTheme="minorEastAsia"/>
      <w:lang w:val="fr-CH" w:eastAsia="zh-CN"/>
    </w:rPr>
  </w:style>
  <w:style w:type="paragraph" w:styleId="Heading9">
    <w:name w:val="heading 9"/>
    <w:basedOn w:val="Normal"/>
    <w:next w:val="Normal"/>
    <w:link w:val="Heading9Char"/>
    <w:semiHidden/>
    <w:qFormat/>
    <w:rsid w:val="00023842"/>
    <w:pPr>
      <w:widowControl/>
      <w:suppressAutoHyphens/>
      <w:kinsoku w:val="0"/>
      <w:snapToGrid w:val="0"/>
      <w:spacing w:line="240" w:lineRule="atLeast"/>
      <w:ind w:left="0" w:firstLine="0"/>
      <w:jc w:val="left"/>
      <w:textAlignment w:val="auto"/>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widowControl/>
      <w:pBdr>
        <w:bottom w:val="single" w:sz="4" w:space="4" w:color="auto"/>
      </w:pBdr>
      <w:suppressAutoHyphens/>
      <w:overflowPunct/>
      <w:autoSpaceDE/>
      <w:autoSpaceDN/>
      <w:adjustRightInd/>
      <w:ind w:left="0" w:firstLine="0"/>
      <w:jc w:val="left"/>
      <w:textAlignment w:val="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widowControl/>
      <w:suppressAutoHyphens/>
      <w:kinsoku w:val="0"/>
      <w:snapToGrid w:val="0"/>
      <w:ind w:left="0" w:firstLine="0"/>
      <w:jc w:val="left"/>
      <w:textAlignment w:val="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widowControl/>
      <w:tabs>
        <w:tab w:val="right" w:pos="851"/>
      </w:tabs>
      <w:suppressAutoHyphens/>
      <w:kinsoku w:val="0"/>
      <w:snapToGrid w:val="0"/>
      <w:spacing w:before="240" w:after="240" w:line="360" w:lineRule="exact"/>
      <w:ind w:right="1134"/>
      <w:jc w:val="left"/>
      <w:textAlignment w:val="auto"/>
    </w:pPr>
    <w:rPr>
      <w:rFonts w:eastAsiaTheme="minorEastAsia"/>
      <w:b/>
      <w:sz w:val="34"/>
      <w:lang w:val="fr-CH" w:eastAsia="zh-CN"/>
    </w:rPr>
  </w:style>
  <w:style w:type="paragraph" w:customStyle="1" w:styleId="HChG">
    <w:name w:val="_ H _Ch_G"/>
    <w:basedOn w:val="Normal"/>
    <w:next w:val="Normal"/>
    <w:link w:val="HChGChar"/>
    <w:qFormat/>
    <w:rsid w:val="0080684C"/>
    <w:pPr>
      <w:keepNext/>
      <w:keepLines/>
      <w:widowControl/>
      <w:tabs>
        <w:tab w:val="right" w:pos="851"/>
      </w:tabs>
      <w:suppressAutoHyphens/>
      <w:kinsoku w:val="0"/>
      <w:snapToGrid w:val="0"/>
      <w:spacing w:before="360" w:after="240" w:line="300" w:lineRule="exact"/>
      <w:ind w:right="1134"/>
      <w:jc w:val="left"/>
      <w:textAlignment w:val="auto"/>
    </w:pPr>
    <w:rPr>
      <w:rFonts w:eastAsiaTheme="minorEastAsia"/>
      <w:b/>
      <w:sz w:val="28"/>
      <w:lang w:val="fr-CH" w:eastAsia="zh-CN"/>
    </w:rPr>
  </w:style>
  <w:style w:type="paragraph" w:customStyle="1" w:styleId="H1G">
    <w:name w:val="_ H_1_G"/>
    <w:basedOn w:val="Normal"/>
    <w:next w:val="Normal"/>
    <w:link w:val="H1GChar"/>
    <w:qFormat/>
    <w:rsid w:val="0080684C"/>
    <w:pPr>
      <w:keepNext/>
      <w:keepLines/>
      <w:widowControl/>
      <w:tabs>
        <w:tab w:val="right" w:pos="851"/>
      </w:tabs>
      <w:suppressAutoHyphens/>
      <w:kinsoku w:val="0"/>
      <w:snapToGrid w:val="0"/>
      <w:spacing w:before="360" w:after="240" w:line="270" w:lineRule="exact"/>
      <w:ind w:right="1134"/>
      <w:jc w:val="left"/>
      <w:textAlignment w:val="auto"/>
    </w:pPr>
    <w:rPr>
      <w:rFonts w:eastAsiaTheme="minorEastAsia"/>
      <w:b/>
      <w:sz w:val="24"/>
      <w:lang w:val="fr-CH" w:eastAsia="zh-CN"/>
    </w:rPr>
  </w:style>
  <w:style w:type="paragraph" w:customStyle="1" w:styleId="H23G">
    <w:name w:val="_ H_2/3_G"/>
    <w:basedOn w:val="Normal"/>
    <w:next w:val="Normal"/>
    <w:link w:val="H23GChar"/>
    <w:qFormat/>
    <w:rsid w:val="0080684C"/>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b/>
      <w:lang w:val="fr-CH" w:eastAsia="zh-CN"/>
    </w:rPr>
  </w:style>
  <w:style w:type="paragraph" w:customStyle="1" w:styleId="H4G">
    <w:name w:val="_ H_4_G"/>
    <w:basedOn w:val="Normal"/>
    <w:next w:val="Normal"/>
    <w:qFormat/>
    <w:rsid w:val="0080684C"/>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i/>
      <w:lang w:val="fr-CH" w:eastAsia="zh-CN"/>
    </w:rPr>
  </w:style>
  <w:style w:type="paragraph" w:customStyle="1" w:styleId="H56G">
    <w:name w:val="_ H_5/6_G"/>
    <w:basedOn w:val="Normal"/>
    <w:next w:val="Normal"/>
    <w:qFormat/>
    <w:rsid w:val="00871C75"/>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lang w:val="fr-CH" w:eastAsia="zh-CN"/>
    </w:rPr>
  </w:style>
  <w:style w:type="paragraph" w:customStyle="1" w:styleId="SingleTxtG">
    <w:name w:val="_ Single Txt_G"/>
    <w:basedOn w:val="Normal"/>
    <w:link w:val="SingleTxtGChar"/>
    <w:qFormat/>
    <w:rsid w:val="0080684C"/>
    <w:pPr>
      <w:widowControl/>
      <w:suppressAutoHyphens/>
      <w:kinsoku w:val="0"/>
      <w:snapToGrid w:val="0"/>
      <w:spacing w:after="120" w:line="240" w:lineRule="atLeast"/>
      <w:ind w:right="1134" w:firstLine="0"/>
      <w:textAlignment w:val="auto"/>
    </w:pPr>
    <w:rPr>
      <w:rFonts w:eastAsiaTheme="minorEastAsia"/>
      <w:lang w:val="fr-CH" w:eastAsia="zh-CN"/>
    </w:rPr>
  </w:style>
  <w:style w:type="paragraph" w:customStyle="1" w:styleId="SLG">
    <w:name w:val="__S_L_G"/>
    <w:basedOn w:val="Normal"/>
    <w:next w:val="Normal"/>
    <w:rsid w:val="0080684C"/>
    <w:pPr>
      <w:keepNext/>
      <w:keepLines/>
      <w:widowControl/>
      <w:suppressAutoHyphens/>
      <w:kinsoku w:val="0"/>
      <w:snapToGrid w:val="0"/>
      <w:spacing w:before="240" w:after="240" w:line="580" w:lineRule="exact"/>
      <w:ind w:right="1134" w:firstLine="0"/>
      <w:jc w:val="left"/>
      <w:textAlignment w:val="auto"/>
    </w:pPr>
    <w:rPr>
      <w:rFonts w:eastAsiaTheme="minorEastAsia"/>
      <w:b/>
      <w:sz w:val="56"/>
      <w:lang w:val="fr-CH" w:eastAsia="zh-CN"/>
    </w:rPr>
  </w:style>
  <w:style w:type="paragraph" w:customStyle="1" w:styleId="SMG">
    <w:name w:val="__S_M_G"/>
    <w:basedOn w:val="Normal"/>
    <w:next w:val="Normal"/>
    <w:rsid w:val="0080684C"/>
    <w:pPr>
      <w:keepNext/>
      <w:keepLines/>
      <w:widowControl/>
      <w:suppressAutoHyphens/>
      <w:kinsoku w:val="0"/>
      <w:snapToGrid w:val="0"/>
      <w:spacing w:before="240" w:after="240" w:line="420" w:lineRule="exact"/>
      <w:ind w:right="1134" w:firstLine="0"/>
      <w:jc w:val="left"/>
      <w:textAlignment w:val="auto"/>
    </w:pPr>
    <w:rPr>
      <w:rFonts w:eastAsiaTheme="minorEastAsia"/>
      <w:b/>
      <w:sz w:val="40"/>
      <w:lang w:val="fr-CH" w:eastAsia="zh-CN"/>
    </w:rPr>
  </w:style>
  <w:style w:type="paragraph" w:customStyle="1" w:styleId="SSG">
    <w:name w:val="__S_S_G"/>
    <w:basedOn w:val="Normal"/>
    <w:next w:val="Normal"/>
    <w:rsid w:val="0080684C"/>
    <w:pPr>
      <w:keepNext/>
      <w:keepLines/>
      <w:widowControl/>
      <w:suppressAutoHyphens/>
      <w:kinsoku w:val="0"/>
      <w:snapToGrid w:val="0"/>
      <w:spacing w:before="240" w:after="240" w:line="300" w:lineRule="exact"/>
      <w:ind w:right="1134" w:firstLine="0"/>
      <w:jc w:val="left"/>
      <w:textAlignment w:val="auto"/>
    </w:pPr>
    <w:rPr>
      <w:rFonts w:eastAsiaTheme="minorEastAsia"/>
      <w:b/>
      <w:sz w:val="28"/>
      <w:lang w:val="fr-CH" w:eastAsia="zh-CN"/>
    </w:rPr>
  </w:style>
  <w:style w:type="paragraph" w:customStyle="1" w:styleId="XLargeG">
    <w:name w:val="__XLarge_G"/>
    <w:basedOn w:val="Normal"/>
    <w:next w:val="Normal"/>
    <w:rsid w:val="00871C75"/>
    <w:pPr>
      <w:keepNext/>
      <w:keepLines/>
      <w:widowControl/>
      <w:suppressAutoHyphens/>
      <w:kinsoku w:val="0"/>
      <w:snapToGrid w:val="0"/>
      <w:spacing w:before="240" w:after="240" w:line="420" w:lineRule="exact"/>
      <w:ind w:right="1134" w:firstLine="0"/>
      <w:jc w:val="left"/>
      <w:textAlignment w:val="auto"/>
    </w:pPr>
    <w:rPr>
      <w:rFonts w:eastAsiaTheme="minorEastAsia"/>
      <w:b/>
      <w:sz w:val="40"/>
      <w:lang w:val="fr-CH" w:eastAsia="zh-CN"/>
    </w:rPr>
  </w:style>
  <w:style w:type="paragraph" w:customStyle="1" w:styleId="Bullet1G">
    <w:name w:val="_Bullet 1_G"/>
    <w:basedOn w:val="Normal"/>
    <w:qFormat/>
    <w:rsid w:val="0080684C"/>
    <w:pPr>
      <w:widowControl/>
      <w:numPr>
        <w:numId w:val="1"/>
      </w:numPr>
      <w:suppressAutoHyphens/>
      <w:kinsoku w:val="0"/>
      <w:snapToGrid w:val="0"/>
      <w:spacing w:after="120" w:line="240" w:lineRule="atLeast"/>
      <w:ind w:right="1134"/>
      <w:textAlignment w:val="auto"/>
    </w:pPr>
    <w:rPr>
      <w:rFonts w:eastAsiaTheme="minorEastAsia"/>
      <w:lang w:val="fr-CH" w:eastAsia="zh-CN"/>
    </w:rPr>
  </w:style>
  <w:style w:type="paragraph" w:customStyle="1" w:styleId="Bullet2G">
    <w:name w:val="_Bullet 2_G"/>
    <w:basedOn w:val="Normal"/>
    <w:qFormat/>
    <w:rsid w:val="0080684C"/>
    <w:pPr>
      <w:widowControl/>
      <w:numPr>
        <w:numId w:val="2"/>
      </w:numPr>
      <w:suppressAutoHyphens/>
      <w:kinsoku w:val="0"/>
      <w:snapToGrid w:val="0"/>
      <w:spacing w:after="120" w:line="240" w:lineRule="atLeast"/>
      <w:ind w:right="1134"/>
      <w:textAlignment w:val="auto"/>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widowControl/>
      <w:tabs>
        <w:tab w:val="right" w:pos="1021"/>
      </w:tabs>
      <w:suppressAutoHyphens/>
      <w:kinsoku w:val="0"/>
      <w:snapToGrid w:val="0"/>
      <w:spacing w:line="220" w:lineRule="exact"/>
      <w:ind w:right="1134"/>
      <w:jc w:val="left"/>
      <w:textAlignment w:val="auto"/>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customStyle="1" w:styleId="Default">
    <w:name w:val="Default"/>
    <w:rsid w:val="00FB0953"/>
    <w:pPr>
      <w:autoSpaceDE w:val="0"/>
      <w:autoSpaceDN w:val="0"/>
      <w:adjustRightInd w:val="0"/>
      <w:spacing w:after="0" w:line="240" w:lineRule="auto"/>
    </w:pPr>
    <w:rPr>
      <w:color w:val="000000"/>
      <w:sz w:val="24"/>
      <w:szCs w:val="24"/>
      <w:lang w:val="en-GB"/>
    </w:rPr>
  </w:style>
  <w:style w:type="character" w:customStyle="1" w:styleId="HChGChar">
    <w:name w:val="_ H _Ch_G Char"/>
    <w:link w:val="HChG"/>
    <w:rsid w:val="00FB0953"/>
    <w:rPr>
      <w:b/>
      <w:sz w:val="28"/>
    </w:rPr>
  </w:style>
  <w:style w:type="character" w:customStyle="1" w:styleId="SingleTxtGChar">
    <w:name w:val="_ Single Txt_G Char"/>
    <w:link w:val="SingleTxtG"/>
    <w:qFormat/>
    <w:locked/>
    <w:rsid w:val="00FB0953"/>
  </w:style>
  <w:style w:type="character" w:customStyle="1" w:styleId="H23GChar">
    <w:name w:val="_ H_2/3_G Char"/>
    <w:link w:val="H23G"/>
    <w:rsid w:val="006C77AF"/>
    <w:rPr>
      <w:b/>
    </w:rPr>
  </w:style>
  <w:style w:type="character" w:customStyle="1" w:styleId="H1GChar">
    <w:name w:val="_ H_1_G Char"/>
    <w:link w:val="H1G"/>
    <w:rsid w:val="009D0A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EA9B-9BD9-4159-AB29-65079B27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7125</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Lucille Caillot</cp:lastModifiedBy>
  <cp:revision>18</cp:revision>
  <cp:lastPrinted>2019-06-12T14:20:00Z</cp:lastPrinted>
  <dcterms:created xsi:type="dcterms:W3CDTF">2020-01-08T14:21:00Z</dcterms:created>
  <dcterms:modified xsi:type="dcterms:W3CDTF">2020-01-15T08:02:00Z</dcterms:modified>
</cp:coreProperties>
</file>