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561E" w:rsidRPr="00FF658F" w:rsidTr="00EE2CDD">
        <w:trPr>
          <w:cantSplit/>
          <w:trHeight w:hRule="exact" w:val="851"/>
        </w:trPr>
        <w:tc>
          <w:tcPr>
            <w:tcW w:w="1276" w:type="dxa"/>
            <w:tcBorders>
              <w:bottom w:val="single" w:sz="4" w:space="0" w:color="auto"/>
            </w:tcBorders>
            <w:vAlign w:val="bottom"/>
          </w:tcPr>
          <w:p w:rsidR="0077561E" w:rsidRPr="00FF658F" w:rsidRDefault="0077561E" w:rsidP="0077561E">
            <w:pPr>
              <w:rPr>
                <w:lang w:eastAsia="en-GB"/>
              </w:rPr>
            </w:pPr>
          </w:p>
        </w:tc>
        <w:tc>
          <w:tcPr>
            <w:tcW w:w="8363" w:type="dxa"/>
            <w:gridSpan w:val="2"/>
            <w:tcBorders>
              <w:bottom w:val="single" w:sz="4" w:space="0" w:color="auto"/>
            </w:tcBorders>
            <w:vAlign w:val="bottom"/>
          </w:tcPr>
          <w:p w:rsidR="0077561E" w:rsidRPr="00FF658F" w:rsidRDefault="0077561E" w:rsidP="0077561E">
            <w:pPr>
              <w:jc w:val="right"/>
            </w:pPr>
            <w:r w:rsidRPr="003C435B">
              <w:rPr>
                <w:b/>
                <w:sz w:val="40"/>
                <w:szCs w:val="40"/>
              </w:rPr>
              <w:t>INF.</w:t>
            </w:r>
            <w:r>
              <w:rPr>
                <w:b/>
                <w:sz w:val="40"/>
                <w:szCs w:val="40"/>
              </w:rPr>
              <w:t>6</w:t>
            </w:r>
          </w:p>
        </w:tc>
      </w:tr>
      <w:tr w:rsidR="0077561E" w:rsidRPr="00FF658F" w:rsidTr="0077561E">
        <w:trPr>
          <w:cantSplit/>
          <w:trHeight w:hRule="exact" w:val="3555"/>
        </w:trPr>
        <w:tc>
          <w:tcPr>
            <w:tcW w:w="6804" w:type="dxa"/>
            <w:gridSpan w:val="2"/>
            <w:tcBorders>
              <w:top w:val="single" w:sz="4" w:space="0" w:color="auto"/>
              <w:bottom w:val="single" w:sz="12" w:space="0" w:color="auto"/>
            </w:tcBorders>
          </w:tcPr>
          <w:p w:rsidR="0077561E" w:rsidRPr="002E7DCB" w:rsidRDefault="0077561E" w:rsidP="0077561E">
            <w:pPr>
              <w:spacing w:before="120"/>
              <w:rPr>
                <w:b/>
                <w:sz w:val="28"/>
                <w:szCs w:val="28"/>
              </w:rPr>
            </w:pPr>
            <w:r>
              <w:rPr>
                <w:b/>
                <w:bCs/>
                <w:sz w:val="28"/>
                <w:szCs w:val="28"/>
              </w:rPr>
              <w:t>Economic Commission for Europe</w:t>
            </w:r>
          </w:p>
          <w:p w:rsidR="0077561E" w:rsidRPr="002E7DCB" w:rsidRDefault="0077561E" w:rsidP="0077561E">
            <w:pPr>
              <w:spacing w:before="120"/>
              <w:rPr>
                <w:sz w:val="28"/>
                <w:szCs w:val="28"/>
              </w:rPr>
            </w:pPr>
            <w:r>
              <w:rPr>
                <w:sz w:val="28"/>
                <w:szCs w:val="28"/>
              </w:rPr>
              <w:t>Inland Transport Committee</w:t>
            </w:r>
          </w:p>
          <w:p w:rsidR="0077561E" w:rsidRPr="002E7DCB" w:rsidRDefault="0077561E" w:rsidP="0077561E">
            <w:pPr>
              <w:spacing w:before="120"/>
              <w:rPr>
                <w:b/>
                <w:sz w:val="24"/>
                <w:szCs w:val="24"/>
              </w:rPr>
            </w:pPr>
            <w:r>
              <w:rPr>
                <w:b/>
                <w:sz w:val="24"/>
                <w:szCs w:val="24"/>
              </w:rPr>
              <w:t>Working Party on the Transport of Dangerous Goods</w:t>
            </w:r>
          </w:p>
          <w:p w:rsidR="0077561E" w:rsidRPr="00FF658F" w:rsidRDefault="0077561E" w:rsidP="0077561E">
            <w:pPr>
              <w:spacing w:before="120"/>
              <w:rPr>
                <w:b/>
              </w:rPr>
            </w:pPr>
            <w:r>
              <w:rPr>
                <w:b/>
              </w:rPr>
              <w:t>Joint Meeting of Experts on the Regulations annexed to the</w:t>
            </w:r>
          </w:p>
          <w:p w:rsidR="0077561E" w:rsidRPr="00FF658F" w:rsidRDefault="0077561E" w:rsidP="0077561E">
            <w:pPr>
              <w:rPr>
                <w:b/>
              </w:rPr>
            </w:pPr>
            <w:r>
              <w:rPr>
                <w:b/>
              </w:rPr>
              <w:t>European Agreement concerning the International Carriage</w:t>
            </w:r>
          </w:p>
          <w:p w:rsidR="0077561E" w:rsidRPr="002E7DCB" w:rsidRDefault="0077561E" w:rsidP="0077561E">
            <w:pPr>
              <w:rPr>
                <w:b/>
              </w:rPr>
            </w:pPr>
            <w:r>
              <w:rPr>
                <w:b/>
              </w:rPr>
              <w:t>of Dangerous Goods by Inland Waterways (ADN)</w:t>
            </w:r>
          </w:p>
          <w:p w:rsidR="0077561E" w:rsidRPr="00614AA5" w:rsidRDefault="0077561E" w:rsidP="0077561E">
            <w:pPr>
              <w:spacing w:before="120"/>
              <w:rPr>
                <w:b/>
              </w:rPr>
            </w:pPr>
            <w:r w:rsidRPr="00614AA5">
              <w:rPr>
                <w:b/>
              </w:rPr>
              <w:t>Thirty-sixth session</w:t>
            </w:r>
          </w:p>
          <w:p w:rsidR="0077561E" w:rsidRPr="00613E78" w:rsidRDefault="0077561E" w:rsidP="0077561E">
            <w:r w:rsidRPr="00614AA5">
              <w:t>Geneva, 27-31 January 2020</w:t>
            </w:r>
            <w:r w:rsidRPr="00614AA5">
              <w:br/>
            </w:r>
            <w:bookmarkStart w:id="0" w:name="_GoBack"/>
            <w:bookmarkEnd w:id="0"/>
            <w:r w:rsidRPr="00613E78">
              <w:t xml:space="preserve">Item </w:t>
            </w:r>
            <w:r>
              <w:t>5 (b)</w:t>
            </w:r>
            <w:r w:rsidRPr="00613E78">
              <w:t xml:space="preserve"> of the provisional agenda</w:t>
            </w:r>
          </w:p>
          <w:p w:rsidR="0077561E" w:rsidRPr="00613E78" w:rsidRDefault="0077561E" w:rsidP="0077561E">
            <w:pPr>
              <w:rPr>
                <w:b/>
              </w:rPr>
            </w:pPr>
            <w:r w:rsidRPr="00613E78">
              <w:rPr>
                <w:b/>
              </w:rPr>
              <w:t>Proposals for amendments to the Regulations annexed to ADN</w:t>
            </w:r>
          </w:p>
          <w:p w:rsidR="0077561E" w:rsidRPr="00FF658F" w:rsidRDefault="0077561E" w:rsidP="0077561E">
            <w:pPr>
              <w:rPr>
                <w:b/>
              </w:rPr>
            </w:pPr>
            <w:r w:rsidRPr="00613E78">
              <w:rPr>
                <w:b/>
              </w:rPr>
              <w:t>Other proposals</w:t>
            </w:r>
            <w:r w:rsidRPr="00614AA5">
              <w:rPr>
                <w:b/>
              </w:rPr>
              <w:t xml:space="preserve"> </w:t>
            </w:r>
            <w:r w:rsidRPr="00614AA5">
              <w:rPr>
                <w:b/>
              </w:rPr>
              <w:t xml:space="preserve">  </w:t>
            </w:r>
            <w:r>
              <w:rPr>
                <w:b/>
              </w:rPr>
              <w:t xml:space="preserve"> </w:t>
            </w:r>
          </w:p>
        </w:tc>
        <w:tc>
          <w:tcPr>
            <w:tcW w:w="2835" w:type="dxa"/>
            <w:tcBorders>
              <w:top w:val="single" w:sz="4" w:space="0" w:color="auto"/>
              <w:bottom w:val="single" w:sz="12" w:space="0" w:color="auto"/>
            </w:tcBorders>
          </w:tcPr>
          <w:p w:rsidR="0077561E" w:rsidRPr="00FF658F" w:rsidRDefault="0077561E" w:rsidP="0077561E">
            <w:pPr>
              <w:spacing w:before="120"/>
              <w:rPr>
                <w:lang w:eastAsia="en-GB"/>
              </w:rPr>
            </w:pPr>
          </w:p>
          <w:p w:rsidR="0077561E" w:rsidRPr="00FF658F" w:rsidRDefault="0077561E" w:rsidP="0077561E">
            <w:pPr>
              <w:spacing w:before="120"/>
              <w:ind w:left="431"/>
            </w:pPr>
            <w:r>
              <w:t>20 December 2019</w:t>
            </w:r>
            <w:r>
              <w:br/>
              <w:t>English</w:t>
            </w:r>
          </w:p>
        </w:tc>
      </w:tr>
    </w:tbl>
    <w:p w:rsidR="00F1616D" w:rsidRPr="003134DF" w:rsidRDefault="00F1616D" w:rsidP="00940390">
      <w:pPr>
        <w:pStyle w:val="HChG"/>
      </w:pPr>
      <w:r w:rsidRPr="003134DF">
        <w:tab/>
      </w:r>
      <w:r w:rsidRPr="003134DF">
        <w:tab/>
      </w:r>
      <w:r w:rsidR="008B379D">
        <w:t>Degassing – the use of the old term gas-freeing</w:t>
      </w:r>
    </w:p>
    <w:p w:rsidR="00F1616D" w:rsidRPr="003134DF" w:rsidRDefault="00F1616D" w:rsidP="00940390">
      <w:pPr>
        <w:pStyle w:val="H1G"/>
        <w:rPr>
          <w:b w:val="0"/>
        </w:rPr>
      </w:pPr>
      <w:r w:rsidRPr="003134DF">
        <w:tab/>
      </w:r>
      <w:r w:rsidRPr="003134DF">
        <w:tab/>
        <w:t xml:space="preserve">Transmitted by the </w:t>
      </w:r>
      <w:r w:rsidR="00940390" w:rsidRPr="003134DF">
        <w:t>Go</w:t>
      </w:r>
      <w:r w:rsidR="00D52DF1">
        <w:t>vernment</w:t>
      </w:r>
      <w:r w:rsidR="00124305">
        <w:t xml:space="preserve"> of</w:t>
      </w:r>
      <w:r w:rsidR="00CA4DCC">
        <w:t xml:space="preserve"> </w:t>
      </w:r>
      <w:r w:rsidR="00124305">
        <w:t>the Netherlands</w:t>
      </w:r>
    </w:p>
    <w:p w:rsidR="00F1616D" w:rsidRPr="005D2090" w:rsidRDefault="00F1616D" w:rsidP="005D2090">
      <w:pPr>
        <w:pStyle w:val="HChG"/>
        <w:keepNext w:val="0"/>
        <w:tabs>
          <w:tab w:val="clear" w:pos="851"/>
        </w:tabs>
        <w:spacing w:before="120" w:after="120" w:line="276" w:lineRule="auto"/>
        <w:ind w:firstLine="0"/>
        <w:jc w:val="both"/>
        <w:rPr>
          <w:sz w:val="24"/>
          <w:szCs w:val="24"/>
        </w:rPr>
      </w:pPr>
      <w:r w:rsidRPr="005D2090">
        <w:rPr>
          <w:sz w:val="24"/>
          <w:szCs w:val="24"/>
        </w:rPr>
        <w:t>Introduction</w:t>
      </w:r>
    </w:p>
    <w:p w:rsidR="002D5C17" w:rsidRDefault="004E4CC3" w:rsidP="00DB4E83">
      <w:pPr>
        <w:pStyle w:val="SingleTxtG"/>
        <w:spacing w:before="120" w:line="276" w:lineRule="auto"/>
      </w:pPr>
      <w:r w:rsidRPr="003134DF">
        <w:t>1.</w:t>
      </w:r>
      <w:r w:rsidRPr="003134DF">
        <w:tab/>
      </w:r>
      <w:r w:rsidR="00A2250D">
        <w:t xml:space="preserve">The </w:t>
      </w:r>
      <w:r w:rsidR="00F20DDB">
        <w:t>German delegation brought to the attention of the Dutch delegation</w:t>
      </w:r>
      <w:r w:rsidR="00FA7FB8">
        <w:t xml:space="preserve"> that the </w:t>
      </w:r>
      <w:r w:rsidR="00A2250D">
        <w:t xml:space="preserve">English version of the </w:t>
      </w:r>
      <w:r w:rsidR="00185B59">
        <w:t>R</w:t>
      </w:r>
      <w:r w:rsidR="00FA7FB8">
        <w:t>egulations annexed to ADN still contain</w:t>
      </w:r>
      <w:r w:rsidR="00143048">
        <w:t>s</w:t>
      </w:r>
      <w:r w:rsidR="00FA7FB8">
        <w:t xml:space="preserve"> </w:t>
      </w:r>
      <w:r w:rsidR="00A2250D">
        <w:t>several</w:t>
      </w:r>
      <w:r w:rsidR="00FA7FB8">
        <w:t xml:space="preserve"> </w:t>
      </w:r>
      <w:r w:rsidR="00143048">
        <w:t>times</w:t>
      </w:r>
      <w:r w:rsidR="00FA7FB8">
        <w:t xml:space="preserve"> the term “gas-freeing”</w:t>
      </w:r>
      <w:r w:rsidR="004E3EE5">
        <w:t>.</w:t>
      </w:r>
      <w:r w:rsidR="00FA7FB8">
        <w:t xml:space="preserve"> One of the aims of the informal working </w:t>
      </w:r>
      <w:r w:rsidR="00196C18">
        <w:t>group on degassing of cargo tanks was to change all the instances of the wording “gas-freed” into “degassed” and “gas-freeing” into “degassing”</w:t>
      </w:r>
      <w:r w:rsidR="00CC225E">
        <w:t>, since the wording “gas-freed” and “gas-freeing” could lead to misinterpretation (ECE/TRANS/WP.15/AC.2/2015/29)</w:t>
      </w:r>
      <w:r w:rsidR="00196C18">
        <w:t>.</w:t>
      </w:r>
      <w:r w:rsidR="00C479CA">
        <w:t xml:space="preserve"> </w:t>
      </w:r>
    </w:p>
    <w:p w:rsidR="00143048" w:rsidRDefault="00A2250D" w:rsidP="00DB4E83">
      <w:pPr>
        <w:pStyle w:val="SingleTxtG"/>
        <w:spacing w:before="120" w:line="276" w:lineRule="auto"/>
      </w:pPr>
      <w:r>
        <w:t xml:space="preserve">2. </w:t>
      </w:r>
      <w:r>
        <w:tab/>
      </w:r>
      <w:r w:rsidR="00812190">
        <w:t>Based on the information we have searched the English version of the regulations for both the terms “</w:t>
      </w:r>
      <w:r w:rsidR="001D2F33">
        <w:t>gas-freeing</w:t>
      </w:r>
      <w:r w:rsidR="00812190">
        <w:t>” and “</w:t>
      </w:r>
      <w:r w:rsidR="001D2F33">
        <w:t>gas-freed</w:t>
      </w:r>
      <w:r w:rsidR="00812190">
        <w:t>”</w:t>
      </w:r>
      <w:r w:rsidR="001D2F33">
        <w:t>. We have found 14 instances of the term “gas-freeing” and two instances of the term “gas-freed”</w:t>
      </w:r>
      <w:r w:rsidR="00143048">
        <w:t>.</w:t>
      </w:r>
    </w:p>
    <w:p w:rsidR="00143048" w:rsidRDefault="00143048" w:rsidP="00DB4E83">
      <w:pPr>
        <w:pStyle w:val="SingleTxtG"/>
        <w:spacing w:before="120" w:line="276" w:lineRule="auto"/>
      </w:pPr>
      <w:r>
        <w:t>3.</w:t>
      </w:r>
      <w:r>
        <w:tab/>
      </w:r>
      <w:r w:rsidR="00FE5032">
        <w:t>Five o</w:t>
      </w:r>
      <w:r>
        <w:t>f these 14 instances</w:t>
      </w:r>
      <w:r w:rsidR="00233E43">
        <w:t xml:space="preserve"> of the term gas-freeing, and one of the instances of the term gas-freed,</w:t>
      </w:r>
      <w:r>
        <w:t xml:space="preserve"> are in chapter 7.2.3</w:t>
      </w:r>
      <w:r w:rsidR="000E1A7E">
        <w:t>.7</w:t>
      </w:r>
      <w:r>
        <w:t>, which is to be deleted for the ADN 2021</w:t>
      </w:r>
      <w:r w:rsidR="009D6703">
        <w:t xml:space="preserve"> (ECE</w:t>
      </w:r>
      <w:r w:rsidR="00CC225E">
        <w:t>/TRANS/WP.15/AC.2/70</w:t>
      </w:r>
      <w:r w:rsidR="009D6703">
        <w:t>)</w:t>
      </w:r>
      <w:r>
        <w:t xml:space="preserve">. </w:t>
      </w:r>
    </w:p>
    <w:p w:rsidR="00436CCB" w:rsidRDefault="00436CCB" w:rsidP="00FE5032">
      <w:pPr>
        <w:pStyle w:val="SingleTxtG"/>
        <w:spacing w:before="120" w:line="276" w:lineRule="auto"/>
        <w:rPr>
          <w:b/>
          <w:sz w:val="24"/>
          <w:szCs w:val="24"/>
        </w:rPr>
      </w:pPr>
    </w:p>
    <w:p w:rsidR="00436CCB" w:rsidRDefault="00436CCB" w:rsidP="00FE5032">
      <w:pPr>
        <w:pStyle w:val="SingleTxtG"/>
        <w:spacing w:before="120" w:line="276" w:lineRule="auto"/>
        <w:rPr>
          <w:b/>
          <w:sz w:val="24"/>
          <w:szCs w:val="24"/>
        </w:rPr>
      </w:pPr>
    </w:p>
    <w:p w:rsidR="00FE5032" w:rsidRPr="00AA12EA" w:rsidRDefault="00FE5032" w:rsidP="00FE5032">
      <w:pPr>
        <w:pStyle w:val="SingleTxtG"/>
        <w:spacing w:before="120" w:line="276" w:lineRule="auto"/>
        <w:rPr>
          <w:b/>
          <w:sz w:val="24"/>
          <w:szCs w:val="24"/>
        </w:rPr>
      </w:pPr>
      <w:r w:rsidRPr="00AA12EA">
        <w:rPr>
          <w:b/>
          <w:sz w:val="24"/>
          <w:szCs w:val="24"/>
        </w:rPr>
        <w:t>Amendment</w:t>
      </w:r>
    </w:p>
    <w:p w:rsidR="00A2250D" w:rsidRDefault="00FE5032" w:rsidP="00DB4E83">
      <w:pPr>
        <w:pStyle w:val="SingleTxtG"/>
        <w:spacing w:before="120" w:line="276" w:lineRule="auto"/>
      </w:pPr>
      <w:r>
        <w:t>4.</w:t>
      </w:r>
      <w:r>
        <w:tab/>
      </w:r>
      <w:r w:rsidR="000E1A7E">
        <w:t>It is our proposal to change t</w:t>
      </w:r>
      <w:r>
        <w:t xml:space="preserve">he remaining nine instances of the term “gas-freeing” into “degassing” and the </w:t>
      </w:r>
      <w:r w:rsidR="00233E43">
        <w:t>remaining</w:t>
      </w:r>
      <w:r>
        <w:t xml:space="preserve"> instance of the term “gas-freed” into “degassed”, as indicated below</w:t>
      </w:r>
      <w:r w:rsidR="00436AE3">
        <w:t xml:space="preserve"> (</w:t>
      </w:r>
      <w:r w:rsidR="00436AE3">
        <w:rPr>
          <w:strike/>
        </w:rPr>
        <w:t xml:space="preserve">The cancelled text is </w:t>
      </w:r>
      <w:proofErr w:type="spellStart"/>
      <w:r w:rsidR="00436AE3">
        <w:rPr>
          <w:strike/>
        </w:rPr>
        <w:t>striked</w:t>
      </w:r>
      <w:proofErr w:type="spellEnd"/>
      <w:r w:rsidR="00436AE3">
        <w:rPr>
          <w:strike/>
        </w:rPr>
        <w:t xml:space="preserve"> through</w:t>
      </w:r>
      <w:r w:rsidR="00436AE3">
        <w:t xml:space="preserve">, </w:t>
      </w:r>
      <w:r w:rsidR="00436AE3">
        <w:rPr>
          <w:b/>
          <w:u w:val="single"/>
        </w:rPr>
        <w:t>the additional text is bold and underlined</w:t>
      </w:r>
      <w:r w:rsidR="00436AE3">
        <w:t>)</w:t>
      </w:r>
      <w:r>
        <w:t>:</w:t>
      </w:r>
    </w:p>
    <w:p w:rsidR="004C46F0" w:rsidRPr="001D2F33" w:rsidRDefault="001D2F33" w:rsidP="001D2F33">
      <w:pPr>
        <w:pStyle w:val="SingleTxtG"/>
        <w:numPr>
          <w:ilvl w:val="0"/>
          <w:numId w:val="26"/>
        </w:numPr>
        <w:spacing w:before="120" w:after="0" w:line="240" w:lineRule="auto"/>
        <w:ind w:left="2058" w:hanging="357"/>
        <w:rPr>
          <w:lang w:val="en-US"/>
        </w:rPr>
      </w:pPr>
      <w:r w:rsidRPr="001D2F33">
        <w:rPr>
          <w:lang w:val="en-US"/>
        </w:rPr>
        <w:t xml:space="preserve">1.6.7.2.2.2, </w:t>
      </w:r>
      <w:r>
        <w:rPr>
          <w:lang w:val="en-US"/>
        </w:rPr>
        <w:t xml:space="preserve">row: </w:t>
      </w:r>
      <w:r w:rsidRPr="001D2F33">
        <w:rPr>
          <w:lang w:val="en-US"/>
        </w:rPr>
        <w:t xml:space="preserve">8.1.2.3 (r), (s), (t), (v), </w:t>
      </w:r>
      <w:r>
        <w:rPr>
          <w:lang w:val="en-US"/>
        </w:rPr>
        <w:t xml:space="preserve">column: </w:t>
      </w:r>
      <w:r w:rsidRPr="001D2F33">
        <w:rPr>
          <w:lang w:val="en-US"/>
        </w:rPr>
        <w:t>time limit and comments</w:t>
      </w:r>
      <w:r w:rsidR="00D52486">
        <w:rPr>
          <w:lang w:val="en-US"/>
        </w:rPr>
        <w:t>;</w:t>
      </w:r>
      <w:r w:rsidR="009C312C">
        <w:rPr>
          <w:lang w:val="en-US"/>
        </w:rPr>
        <w:br/>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4C46F0" w:rsidRPr="0028740C" w:rsidTr="00DC1491">
        <w:trPr>
          <w:cantSplit/>
        </w:trPr>
        <w:tc>
          <w:tcPr>
            <w:tcW w:w="1836" w:type="dxa"/>
          </w:tcPr>
          <w:p w:rsidR="004C46F0" w:rsidRPr="00037EE7" w:rsidRDefault="004C46F0" w:rsidP="00DC1491">
            <w:pPr>
              <w:adjustRightInd w:val="0"/>
              <w:snapToGrid w:val="0"/>
              <w:spacing w:before="40" w:after="40"/>
            </w:pPr>
            <w:r w:rsidRPr="00037EE7">
              <w:lastRenderedPageBreak/>
              <w:t>8.1.2.3</w:t>
            </w:r>
            <w:r w:rsidRPr="00037EE7">
              <w:br/>
              <w:t>(r), (s), (t), (v)</w:t>
            </w:r>
          </w:p>
        </w:tc>
        <w:tc>
          <w:tcPr>
            <w:tcW w:w="2379" w:type="dxa"/>
          </w:tcPr>
          <w:p w:rsidR="004C46F0" w:rsidRPr="00037EE7" w:rsidRDefault="004C46F0" w:rsidP="00DC1491">
            <w:pPr>
              <w:adjustRightInd w:val="0"/>
              <w:snapToGrid w:val="0"/>
              <w:spacing w:before="40" w:after="40"/>
            </w:pPr>
            <w:r w:rsidRPr="00037EE7">
              <w:t>Documents which must be carried on board</w:t>
            </w:r>
          </w:p>
        </w:tc>
        <w:tc>
          <w:tcPr>
            <w:tcW w:w="5144" w:type="dxa"/>
          </w:tcPr>
          <w:p w:rsidR="004C46F0" w:rsidRPr="00037EE7" w:rsidRDefault="004C46F0" w:rsidP="00DC1491">
            <w:pPr>
              <w:adjustRightInd w:val="0"/>
              <w:snapToGrid w:val="0"/>
              <w:spacing w:before="40" w:after="40"/>
              <w:jc w:val="center"/>
            </w:pPr>
            <w:r w:rsidRPr="00037EE7">
              <w:t>N.R.M. from 1 January 2019</w:t>
            </w:r>
          </w:p>
          <w:p w:rsidR="004C46F0" w:rsidRPr="00037EE7" w:rsidRDefault="004C46F0" w:rsidP="00DC1491">
            <w:pPr>
              <w:adjustRightInd w:val="0"/>
              <w:snapToGrid w:val="0"/>
              <w:spacing w:before="40" w:after="40"/>
              <w:jc w:val="center"/>
            </w:pPr>
            <w:r w:rsidRPr="00037EE7">
              <w:t xml:space="preserve">Renewal of the certificate of approval after </w:t>
            </w:r>
            <w:r w:rsidRPr="00037EE7">
              <w:br/>
              <w:t>31 December 2020</w:t>
            </w:r>
          </w:p>
          <w:p w:rsidR="004C46F0" w:rsidRPr="00037EE7" w:rsidRDefault="004C46F0" w:rsidP="00DC1491">
            <w:pPr>
              <w:adjustRightInd w:val="0"/>
              <w:snapToGrid w:val="0"/>
              <w:spacing w:before="40" w:after="40"/>
              <w:jc w:val="both"/>
              <w:rPr>
                <w:lang w:val="en-US"/>
              </w:rPr>
            </w:pPr>
            <w:r w:rsidRPr="00037EE7">
              <w:t xml:space="preserve">Until that </w:t>
            </w:r>
            <w:r w:rsidRPr="00037EE7">
              <w:rPr>
                <w:lang w:val="en-US"/>
              </w:rPr>
              <w:t>date, in addition to the documents required in accordance with 1.1.4.6, the following documents are required:</w:t>
            </w:r>
          </w:p>
          <w:p w:rsidR="004C46F0" w:rsidRPr="00037EE7" w:rsidRDefault="004C46F0" w:rsidP="00DC1491">
            <w:pPr>
              <w:adjustRightInd w:val="0"/>
              <w:snapToGrid w:val="0"/>
              <w:spacing w:before="40" w:after="40"/>
              <w:ind w:left="467" w:hanging="467"/>
              <w:jc w:val="both"/>
              <w:rPr>
                <w:lang w:val="en-US"/>
              </w:rPr>
            </w:pPr>
            <w:r w:rsidRPr="00037EE7">
              <w:rPr>
                <w:lang w:val="en-US"/>
              </w:rPr>
              <w:t>(a)</w:t>
            </w:r>
            <w:r w:rsidRPr="00037EE7">
              <w:rPr>
                <w:lang w:val="en-US"/>
              </w:rPr>
              <w:tab/>
              <w:t>A plan indicating the boundaries of the cargo area and the location of the electrical equipment installed in that area;</w:t>
            </w:r>
          </w:p>
          <w:p w:rsidR="004C46F0" w:rsidRPr="00037EE7" w:rsidRDefault="004C46F0" w:rsidP="00DC1491">
            <w:pPr>
              <w:adjustRightInd w:val="0"/>
              <w:snapToGrid w:val="0"/>
              <w:spacing w:before="40" w:after="40"/>
              <w:ind w:left="467" w:hanging="467"/>
              <w:jc w:val="both"/>
              <w:rPr>
                <w:lang w:val="en-US"/>
              </w:rPr>
            </w:pPr>
            <w:r w:rsidRPr="00037EE7">
              <w:rPr>
                <w:lang w:val="en-US"/>
              </w:rPr>
              <w:t>(b)</w:t>
            </w:r>
            <w:r w:rsidRPr="00037EE7">
              <w:rPr>
                <w:lang w:val="en-US"/>
              </w:rPr>
              <w:tab/>
              <w:t>A list of the machinery, appliances or other electrical equipment referred to in (a) above, including the following particulars:</w:t>
            </w:r>
          </w:p>
          <w:p w:rsidR="004C46F0" w:rsidRPr="00037EE7" w:rsidRDefault="004C46F0" w:rsidP="00DC1491">
            <w:pPr>
              <w:adjustRightInd w:val="0"/>
              <w:snapToGrid w:val="0"/>
              <w:spacing w:before="40" w:after="40"/>
              <w:ind w:left="467"/>
              <w:jc w:val="both"/>
              <w:rPr>
                <w:lang w:val="en-US"/>
              </w:rPr>
            </w:pPr>
            <w:r w:rsidRPr="00037EE7">
              <w:rPr>
                <w:lang w:val="en-US"/>
              </w:rPr>
              <w:t>Machinery or appliance, location, type of protection, type of explosion protection, testing body and approval number;</w:t>
            </w:r>
          </w:p>
          <w:p w:rsidR="004C46F0" w:rsidRPr="00037EE7" w:rsidRDefault="004C46F0" w:rsidP="00DC1491">
            <w:pPr>
              <w:adjustRightInd w:val="0"/>
              <w:snapToGrid w:val="0"/>
              <w:spacing w:before="40" w:after="40"/>
              <w:ind w:left="467" w:hanging="467"/>
              <w:jc w:val="both"/>
              <w:rPr>
                <w:lang w:val="en-US"/>
              </w:rPr>
            </w:pPr>
            <w:r w:rsidRPr="00037EE7">
              <w:rPr>
                <w:lang w:val="en-US"/>
              </w:rPr>
              <w:t>(c)</w:t>
            </w:r>
            <w:r w:rsidRPr="00037EE7">
              <w:rPr>
                <w:lang w:val="en-US"/>
              </w:rPr>
              <w:tab/>
              <w:t xml:space="preserve">A list of or general plan indicating the electrical equipment located outside the cargo area which may be operated during loading, unloading or </w:t>
            </w:r>
            <w:r w:rsidRPr="00122188">
              <w:rPr>
                <w:strike/>
                <w:lang w:val="en-US"/>
              </w:rPr>
              <w:t>gas-</w:t>
            </w:r>
            <w:proofErr w:type="spellStart"/>
            <w:r w:rsidRPr="00122188">
              <w:rPr>
                <w:strike/>
                <w:lang w:val="en-US"/>
              </w:rPr>
              <w:t>freeing</w:t>
            </w:r>
            <w:r w:rsidR="00122188">
              <w:rPr>
                <w:b/>
                <w:u w:val="single"/>
                <w:lang w:val="en-US"/>
              </w:rPr>
              <w:t>degassing</w:t>
            </w:r>
            <w:proofErr w:type="spellEnd"/>
            <w:r w:rsidRPr="00037EE7">
              <w:rPr>
                <w:lang w:val="en-US"/>
              </w:rPr>
              <w:t>.</w:t>
            </w:r>
          </w:p>
          <w:p w:rsidR="004C46F0" w:rsidRPr="00037EE7" w:rsidRDefault="004C46F0" w:rsidP="00DC1491">
            <w:pPr>
              <w:adjustRightInd w:val="0"/>
              <w:snapToGrid w:val="0"/>
              <w:spacing w:before="40" w:after="40"/>
              <w:ind w:left="33"/>
              <w:jc w:val="both"/>
            </w:pPr>
            <w:r w:rsidRPr="00037EE7">
              <w:rPr>
                <w:lang w:val="en-US"/>
              </w:rPr>
              <w:t xml:space="preserve">The documents </w:t>
            </w:r>
            <w:proofErr w:type="spellStart"/>
            <w:r w:rsidRPr="00037EE7">
              <w:rPr>
                <w:lang w:val="en-US"/>
              </w:rPr>
              <w:t>liste</w:t>
            </w:r>
            <w:proofErr w:type="spellEnd"/>
            <w:r w:rsidRPr="00037EE7">
              <w:t>d above shall bear the stamp of the competent authority issuing the certificate of approval.</w:t>
            </w:r>
          </w:p>
        </w:tc>
      </w:tr>
    </w:tbl>
    <w:p w:rsidR="004C46F0" w:rsidRPr="001D2F33" w:rsidRDefault="001D2F33" w:rsidP="001D2F33">
      <w:pPr>
        <w:pStyle w:val="SingleTxtG"/>
        <w:numPr>
          <w:ilvl w:val="0"/>
          <w:numId w:val="26"/>
        </w:numPr>
        <w:spacing w:before="120" w:after="0" w:line="240" w:lineRule="auto"/>
        <w:ind w:left="2058" w:hanging="357"/>
        <w:rPr>
          <w:lang w:val="nl-NL"/>
        </w:rPr>
      </w:pPr>
      <w:r w:rsidRPr="001D2F33">
        <w:rPr>
          <w:lang w:val="fr-FR"/>
        </w:rPr>
        <w:t xml:space="preserve">1.6.7.2.2.2, </w:t>
      </w:r>
      <w:proofErr w:type="gramStart"/>
      <w:r>
        <w:rPr>
          <w:lang w:val="en-US"/>
        </w:rPr>
        <w:t>row:</w:t>
      </w:r>
      <w:proofErr w:type="gramEnd"/>
      <w:r>
        <w:rPr>
          <w:lang w:val="en-US"/>
        </w:rPr>
        <w:t xml:space="preserve"> </w:t>
      </w:r>
      <w:r w:rsidRPr="001D2F33">
        <w:rPr>
          <w:lang w:val="fr-FR"/>
        </w:rPr>
        <w:t xml:space="preserve">9.3.1.12.4 9.3.3.12.4, </w:t>
      </w:r>
      <w:r>
        <w:rPr>
          <w:lang w:val="en-US"/>
        </w:rPr>
        <w:t xml:space="preserve">column: </w:t>
      </w:r>
      <w:r w:rsidR="00D52486">
        <w:rPr>
          <w:lang w:val="en-US"/>
        </w:rPr>
        <w:t>subject;</w:t>
      </w:r>
      <w:r w:rsidR="004C46F0">
        <w:rPr>
          <w:lang w:val="en-US"/>
        </w:rPr>
        <w:br/>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4C46F0" w:rsidRPr="006B2BF9" w:rsidTr="00DC1491">
        <w:trPr>
          <w:cantSplit/>
        </w:trPr>
        <w:tc>
          <w:tcPr>
            <w:tcW w:w="1836" w:type="dxa"/>
          </w:tcPr>
          <w:p w:rsidR="004C46F0" w:rsidRPr="00037EE7" w:rsidRDefault="004C46F0" w:rsidP="00DC1491">
            <w:pPr>
              <w:adjustRightInd w:val="0"/>
              <w:snapToGrid w:val="0"/>
              <w:spacing w:before="40" w:after="40"/>
              <w:rPr>
                <w:snapToGrid w:val="0"/>
              </w:rPr>
            </w:pPr>
            <w:r w:rsidRPr="00037EE7">
              <w:rPr>
                <w:snapToGrid w:val="0"/>
              </w:rPr>
              <w:t>9.3.1.12.4</w:t>
            </w:r>
          </w:p>
          <w:p w:rsidR="004C46F0" w:rsidRPr="00037EE7" w:rsidRDefault="004C46F0" w:rsidP="00DC1491">
            <w:pPr>
              <w:adjustRightInd w:val="0"/>
              <w:snapToGrid w:val="0"/>
              <w:spacing w:before="40" w:after="40"/>
              <w:rPr>
                <w:snapToGrid w:val="0"/>
              </w:rPr>
            </w:pPr>
            <w:r w:rsidRPr="00037EE7">
              <w:rPr>
                <w:snapToGrid w:val="0"/>
              </w:rPr>
              <w:t>9.3.3.12.4</w:t>
            </w:r>
          </w:p>
        </w:tc>
        <w:tc>
          <w:tcPr>
            <w:tcW w:w="2379" w:type="dxa"/>
          </w:tcPr>
          <w:p w:rsidR="004C46F0" w:rsidRPr="00037EE7" w:rsidRDefault="004C46F0" w:rsidP="00DC1491">
            <w:pPr>
              <w:adjustRightInd w:val="0"/>
              <w:snapToGrid w:val="0"/>
              <w:spacing w:before="40" w:after="40"/>
              <w:rPr>
                <w:snapToGrid w:val="0"/>
              </w:rPr>
            </w:pPr>
            <w:r w:rsidRPr="00037EE7">
              <w:rPr>
                <w:snapToGrid w:val="0"/>
              </w:rPr>
              <w:t xml:space="preserve">Electrical installations and equipment used during loading, unloading, </w:t>
            </w:r>
            <w:r w:rsidRPr="00122188">
              <w:rPr>
                <w:strike/>
                <w:snapToGrid w:val="0"/>
              </w:rPr>
              <w:t>gas-</w:t>
            </w:r>
            <w:proofErr w:type="spellStart"/>
            <w:r w:rsidRPr="00122188">
              <w:rPr>
                <w:strike/>
                <w:snapToGrid w:val="0"/>
              </w:rPr>
              <w:t>freeing</w:t>
            </w:r>
            <w:r w:rsidR="00122188">
              <w:rPr>
                <w:b/>
                <w:snapToGrid w:val="0"/>
                <w:u w:val="single"/>
              </w:rPr>
              <w:t>degassing</w:t>
            </w:r>
            <w:proofErr w:type="spellEnd"/>
            <w:r w:rsidRPr="00037EE7">
              <w:rPr>
                <w:snapToGrid w:val="0"/>
              </w:rPr>
              <w:t xml:space="preserve"> and when in the immediate vicinity of or within an onshore assigned zone</w:t>
            </w:r>
          </w:p>
        </w:tc>
        <w:tc>
          <w:tcPr>
            <w:tcW w:w="5144" w:type="dxa"/>
          </w:tcPr>
          <w:p w:rsidR="004C46F0" w:rsidRPr="00037EE7" w:rsidRDefault="004C46F0" w:rsidP="00DC1491">
            <w:pPr>
              <w:adjustRightInd w:val="0"/>
              <w:snapToGrid w:val="0"/>
              <w:spacing w:before="40" w:after="40"/>
              <w:jc w:val="center"/>
              <w:rPr>
                <w:snapToGrid w:val="0"/>
              </w:rPr>
            </w:pPr>
            <w:r w:rsidRPr="00037EE7">
              <w:rPr>
                <w:snapToGrid w:val="0"/>
              </w:rPr>
              <w:t xml:space="preserve">N.R.M. From 1 January 2019 </w:t>
            </w:r>
          </w:p>
          <w:p w:rsidR="004C46F0" w:rsidRPr="00037EE7" w:rsidRDefault="004C46F0" w:rsidP="00DC1491">
            <w:pPr>
              <w:adjustRightInd w:val="0"/>
              <w:snapToGrid w:val="0"/>
              <w:spacing w:before="40" w:after="40"/>
              <w:jc w:val="center"/>
              <w:rPr>
                <w:snapToGrid w:val="0"/>
              </w:rPr>
            </w:pPr>
            <w:r w:rsidRPr="00037EE7">
              <w:rPr>
                <w:snapToGrid w:val="0"/>
              </w:rPr>
              <w:t xml:space="preserve">Renewal of the certificate of approval after </w:t>
            </w:r>
            <w:r w:rsidRPr="00037EE7">
              <w:rPr>
                <w:snapToGrid w:val="0"/>
              </w:rPr>
              <w:br/>
              <w:t>31 December 2034</w:t>
            </w:r>
          </w:p>
          <w:p w:rsidR="004C46F0" w:rsidRPr="00037EE7" w:rsidRDefault="004C46F0" w:rsidP="00DC1491">
            <w:pPr>
              <w:adjustRightInd w:val="0"/>
              <w:snapToGrid w:val="0"/>
              <w:spacing w:before="40" w:after="40"/>
              <w:jc w:val="both"/>
              <w:rPr>
                <w:snapToGrid w:val="0"/>
              </w:rPr>
            </w:pPr>
            <w:r w:rsidRPr="00037EE7">
              <w:rPr>
                <w:snapToGrid w:val="0"/>
              </w:rPr>
              <w:t>Until that date, on board type G and type N vessels whose keels were laid before 1 January 1977, all electrical equipment except the lighting installations in accommodation, radio telephone installations in the accommodation and the wheelhouse and combustion engine control appliances, shall meet the following requirements:</w:t>
            </w:r>
          </w:p>
          <w:p w:rsidR="004C46F0" w:rsidRPr="00037EE7" w:rsidRDefault="004C46F0" w:rsidP="00DC1491">
            <w:pPr>
              <w:adjustRightInd w:val="0"/>
              <w:snapToGrid w:val="0"/>
              <w:spacing w:before="40" w:after="40"/>
              <w:jc w:val="both"/>
              <w:rPr>
                <w:snapToGrid w:val="0"/>
                <w:lang w:val="fr-CH"/>
              </w:rPr>
            </w:pPr>
            <w:proofErr w:type="spellStart"/>
            <w:r w:rsidRPr="00037EE7">
              <w:rPr>
                <w:snapToGrid w:val="0"/>
                <w:lang w:val="fr-CH"/>
              </w:rPr>
              <w:t>Generators</w:t>
            </w:r>
            <w:proofErr w:type="spellEnd"/>
            <w:r w:rsidRPr="00037EE7">
              <w:rPr>
                <w:snapToGrid w:val="0"/>
                <w:lang w:val="fr-CH"/>
              </w:rPr>
              <w:t xml:space="preserve">, engine, </w:t>
            </w:r>
            <w:proofErr w:type="gramStart"/>
            <w:r w:rsidRPr="00037EE7">
              <w:rPr>
                <w:snapToGrid w:val="0"/>
                <w:lang w:val="fr-CH"/>
              </w:rPr>
              <w:t>etc.:</w:t>
            </w:r>
            <w:proofErr w:type="gramEnd"/>
            <w:r w:rsidRPr="00037EE7">
              <w:rPr>
                <w:snapToGrid w:val="0"/>
                <w:lang w:val="fr-CH"/>
              </w:rPr>
              <w:t xml:space="preserve"> IP 13 protection mode</w:t>
            </w:r>
          </w:p>
          <w:p w:rsidR="004C46F0" w:rsidRPr="00037EE7" w:rsidRDefault="004C46F0" w:rsidP="00DC1491">
            <w:pPr>
              <w:adjustRightInd w:val="0"/>
              <w:snapToGrid w:val="0"/>
              <w:spacing w:before="40" w:after="40"/>
              <w:jc w:val="both"/>
              <w:rPr>
                <w:snapToGrid w:val="0"/>
              </w:rPr>
            </w:pPr>
            <w:r w:rsidRPr="00037EE7">
              <w:rPr>
                <w:snapToGrid w:val="0"/>
              </w:rPr>
              <w:t>Switchboards, switches near entrances to accommodation, etc.: IP23 protection mode</w:t>
            </w:r>
          </w:p>
          <w:p w:rsidR="004C46F0" w:rsidRPr="00037EE7" w:rsidRDefault="004C46F0" w:rsidP="00DC1491">
            <w:pPr>
              <w:adjustRightInd w:val="0"/>
              <w:snapToGrid w:val="0"/>
              <w:spacing w:before="40" w:after="40"/>
              <w:jc w:val="both"/>
              <w:rPr>
                <w:snapToGrid w:val="0"/>
                <w:lang w:val="fr-CH"/>
              </w:rPr>
            </w:pPr>
            <w:proofErr w:type="spellStart"/>
            <w:r w:rsidRPr="00037EE7">
              <w:rPr>
                <w:snapToGrid w:val="0"/>
                <w:lang w:val="fr-CH"/>
              </w:rPr>
              <w:t>Appliances</w:t>
            </w:r>
            <w:proofErr w:type="spellEnd"/>
            <w:r w:rsidRPr="00037EE7">
              <w:rPr>
                <w:snapToGrid w:val="0"/>
                <w:lang w:val="fr-CH"/>
              </w:rPr>
              <w:t xml:space="preserve">, </w:t>
            </w:r>
            <w:proofErr w:type="gramStart"/>
            <w:r w:rsidRPr="00037EE7">
              <w:rPr>
                <w:snapToGrid w:val="0"/>
                <w:lang w:val="fr-CH"/>
              </w:rPr>
              <w:t>etc.:</w:t>
            </w:r>
            <w:proofErr w:type="gramEnd"/>
            <w:r w:rsidRPr="00037EE7">
              <w:rPr>
                <w:snapToGrid w:val="0"/>
                <w:lang w:val="fr-CH"/>
              </w:rPr>
              <w:t xml:space="preserve"> IP 55 protection mode</w:t>
            </w:r>
          </w:p>
        </w:tc>
      </w:tr>
    </w:tbl>
    <w:p w:rsidR="004C46F0" w:rsidRPr="001D2F33" w:rsidRDefault="001D2F33" w:rsidP="001D2F33">
      <w:pPr>
        <w:pStyle w:val="SingleTxtG"/>
        <w:numPr>
          <w:ilvl w:val="0"/>
          <w:numId w:val="26"/>
        </w:numPr>
        <w:spacing w:before="120" w:after="0" w:line="240" w:lineRule="auto"/>
        <w:ind w:left="2058" w:hanging="357"/>
        <w:rPr>
          <w:lang w:val="fr-FR"/>
        </w:rPr>
      </w:pPr>
      <w:r w:rsidRPr="001D2F33">
        <w:rPr>
          <w:lang w:val="fr-FR"/>
        </w:rPr>
        <w:t xml:space="preserve">1.6.7.2.2.2, </w:t>
      </w:r>
      <w:proofErr w:type="gramStart"/>
      <w:r>
        <w:rPr>
          <w:lang w:val="en-US"/>
        </w:rPr>
        <w:t>row:</w:t>
      </w:r>
      <w:proofErr w:type="gramEnd"/>
      <w:r>
        <w:rPr>
          <w:lang w:val="en-US"/>
        </w:rPr>
        <w:t xml:space="preserve"> </w:t>
      </w:r>
      <w:r w:rsidRPr="001D2F33">
        <w:rPr>
          <w:lang w:val="fr-FR"/>
        </w:rPr>
        <w:t xml:space="preserve">9.3X.52.1, </w:t>
      </w:r>
      <w:r>
        <w:rPr>
          <w:lang w:val="en-US"/>
        </w:rPr>
        <w:t xml:space="preserve">column: </w:t>
      </w:r>
      <w:r w:rsidRPr="001D2F33">
        <w:rPr>
          <w:lang w:val="en-US"/>
        </w:rPr>
        <w:t>time limit and comments</w:t>
      </w:r>
      <w:r w:rsidR="00D52486">
        <w:rPr>
          <w:lang w:val="en-US"/>
        </w:rPr>
        <w:t>;</w:t>
      </w:r>
      <w:r w:rsidR="004C46F0">
        <w:rPr>
          <w:lang w:val="en-US"/>
        </w:rPr>
        <w:br/>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4C46F0" w:rsidRPr="0028740C" w:rsidTr="00DC1491">
        <w:trPr>
          <w:cantSplit/>
        </w:trPr>
        <w:tc>
          <w:tcPr>
            <w:tcW w:w="1836" w:type="dxa"/>
          </w:tcPr>
          <w:p w:rsidR="004C46F0" w:rsidRPr="00037EE7" w:rsidRDefault="004C46F0" w:rsidP="00DC1491">
            <w:pPr>
              <w:adjustRightInd w:val="0"/>
              <w:snapToGrid w:val="0"/>
              <w:spacing w:before="40" w:after="40"/>
              <w:rPr>
                <w:snapToGrid w:val="0"/>
              </w:rPr>
            </w:pPr>
            <w:r w:rsidRPr="00037EE7">
              <w:rPr>
                <w:snapToGrid w:val="0"/>
              </w:rPr>
              <w:t>9.3.1.52.1</w:t>
            </w:r>
          </w:p>
          <w:p w:rsidR="004C46F0" w:rsidRPr="00037EE7" w:rsidRDefault="004C46F0" w:rsidP="00DC1491">
            <w:pPr>
              <w:adjustRightInd w:val="0"/>
              <w:snapToGrid w:val="0"/>
              <w:spacing w:before="40" w:after="40"/>
              <w:rPr>
                <w:snapToGrid w:val="0"/>
              </w:rPr>
            </w:pPr>
            <w:r w:rsidRPr="00037EE7">
              <w:rPr>
                <w:snapToGrid w:val="0"/>
              </w:rPr>
              <w:t>9.3.2.52.1</w:t>
            </w:r>
          </w:p>
          <w:p w:rsidR="004C46F0" w:rsidRPr="00037EE7" w:rsidRDefault="004C46F0" w:rsidP="00DC1491">
            <w:pPr>
              <w:adjustRightInd w:val="0"/>
              <w:snapToGrid w:val="0"/>
              <w:spacing w:before="40" w:after="40"/>
              <w:rPr>
                <w:snapToGrid w:val="0"/>
              </w:rPr>
            </w:pPr>
            <w:r w:rsidRPr="00037EE7">
              <w:rPr>
                <w:snapToGrid w:val="0"/>
              </w:rPr>
              <w:t>9.3.3.52.1</w:t>
            </w:r>
          </w:p>
        </w:tc>
        <w:tc>
          <w:tcPr>
            <w:tcW w:w="2379" w:type="dxa"/>
            <w:tcBorders>
              <w:bottom w:val="single" w:sz="6" w:space="0" w:color="auto"/>
            </w:tcBorders>
          </w:tcPr>
          <w:p w:rsidR="004C46F0" w:rsidRPr="00037EE7" w:rsidRDefault="004C46F0" w:rsidP="00DC1491">
            <w:pPr>
              <w:adjustRightInd w:val="0"/>
              <w:snapToGrid w:val="0"/>
              <w:spacing w:before="40" w:after="40"/>
              <w:rPr>
                <w:snapToGrid w:val="0"/>
              </w:rPr>
            </w:pPr>
            <w:r w:rsidRPr="00037EE7">
              <w:rPr>
                <w:snapToGrid w:val="0"/>
              </w:rPr>
              <w:t>Electrical installations and equipment of the limited explosion risk type</w:t>
            </w:r>
          </w:p>
        </w:tc>
        <w:tc>
          <w:tcPr>
            <w:tcW w:w="5144" w:type="dxa"/>
          </w:tcPr>
          <w:p w:rsidR="004C46F0" w:rsidRPr="00037EE7" w:rsidRDefault="004C46F0" w:rsidP="00DC1491">
            <w:pPr>
              <w:spacing w:before="40" w:after="120" w:line="220" w:lineRule="exact"/>
              <w:ind w:right="113"/>
              <w:jc w:val="center"/>
            </w:pPr>
            <w:r w:rsidRPr="00037EE7">
              <w:t xml:space="preserve">N.R.M. </w:t>
            </w:r>
          </w:p>
          <w:p w:rsidR="004C46F0" w:rsidRPr="00037EE7" w:rsidRDefault="004C46F0" w:rsidP="00DC1491">
            <w:pPr>
              <w:spacing w:before="40" w:after="120" w:line="220" w:lineRule="exact"/>
              <w:ind w:right="113"/>
              <w:jc w:val="center"/>
            </w:pPr>
            <w:r w:rsidRPr="00037EE7">
              <w:t xml:space="preserve">Renewal of certificate of approval after </w:t>
            </w:r>
            <w:r w:rsidRPr="00037EE7">
              <w:br/>
              <w:t>31 December 2034</w:t>
            </w:r>
          </w:p>
          <w:p w:rsidR="004C46F0" w:rsidRPr="00037EE7" w:rsidRDefault="004C46F0" w:rsidP="00DC1491">
            <w:pPr>
              <w:autoSpaceDE w:val="0"/>
              <w:autoSpaceDN w:val="0"/>
              <w:adjustRightInd w:val="0"/>
              <w:spacing w:before="40" w:after="120" w:line="220" w:lineRule="exact"/>
              <w:ind w:right="113"/>
              <w:jc w:val="both"/>
              <w:rPr>
                <w:lang w:val="en-US"/>
              </w:rPr>
            </w:pPr>
            <w:r w:rsidRPr="00037EE7">
              <w:t xml:space="preserve">Until that date, the following documents are required for electrical equipment used during loading, unloading and </w:t>
            </w:r>
            <w:r w:rsidR="00122188" w:rsidRPr="00122188">
              <w:rPr>
                <w:strike/>
                <w:snapToGrid w:val="0"/>
              </w:rPr>
              <w:t>gas-</w:t>
            </w:r>
            <w:proofErr w:type="spellStart"/>
            <w:r w:rsidR="00122188" w:rsidRPr="00122188">
              <w:rPr>
                <w:strike/>
                <w:snapToGrid w:val="0"/>
              </w:rPr>
              <w:t>freeing</w:t>
            </w:r>
            <w:r w:rsidR="00122188">
              <w:rPr>
                <w:b/>
                <w:snapToGrid w:val="0"/>
                <w:u w:val="single"/>
              </w:rPr>
              <w:t>degassing</w:t>
            </w:r>
            <w:proofErr w:type="spellEnd"/>
            <w:r w:rsidR="00122188" w:rsidRPr="00037EE7">
              <w:rPr>
                <w:snapToGrid w:val="0"/>
              </w:rPr>
              <w:t xml:space="preserve"> </w:t>
            </w:r>
            <w:r w:rsidRPr="00037EE7">
              <w:t xml:space="preserve">of vessels in service whose keels were laid after 1 January 1995: 9.3.1.52.3, 9.3.2.52.3 and 9.3.3.52.3 of the </w:t>
            </w:r>
            <w:proofErr w:type="gramStart"/>
            <w:r w:rsidRPr="00037EE7">
              <w:t>version</w:t>
            </w:r>
            <w:proofErr w:type="gramEnd"/>
            <w:r w:rsidRPr="00037EE7">
              <w:t xml:space="preserve"> of ADN in force until 31 December 2018</w:t>
            </w:r>
          </w:p>
        </w:tc>
      </w:tr>
    </w:tbl>
    <w:p w:rsidR="004C46F0" w:rsidRPr="001D2F33" w:rsidRDefault="001D2F33" w:rsidP="009D6703">
      <w:pPr>
        <w:pStyle w:val="SingleTxtG"/>
        <w:numPr>
          <w:ilvl w:val="0"/>
          <w:numId w:val="29"/>
        </w:numPr>
        <w:spacing w:before="120" w:after="0" w:line="240" w:lineRule="auto"/>
        <w:rPr>
          <w:lang w:val="fr-FR"/>
        </w:rPr>
      </w:pPr>
      <w:r w:rsidRPr="001D2F33">
        <w:rPr>
          <w:lang w:val="fr-FR"/>
        </w:rPr>
        <w:lastRenderedPageBreak/>
        <w:t xml:space="preserve">1.6.7.2.2.2, </w:t>
      </w:r>
      <w:proofErr w:type="gramStart"/>
      <w:r>
        <w:rPr>
          <w:lang w:val="en-US"/>
        </w:rPr>
        <w:t>row:</w:t>
      </w:r>
      <w:proofErr w:type="gramEnd"/>
      <w:r>
        <w:rPr>
          <w:lang w:val="en-US"/>
        </w:rPr>
        <w:t xml:space="preserve"> </w:t>
      </w:r>
      <w:r w:rsidRPr="001D2F33">
        <w:rPr>
          <w:lang w:val="fr-FR"/>
        </w:rPr>
        <w:t xml:space="preserve">9.3.1.52.1 9.3.3.52.1, </w:t>
      </w:r>
      <w:r>
        <w:rPr>
          <w:lang w:val="en-US"/>
        </w:rPr>
        <w:t xml:space="preserve">column: </w:t>
      </w:r>
      <w:r w:rsidRPr="001D2F33">
        <w:rPr>
          <w:lang w:val="en-US"/>
        </w:rPr>
        <w:t>time limit and comments</w:t>
      </w:r>
      <w:r w:rsidR="00D52486">
        <w:rPr>
          <w:lang w:val="en-US"/>
        </w:rPr>
        <w:t>;</w:t>
      </w:r>
      <w:r w:rsidR="004C46F0">
        <w:rPr>
          <w:lang w:val="en-US"/>
        </w:rPr>
        <w:br/>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4C46F0" w:rsidRPr="006B2BF9" w:rsidTr="00DC1491">
        <w:trPr>
          <w:cantSplit/>
        </w:trPr>
        <w:tc>
          <w:tcPr>
            <w:tcW w:w="1836" w:type="dxa"/>
          </w:tcPr>
          <w:p w:rsidR="004C46F0" w:rsidRPr="00037EE7" w:rsidRDefault="004C46F0" w:rsidP="00DC1491">
            <w:pPr>
              <w:adjustRightInd w:val="0"/>
              <w:snapToGrid w:val="0"/>
              <w:spacing w:before="40" w:after="40"/>
              <w:rPr>
                <w:snapToGrid w:val="0"/>
              </w:rPr>
            </w:pPr>
            <w:r w:rsidRPr="00037EE7">
              <w:rPr>
                <w:snapToGrid w:val="0"/>
              </w:rPr>
              <w:t>9.3.1.52.1</w:t>
            </w:r>
          </w:p>
          <w:p w:rsidR="004C46F0" w:rsidRPr="00037EE7" w:rsidRDefault="004C46F0" w:rsidP="00DC1491">
            <w:pPr>
              <w:adjustRightInd w:val="0"/>
              <w:snapToGrid w:val="0"/>
              <w:spacing w:before="40" w:after="40"/>
              <w:rPr>
                <w:snapToGrid w:val="0"/>
              </w:rPr>
            </w:pPr>
            <w:r w:rsidRPr="00037EE7">
              <w:rPr>
                <w:snapToGrid w:val="0"/>
              </w:rPr>
              <w:t>9.3.3.52.1</w:t>
            </w:r>
          </w:p>
        </w:tc>
        <w:tc>
          <w:tcPr>
            <w:tcW w:w="2379" w:type="dxa"/>
            <w:tcBorders>
              <w:bottom w:val="single" w:sz="6" w:space="0" w:color="auto"/>
            </w:tcBorders>
          </w:tcPr>
          <w:p w:rsidR="004C46F0" w:rsidRPr="00037EE7" w:rsidRDefault="004C46F0" w:rsidP="00DC1491">
            <w:pPr>
              <w:adjustRightInd w:val="0"/>
              <w:snapToGrid w:val="0"/>
              <w:spacing w:before="40" w:after="40"/>
              <w:rPr>
                <w:snapToGrid w:val="0"/>
              </w:rPr>
            </w:pPr>
            <w:r w:rsidRPr="00037EE7">
              <w:rPr>
                <w:snapToGrid w:val="0"/>
              </w:rPr>
              <w:t>Electrical installations and equipment of the limited explosion risk type</w:t>
            </w:r>
          </w:p>
        </w:tc>
        <w:tc>
          <w:tcPr>
            <w:tcW w:w="5144" w:type="dxa"/>
          </w:tcPr>
          <w:p w:rsidR="004C46F0" w:rsidRPr="00037EE7" w:rsidRDefault="004C46F0" w:rsidP="00DC1491">
            <w:pPr>
              <w:spacing w:before="40" w:after="120" w:line="220" w:lineRule="exact"/>
              <w:ind w:right="113"/>
              <w:jc w:val="center"/>
            </w:pPr>
            <w:r w:rsidRPr="00037EE7">
              <w:t>N.R.M.</w:t>
            </w:r>
          </w:p>
          <w:p w:rsidR="004C46F0" w:rsidRPr="00037EE7" w:rsidRDefault="004C46F0" w:rsidP="00DC1491">
            <w:pPr>
              <w:spacing w:before="40" w:after="120" w:line="220" w:lineRule="exact"/>
              <w:ind w:right="113"/>
              <w:jc w:val="center"/>
            </w:pPr>
            <w:r w:rsidRPr="00037EE7">
              <w:t xml:space="preserve">Renewal of the certificate of approval after </w:t>
            </w:r>
            <w:r w:rsidRPr="00037EE7">
              <w:br/>
              <w:t>31 December 2034</w:t>
            </w:r>
          </w:p>
          <w:p w:rsidR="004C46F0" w:rsidRPr="00037EE7" w:rsidRDefault="004C46F0" w:rsidP="00DC1491">
            <w:pPr>
              <w:autoSpaceDE w:val="0"/>
              <w:autoSpaceDN w:val="0"/>
              <w:adjustRightInd w:val="0"/>
              <w:spacing w:before="40" w:after="120" w:line="220" w:lineRule="exact"/>
              <w:ind w:right="113"/>
              <w:jc w:val="both"/>
            </w:pPr>
            <w:r w:rsidRPr="00037EE7">
              <w:t xml:space="preserve">Until that date, on board vessels whose keels were laid before </w:t>
            </w:r>
            <w:r w:rsidRPr="00037EE7">
              <w:br/>
              <w:t xml:space="preserve">1 January 1977, all electrical equipment except the lighting installations in the accommodation, radio telephone installations in the accommodation and the wheelhouse and combustion engine control appliances in use during loading, unloading and </w:t>
            </w:r>
            <w:r w:rsidR="00122188" w:rsidRPr="00122188">
              <w:rPr>
                <w:strike/>
                <w:snapToGrid w:val="0"/>
              </w:rPr>
              <w:t>gas-</w:t>
            </w:r>
            <w:proofErr w:type="spellStart"/>
            <w:r w:rsidR="00122188" w:rsidRPr="00122188">
              <w:rPr>
                <w:strike/>
                <w:snapToGrid w:val="0"/>
              </w:rPr>
              <w:t>freeing</w:t>
            </w:r>
            <w:r w:rsidR="00122188">
              <w:rPr>
                <w:b/>
                <w:snapToGrid w:val="0"/>
                <w:u w:val="single"/>
              </w:rPr>
              <w:t>degassing</w:t>
            </w:r>
            <w:proofErr w:type="spellEnd"/>
            <w:r w:rsidR="00122188" w:rsidRPr="00037EE7">
              <w:rPr>
                <w:snapToGrid w:val="0"/>
              </w:rPr>
              <w:t xml:space="preserve"> </w:t>
            </w:r>
            <w:r w:rsidRPr="00037EE7">
              <w:t>shall meet the following requirements:</w:t>
            </w:r>
          </w:p>
          <w:p w:rsidR="004C46F0" w:rsidRPr="00037EE7" w:rsidRDefault="004C46F0" w:rsidP="00DC1491">
            <w:pPr>
              <w:autoSpaceDE w:val="0"/>
              <w:autoSpaceDN w:val="0"/>
              <w:adjustRightInd w:val="0"/>
              <w:spacing w:before="40" w:after="120" w:line="220" w:lineRule="exact"/>
              <w:ind w:right="113"/>
              <w:jc w:val="both"/>
            </w:pPr>
            <w:r w:rsidRPr="00037EE7">
              <w:t>Generators, engines, switchboards, lighting, etc.: IP 13 protection mode</w:t>
            </w:r>
          </w:p>
          <w:p w:rsidR="004C46F0" w:rsidRPr="00037EE7" w:rsidRDefault="004C46F0" w:rsidP="00DC1491">
            <w:pPr>
              <w:autoSpaceDE w:val="0"/>
              <w:autoSpaceDN w:val="0"/>
              <w:adjustRightInd w:val="0"/>
              <w:spacing w:before="40" w:after="120" w:line="220" w:lineRule="exact"/>
              <w:ind w:right="113"/>
              <w:jc w:val="both"/>
              <w:rPr>
                <w:lang w:val="fr-CH"/>
              </w:rPr>
            </w:pPr>
            <w:proofErr w:type="spellStart"/>
            <w:r w:rsidRPr="00037EE7">
              <w:rPr>
                <w:lang w:val="fr-CH"/>
              </w:rPr>
              <w:t>Appliances</w:t>
            </w:r>
            <w:proofErr w:type="spellEnd"/>
            <w:r w:rsidRPr="00037EE7">
              <w:rPr>
                <w:lang w:val="fr-CH"/>
              </w:rPr>
              <w:t xml:space="preserve">, </w:t>
            </w:r>
            <w:proofErr w:type="gramStart"/>
            <w:r w:rsidRPr="00037EE7">
              <w:rPr>
                <w:lang w:val="fr-CH"/>
              </w:rPr>
              <w:t>etc.:</w:t>
            </w:r>
            <w:proofErr w:type="gramEnd"/>
            <w:r w:rsidRPr="00037EE7">
              <w:rPr>
                <w:lang w:val="fr-CH"/>
              </w:rPr>
              <w:t xml:space="preserve"> IP 55 protection mode</w:t>
            </w:r>
          </w:p>
        </w:tc>
      </w:tr>
    </w:tbl>
    <w:p w:rsidR="004C46F0" w:rsidRPr="001D2F33" w:rsidRDefault="001D2F33" w:rsidP="009D6703">
      <w:pPr>
        <w:pStyle w:val="SingleTxtG"/>
        <w:numPr>
          <w:ilvl w:val="0"/>
          <w:numId w:val="29"/>
        </w:numPr>
        <w:spacing w:before="120" w:after="0" w:line="240" w:lineRule="auto"/>
        <w:ind w:left="2058" w:hanging="357"/>
        <w:rPr>
          <w:lang w:val="en-US"/>
        </w:rPr>
      </w:pPr>
      <w:r w:rsidRPr="001D2F33">
        <w:rPr>
          <w:lang w:val="en-US"/>
        </w:rPr>
        <w:t xml:space="preserve">1.6.7.2.2.2, </w:t>
      </w:r>
      <w:r>
        <w:rPr>
          <w:lang w:val="en-US"/>
        </w:rPr>
        <w:t xml:space="preserve">row: </w:t>
      </w:r>
      <w:r w:rsidRPr="001D2F33">
        <w:rPr>
          <w:lang w:val="en-US"/>
        </w:rPr>
        <w:t xml:space="preserve">9.3X.53.1, </w:t>
      </w:r>
      <w:r>
        <w:rPr>
          <w:lang w:val="en-US"/>
        </w:rPr>
        <w:t xml:space="preserve">column: </w:t>
      </w:r>
      <w:r w:rsidRPr="001D2F33">
        <w:rPr>
          <w:lang w:val="en-US"/>
        </w:rPr>
        <w:t>time limit and comments</w:t>
      </w:r>
      <w:r w:rsidR="00D52486">
        <w:rPr>
          <w:lang w:val="en-US"/>
        </w:rPr>
        <w:t>;</w:t>
      </w:r>
      <w:r w:rsidR="004C46F0">
        <w:rPr>
          <w:lang w:val="en-US"/>
        </w:rPr>
        <w:br/>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4C46F0" w:rsidRPr="0028740C" w:rsidTr="00DC1491">
        <w:tc>
          <w:tcPr>
            <w:tcW w:w="1836" w:type="dxa"/>
          </w:tcPr>
          <w:p w:rsidR="004C46F0" w:rsidRPr="00037EE7" w:rsidRDefault="004C46F0" w:rsidP="00DC1491">
            <w:pPr>
              <w:adjustRightInd w:val="0"/>
              <w:snapToGrid w:val="0"/>
              <w:spacing w:before="40" w:after="40"/>
              <w:rPr>
                <w:snapToGrid w:val="0"/>
              </w:rPr>
            </w:pPr>
            <w:r w:rsidRPr="00037EE7">
              <w:rPr>
                <w:snapToGrid w:val="0"/>
              </w:rPr>
              <w:t>9.3.1.53.1</w:t>
            </w:r>
          </w:p>
          <w:p w:rsidR="004C46F0" w:rsidRPr="00037EE7" w:rsidRDefault="004C46F0" w:rsidP="00DC1491">
            <w:pPr>
              <w:adjustRightInd w:val="0"/>
              <w:snapToGrid w:val="0"/>
              <w:spacing w:before="40" w:after="40"/>
              <w:rPr>
                <w:snapToGrid w:val="0"/>
              </w:rPr>
            </w:pPr>
            <w:r w:rsidRPr="00037EE7">
              <w:rPr>
                <w:snapToGrid w:val="0"/>
              </w:rPr>
              <w:t>9.3.2.53.1</w:t>
            </w:r>
          </w:p>
          <w:p w:rsidR="004C46F0" w:rsidRPr="00037EE7" w:rsidRDefault="004C46F0" w:rsidP="00DC1491">
            <w:pPr>
              <w:adjustRightInd w:val="0"/>
              <w:snapToGrid w:val="0"/>
              <w:spacing w:before="40" w:after="40"/>
              <w:rPr>
                <w:snapToGrid w:val="0"/>
              </w:rPr>
            </w:pPr>
            <w:r w:rsidRPr="00037EE7">
              <w:rPr>
                <w:snapToGrid w:val="0"/>
              </w:rPr>
              <w:t>9.3.3.53.1</w:t>
            </w:r>
          </w:p>
        </w:tc>
        <w:tc>
          <w:tcPr>
            <w:tcW w:w="2379" w:type="dxa"/>
          </w:tcPr>
          <w:p w:rsidR="004C46F0" w:rsidRPr="00037EE7" w:rsidRDefault="004C46F0" w:rsidP="00DC1491">
            <w:pPr>
              <w:adjustRightInd w:val="0"/>
              <w:snapToGrid w:val="0"/>
              <w:spacing w:before="40" w:after="40"/>
              <w:rPr>
                <w:snapToGrid w:val="0"/>
              </w:rPr>
            </w:pPr>
            <w:r w:rsidRPr="00037EE7">
              <w:rPr>
                <w:snapToGrid w:val="0"/>
              </w:rPr>
              <w:t>Type and location of electrical installations and equipment intended to be used in explosion hazardous areas</w:t>
            </w:r>
          </w:p>
          <w:p w:rsidR="004C46F0" w:rsidRPr="00037EE7" w:rsidRDefault="004C46F0" w:rsidP="00DC1491">
            <w:pPr>
              <w:adjustRightInd w:val="0"/>
              <w:snapToGrid w:val="0"/>
              <w:spacing w:before="40" w:after="40"/>
              <w:rPr>
                <w:snapToGrid w:val="0"/>
              </w:rPr>
            </w:pPr>
            <w:r w:rsidRPr="00037EE7">
              <w:rPr>
                <w:snapToGrid w:val="0"/>
              </w:rPr>
              <w:t>Zone 0, Zone 1</w:t>
            </w:r>
          </w:p>
        </w:tc>
        <w:tc>
          <w:tcPr>
            <w:tcW w:w="5144" w:type="dxa"/>
          </w:tcPr>
          <w:p w:rsidR="004C46F0" w:rsidRPr="00037EE7" w:rsidRDefault="004C46F0" w:rsidP="00DC1491">
            <w:pPr>
              <w:spacing w:before="40" w:after="120" w:line="220" w:lineRule="exact"/>
              <w:ind w:right="113"/>
              <w:jc w:val="center"/>
            </w:pPr>
            <w:r w:rsidRPr="00037EE7">
              <w:t>N.R.M. from 1 January 2019</w:t>
            </w:r>
          </w:p>
          <w:p w:rsidR="004C46F0" w:rsidRPr="00037EE7" w:rsidRDefault="004C46F0" w:rsidP="00DC1491">
            <w:pPr>
              <w:spacing w:before="40" w:after="120" w:line="220" w:lineRule="exact"/>
              <w:ind w:right="113"/>
              <w:jc w:val="center"/>
            </w:pPr>
            <w:r w:rsidRPr="00037EE7">
              <w:t xml:space="preserve">Renewal of certificate of approval after </w:t>
            </w:r>
            <w:r w:rsidRPr="00037EE7">
              <w:br/>
              <w:t>31 December 2034</w:t>
            </w:r>
          </w:p>
          <w:p w:rsidR="004C46F0" w:rsidRPr="00037EE7" w:rsidRDefault="004C46F0" w:rsidP="00DC1491">
            <w:pPr>
              <w:adjustRightInd w:val="0"/>
              <w:snapToGrid w:val="0"/>
              <w:spacing w:before="40" w:after="40"/>
              <w:jc w:val="both"/>
              <w:rPr>
                <w:snapToGrid w:val="0"/>
              </w:rPr>
            </w:pPr>
            <w:r w:rsidRPr="00037EE7">
              <w:t>Until</w:t>
            </w:r>
            <w:r w:rsidRPr="00037EE7">
              <w:rPr>
                <w:snapToGrid w:val="0"/>
              </w:rPr>
              <w:t xml:space="preserve"> that date, the following requirements are applicable:</w:t>
            </w:r>
          </w:p>
          <w:p w:rsidR="004C46F0" w:rsidRPr="00037EE7" w:rsidRDefault="004C46F0" w:rsidP="00DC1491">
            <w:pPr>
              <w:adjustRightInd w:val="0"/>
              <w:snapToGrid w:val="0"/>
              <w:spacing w:before="40" w:after="40"/>
              <w:ind w:left="609" w:hanging="609"/>
              <w:jc w:val="both"/>
              <w:rPr>
                <w:snapToGrid w:val="0"/>
              </w:rPr>
            </w:pPr>
            <w:r w:rsidRPr="00037EE7">
              <w:rPr>
                <w:snapToGrid w:val="0"/>
              </w:rPr>
              <w:t>(a)</w:t>
            </w:r>
            <w:r w:rsidRPr="00037EE7">
              <w:rPr>
                <w:snapToGrid w:val="0"/>
              </w:rPr>
              <w:tab/>
              <w:t xml:space="preserve">In cargo tanks and piping for loading and unloading, only measuring, regulation and alarm devices of the </w:t>
            </w:r>
            <w:proofErr w:type="spellStart"/>
            <w:r w:rsidRPr="00037EE7">
              <w:rPr>
                <w:snapToGrid w:val="0"/>
              </w:rPr>
              <w:t>EEx</w:t>
            </w:r>
            <w:proofErr w:type="spellEnd"/>
            <w:r w:rsidRPr="00037EE7">
              <w:rPr>
                <w:snapToGrid w:val="0"/>
              </w:rPr>
              <w:t xml:space="preserve"> (</w:t>
            </w:r>
            <w:proofErr w:type="spellStart"/>
            <w:r w:rsidRPr="00037EE7">
              <w:rPr>
                <w:snapToGrid w:val="0"/>
              </w:rPr>
              <w:t>ia</w:t>
            </w:r>
            <w:proofErr w:type="spellEnd"/>
            <w:r w:rsidRPr="00037EE7">
              <w:rPr>
                <w:snapToGrid w:val="0"/>
              </w:rPr>
              <w:t>) type of protection may be installed.</w:t>
            </w:r>
          </w:p>
          <w:p w:rsidR="004C46F0" w:rsidRPr="00037EE7" w:rsidRDefault="004C46F0" w:rsidP="00DC1491">
            <w:pPr>
              <w:adjustRightInd w:val="0"/>
              <w:snapToGrid w:val="0"/>
              <w:spacing w:before="40" w:after="40"/>
              <w:ind w:left="609" w:hanging="609"/>
              <w:jc w:val="both"/>
            </w:pPr>
            <w:r w:rsidRPr="00037EE7">
              <w:rPr>
                <w:snapToGrid w:val="0"/>
              </w:rPr>
              <w:t>(b)</w:t>
            </w:r>
            <w:r w:rsidRPr="00037EE7">
              <w:rPr>
                <w:snapToGrid w:val="0"/>
              </w:rPr>
              <w:tab/>
              <w:t>Electrical equipment on deck in the cargo area and the measuring, regulation and alarm apparatus, motors driving essential equipment such as ballast pumps in t</w:t>
            </w:r>
            <w:r w:rsidRPr="00037EE7">
              <w:t>he cofferdams, double-hull spaces, double bottoms, hold spaces and service spaces below deck in the cargo area shall be checked and approved by the competent authority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p w:rsidR="004C46F0" w:rsidRPr="00037EE7" w:rsidRDefault="004C46F0" w:rsidP="00DC1491">
            <w:pPr>
              <w:adjustRightInd w:val="0"/>
              <w:snapToGrid w:val="0"/>
              <w:spacing w:before="40" w:after="40"/>
              <w:ind w:left="609" w:hanging="609"/>
              <w:jc w:val="both"/>
            </w:pPr>
            <w:r w:rsidRPr="00037EE7">
              <w:t>(c)</w:t>
            </w:r>
            <w:r w:rsidRPr="00037EE7">
              <w:tab/>
            </w:r>
            <w:r w:rsidRPr="00037EE7">
              <w:rPr>
                <w:spacing w:val="-4"/>
              </w:rPr>
              <w:t>In the cofferdams, double-hull spaces, double bottoms, hold spaces and service spaces below deck in the cargo area, the lighting appliances must have the “flame-proof enclosure” or “apparatus protected by pressurization” type of protection.</w:t>
            </w:r>
          </w:p>
          <w:p w:rsidR="004C46F0" w:rsidRPr="00037EE7" w:rsidRDefault="004C46F0" w:rsidP="00DC1491">
            <w:pPr>
              <w:adjustRightInd w:val="0"/>
              <w:snapToGrid w:val="0"/>
              <w:spacing w:before="40" w:after="40"/>
              <w:ind w:left="609" w:hanging="609"/>
              <w:jc w:val="both"/>
            </w:pPr>
            <w:r w:rsidRPr="00037EE7">
              <w:t>(d)</w:t>
            </w:r>
            <w:r w:rsidRPr="00037EE7">
              <w:tab/>
              <w:t>The control and protective equipment of the equipment referred to in (a), (b) and (c) above shall be located outside the cargo area if they are not intrinsically safe.</w:t>
            </w:r>
          </w:p>
          <w:p w:rsidR="004C46F0" w:rsidRPr="00037EE7" w:rsidRDefault="004C46F0" w:rsidP="00DC1491">
            <w:pPr>
              <w:adjustRightInd w:val="0"/>
              <w:snapToGrid w:val="0"/>
              <w:spacing w:before="40" w:after="40"/>
              <w:ind w:left="609" w:hanging="609"/>
              <w:jc w:val="both"/>
              <w:rPr>
                <w:spacing w:val="-2"/>
              </w:rPr>
            </w:pPr>
            <w:r w:rsidRPr="00037EE7">
              <w:tab/>
            </w:r>
            <w:r w:rsidRPr="00037EE7">
              <w:rPr>
                <w:spacing w:val="-2"/>
              </w:rPr>
              <w:t xml:space="preserve">For the selection of electrical equipment, the explosion groups and temperature classes assigned to the substances carried in the list of substances shall be </w:t>
            </w:r>
            <w:r w:rsidRPr="00037EE7">
              <w:rPr>
                <w:spacing w:val="-2"/>
              </w:rPr>
              <w:lastRenderedPageBreak/>
              <w:t>taken into consideration (see columns (15) and (16) of Table C of Chapter 3.2).</w:t>
            </w:r>
          </w:p>
          <w:p w:rsidR="004C46F0" w:rsidRPr="00037EE7" w:rsidRDefault="004C46F0" w:rsidP="00DC1491">
            <w:pPr>
              <w:adjustRightInd w:val="0"/>
              <w:snapToGrid w:val="0"/>
              <w:spacing w:before="40" w:after="40"/>
              <w:ind w:left="609" w:hanging="609"/>
              <w:jc w:val="both"/>
            </w:pPr>
            <w:r w:rsidRPr="00037EE7">
              <w:tab/>
              <w:t>Until that date, the following requirements apply on board vessels in service whose keels were laid after 31 December 1977:</w:t>
            </w:r>
          </w:p>
          <w:p w:rsidR="004C46F0" w:rsidRPr="00037EE7" w:rsidRDefault="004C46F0" w:rsidP="00DC1491">
            <w:pPr>
              <w:adjustRightInd w:val="0"/>
              <w:snapToGrid w:val="0"/>
              <w:spacing w:before="40" w:after="40"/>
              <w:ind w:left="609" w:hanging="609"/>
              <w:jc w:val="both"/>
            </w:pPr>
            <w:r w:rsidRPr="00037EE7">
              <w:tab/>
              <w:t xml:space="preserve">Until that date, the following conditions shall be met during loading, unloading and </w:t>
            </w:r>
            <w:r w:rsidR="000E1A7E" w:rsidRPr="00122188">
              <w:rPr>
                <w:strike/>
                <w:snapToGrid w:val="0"/>
              </w:rPr>
              <w:t>gas-</w:t>
            </w:r>
            <w:proofErr w:type="spellStart"/>
            <w:r w:rsidR="000E1A7E" w:rsidRPr="00122188">
              <w:rPr>
                <w:strike/>
                <w:snapToGrid w:val="0"/>
              </w:rPr>
              <w:t>freeing</w:t>
            </w:r>
            <w:r w:rsidR="000E1A7E">
              <w:rPr>
                <w:b/>
                <w:snapToGrid w:val="0"/>
                <w:u w:val="single"/>
              </w:rPr>
              <w:t>degassing</w:t>
            </w:r>
            <w:proofErr w:type="spellEnd"/>
            <w:r w:rsidR="000E1A7E" w:rsidRPr="00037EE7">
              <w:rPr>
                <w:snapToGrid w:val="0"/>
              </w:rPr>
              <w:t xml:space="preserve"> </w:t>
            </w:r>
            <w:r w:rsidRPr="00037EE7">
              <w:t>on board vessels having non-gastight wheelhouse openings (e.g. doors, windows, etc.) in the cargo area:</w:t>
            </w:r>
          </w:p>
          <w:p w:rsidR="004C46F0" w:rsidRPr="00037EE7" w:rsidRDefault="004C46F0" w:rsidP="00DC1491">
            <w:pPr>
              <w:adjustRightInd w:val="0"/>
              <w:snapToGrid w:val="0"/>
              <w:spacing w:before="40" w:after="40"/>
              <w:ind w:left="609" w:hanging="609"/>
              <w:jc w:val="both"/>
            </w:pPr>
            <w:r w:rsidRPr="00037EE7">
              <w:t>(a)</w:t>
            </w:r>
            <w:r w:rsidRPr="00037EE7">
              <w:tab/>
              <w:t>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rsidR="004C46F0" w:rsidRPr="00037EE7" w:rsidRDefault="004C46F0" w:rsidP="00DC1491">
            <w:pPr>
              <w:adjustRightInd w:val="0"/>
              <w:snapToGrid w:val="0"/>
              <w:spacing w:before="40" w:after="40"/>
              <w:ind w:left="609" w:hanging="609"/>
              <w:jc w:val="both"/>
              <w:rPr>
                <w:lang w:val="en-US"/>
              </w:rPr>
            </w:pPr>
            <w:r w:rsidRPr="00037EE7">
              <w:t>(b)</w:t>
            </w:r>
            <w:r w:rsidRPr="00037EE7">
              <w:tab/>
              <w:t>Electrical equipment which does not meet the requirements of (a) above shall be marked in red and it shall be possible to switch it off by means of a central switch.</w:t>
            </w:r>
          </w:p>
        </w:tc>
      </w:tr>
    </w:tbl>
    <w:p w:rsidR="001D2F33" w:rsidRPr="001D2F33" w:rsidRDefault="001D2F33" w:rsidP="009D6703">
      <w:pPr>
        <w:pStyle w:val="SingleTxtG"/>
        <w:numPr>
          <w:ilvl w:val="0"/>
          <w:numId w:val="29"/>
        </w:numPr>
        <w:spacing w:before="120" w:after="0" w:line="240" w:lineRule="auto"/>
        <w:ind w:left="2058" w:hanging="357"/>
        <w:jc w:val="left"/>
        <w:rPr>
          <w:lang w:val="en-US"/>
        </w:rPr>
      </w:pPr>
      <w:r w:rsidRPr="001D2F33">
        <w:rPr>
          <w:lang w:val="en-US"/>
        </w:rPr>
        <w:lastRenderedPageBreak/>
        <w:t>7.2.3.51.4</w:t>
      </w:r>
      <w:r w:rsidR="00D52486">
        <w:rPr>
          <w:lang w:val="en-US"/>
        </w:rPr>
        <w:t>;</w:t>
      </w:r>
      <w:r w:rsidR="008871A5">
        <w:rPr>
          <w:lang w:val="en-US"/>
        </w:rPr>
        <w:br/>
      </w:r>
      <w:r w:rsidR="00F27FC1">
        <w:t>“</w:t>
      </w:r>
      <w:r w:rsidR="008871A5" w:rsidRPr="008871A5">
        <w:t>During a stay in the immediate vicinity of or within an onshore assigned zone, electrical and non-electrical installations and equipment not complying with the requirements of 9.3.x.51 (a), 9.3.x.51 (b), 9.3.x.51 (c) or 9.3.x.52.1 (marked in red according to 9.3.x.51 and 9.3.x.52.3) shall be switched off, cooled down to below the temperature mentioned in 9.3.x.51 (a) or 9.3.x.51 (b), or the measures mentioned in 7.2.3.51.6 shall be taken.</w:t>
      </w:r>
      <w:r w:rsidR="008871A5">
        <w:br/>
      </w:r>
      <w:r w:rsidR="008871A5" w:rsidRPr="008871A5">
        <w:t xml:space="preserve">When the list of substances on the vessel according to 1.16.1.2.5 contains substances for which explosion protection is required in column (17) of Table C of Chapter 3.2, this provision applies also during loading and unloading and </w:t>
      </w:r>
      <w:r w:rsidR="000E1A7E" w:rsidRPr="00122188">
        <w:rPr>
          <w:strike/>
          <w:snapToGrid w:val="0"/>
        </w:rPr>
        <w:t>gas-</w:t>
      </w:r>
      <w:proofErr w:type="spellStart"/>
      <w:r w:rsidR="000E1A7E" w:rsidRPr="00122188">
        <w:rPr>
          <w:strike/>
          <w:snapToGrid w:val="0"/>
        </w:rPr>
        <w:t>freeing</w:t>
      </w:r>
      <w:r w:rsidR="000E1A7E">
        <w:rPr>
          <w:b/>
          <w:snapToGrid w:val="0"/>
          <w:u w:val="single"/>
        </w:rPr>
        <w:t>degassing</w:t>
      </w:r>
      <w:proofErr w:type="spellEnd"/>
      <w:r w:rsidR="000E1A7E" w:rsidRPr="00037EE7">
        <w:rPr>
          <w:snapToGrid w:val="0"/>
        </w:rPr>
        <w:t xml:space="preserve"> </w:t>
      </w:r>
      <w:r w:rsidR="008871A5" w:rsidRPr="008871A5">
        <w:t>during berthing.</w:t>
      </w:r>
      <w:r w:rsidR="00F27FC1">
        <w:t>”</w:t>
      </w:r>
    </w:p>
    <w:p w:rsidR="001D2F33" w:rsidRPr="001D2F33" w:rsidRDefault="001D2F33" w:rsidP="009D6703">
      <w:pPr>
        <w:pStyle w:val="SingleTxtG"/>
        <w:numPr>
          <w:ilvl w:val="0"/>
          <w:numId w:val="29"/>
        </w:numPr>
        <w:spacing w:before="120" w:after="0" w:line="240" w:lineRule="auto"/>
        <w:ind w:left="2058" w:hanging="357"/>
        <w:jc w:val="left"/>
        <w:rPr>
          <w:lang w:val="en-US"/>
        </w:rPr>
      </w:pPr>
      <w:r w:rsidRPr="001D2F33">
        <w:rPr>
          <w:lang w:val="en-US"/>
        </w:rPr>
        <w:t>7.2.3.51.7</w:t>
      </w:r>
      <w:r w:rsidR="00D52486">
        <w:rPr>
          <w:lang w:val="en-US"/>
        </w:rPr>
        <w:t>;</w:t>
      </w:r>
      <w:r w:rsidR="008871A5">
        <w:rPr>
          <w:lang w:val="en-US"/>
        </w:rPr>
        <w:br/>
      </w:r>
      <w:r w:rsidR="00F27FC1">
        <w:t>“</w:t>
      </w:r>
      <w:r w:rsidR="008871A5" w:rsidRPr="008871A5">
        <w:t xml:space="preserve">Installations and equipment according to 7.2.3.51.4 that have been switched off during loading and unloading, </w:t>
      </w:r>
      <w:r w:rsidR="000E1A7E" w:rsidRPr="00122188">
        <w:rPr>
          <w:strike/>
          <w:snapToGrid w:val="0"/>
        </w:rPr>
        <w:t>gas-</w:t>
      </w:r>
      <w:proofErr w:type="spellStart"/>
      <w:r w:rsidR="000E1A7E" w:rsidRPr="00122188">
        <w:rPr>
          <w:strike/>
          <w:snapToGrid w:val="0"/>
        </w:rPr>
        <w:t>freeing</w:t>
      </w:r>
      <w:r w:rsidR="000E1A7E">
        <w:rPr>
          <w:b/>
          <w:snapToGrid w:val="0"/>
          <w:u w:val="single"/>
        </w:rPr>
        <w:t>degassing</w:t>
      </w:r>
      <w:proofErr w:type="spellEnd"/>
      <w:r w:rsidR="000E1A7E" w:rsidRPr="00037EE7">
        <w:rPr>
          <w:snapToGrid w:val="0"/>
        </w:rPr>
        <w:t xml:space="preserve"> </w:t>
      </w:r>
      <w:r w:rsidR="008871A5" w:rsidRPr="008871A5">
        <w:t>during berthing or a stay in the vicinity of or within an onshore assigned zone may only be switched on again:</w:t>
      </w:r>
      <w:r w:rsidR="00F27FC1">
        <w:br/>
        <w:t>-…”</w:t>
      </w:r>
    </w:p>
    <w:p w:rsidR="001D2F33" w:rsidRPr="001D2F33" w:rsidRDefault="001D2F33" w:rsidP="009D6703">
      <w:pPr>
        <w:pStyle w:val="SingleTxtG"/>
        <w:numPr>
          <w:ilvl w:val="0"/>
          <w:numId w:val="29"/>
        </w:numPr>
        <w:spacing w:before="120" w:after="0" w:line="240" w:lineRule="auto"/>
        <w:ind w:left="2058" w:hanging="357"/>
        <w:jc w:val="left"/>
        <w:rPr>
          <w:lang w:val="en-US"/>
        </w:rPr>
      </w:pPr>
      <w:r w:rsidRPr="001D2F33">
        <w:rPr>
          <w:lang w:val="en-US"/>
        </w:rPr>
        <w:t>8.1.2.3 (s)</w:t>
      </w:r>
      <w:r w:rsidR="00D52486">
        <w:rPr>
          <w:lang w:val="en-US"/>
        </w:rPr>
        <w:t>;</w:t>
      </w:r>
      <w:r w:rsidR="008871A5">
        <w:rPr>
          <w:lang w:val="en-US"/>
        </w:rPr>
        <w:br/>
      </w:r>
      <w:r w:rsidR="00F27FC1">
        <w:t>“</w:t>
      </w:r>
      <w:r w:rsidR="00F27FC1" w:rsidRPr="00F27FC1">
        <w:t xml:space="preserve">A list of or a general plan indicating the fixed installations and equipment which are not authorized for use during loading and unloading, </w:t>
      </w:r>
      <w:r w:rsidR="000E1A7E" w:rsidRPr="00122188">
        <w:rPr>
          <w:strike/>
          <w:snapToGrid w:val="0"/>
        </w:rPr>
        <w:t>gas-</w:t>
      </w:r>
      <w:proofErr w:type="spellStart"/>
      <w:r w:rsidR="000E1A7E" w:rsidRPr="00122188">
        <w:rPr>
          <w:strike/>
          <w:snapToGrid w:val="0"/>
        </w:rPr>
        <w:t>freeing</w:t>
      </w:r>
      <w:r w:rsidR="000E1A7E">
        <w:rPr>
          <w:b/>
          <w:snapToGrid w:val="0"/>
          <w:u w:val="single"/>
        </w:rPr>
        <w:t>degassing</w:t>
      </w:r>
      <w:proofErr w:type="spellEnd"/>
      <w:r w:rsidR="000E1A7E" w:rsidRPr="00037EE7">
        <w:rPr>
          <w:snapToGrid w:val="0"/>
        </w:rPr>
        <w:t xml:space="preserve"> </w:t>
      </w:r>
      <w:r w:rsidR="00F27FC1" w:rsidRPr="00F27FC1">
        <w:t>or during a stay near to or within an onshore assigned zone (marked in red according to 9.3.1.52.3, 9.3.2.52.3 or 9.3.3.52.3);</w:t>
      </w:r>
      <w:r w:rsidR="00F27FC1">
        <w:t>”</w:t>
      </w:r>
    </w:p>
    <w:p w:rsidR="001D2F33" w:rsidRPr="00F27FC1" w:rsidRDefault="001D2F33" w:rsidP="009D6703">
      <w:pPr>
        <w:pStyle w:val="SingleTxtG"/>
        <w:numPr>
          <w:ilvl w:val="0"/>
          <w:numId w:val="29"/>
        </w:numPr>
        <w:spacing w:before="120" w:after="0" w:line="240" w:lineRule="auto"/>
        <w:ind w:left="2058" w:hanging="357"/>
        <w:jc w:val="left"/>
        <w:rPr>
          <w:lang w:val="en-US"/>
        </w:rPr>
      </w:pPr>
      <w:r w:rsidRPr="001D2F33">
        <w:rPr>
          <w:lang w:val="en-US"/>
        </w:rPr>
        <w:t>8.1.2.3 (v)</w:t>
      </w:r>
      <w:r w:rsidR="00D52486">
        <w:rPr>
          <w:lang w:val="en-US"/>
        </w:rPr>
        <w:t>;</w:t>
      </w:r>
      <w:r w:rsidR="00F27FC1">
        <w:rPr>
          <w:lang w:val="en-US"/>
        </w:rPr>
        <w:br/>
      </w:r>
      <w:r w:rsidR="00F27FC1">
        <w:t>“</w:t>
      </w:r>
      <w:r w:rsidR="00F27FC1" w:rsidRPr="00F27FC1">
        <w:t xml:space="preserve">A list of or general plan indicating the fixed installations and equipment installed outside the explosion hazardous areas that may be used during loading, unloading, </w:t>
      </w:r>
      <w:r w:rsidR="000E1A7E" w:rsidRPr="00122188">
        <w:rPr>
          <w:strike/>
          <w:snapToGrid w:val="0"/>
        </w:rPr>
        <w:t>gas-</w:t>
      </w:r>
      <w:proofErr w:type="spellStart"/>
      <w:r w:rsidR="000E1A7E" w:rsidRPr="00122188">
        <w:rPr>
          <w:strike/>
          <w:snapToGrid w:val="0"/>
        </w:rPr>
        <w:t>freeing</w:t>
      </w:r>
      <w:r w:rsidR="000E1A7E">
        <w:rPr>
          <w:b/>
          <w:snapToGrid w:val="0"/>
          <w:u w:val="single"/>
        </w:rPr>
        <w:t>degassing</w:t>
      </w:r>
      <w:proofErr w:type="spellEnd"/>
      <w:r w:rsidR="00F27FC1" w:rsidRPr="00F27FC1">
        <w:t>, berthing or during a stay in the immediate vicinity of or within an onshore assigned zone, if not referred to in (</w:t>
      </w:r>
      <w:r w:rsidR="00F27FC1" w:rsidRPr="00F27FC1">
        <w:rPr>
          <w:i/>
        </w:rPr>
        <w:t>r</w:t>
      </w:r>
      <w:r w:rsidR="00F27FC1" w:rsidRPr="00F27FC1">
        <w:t>) and (</w:t>
      </w:r>
      <w:r w:rsidR="00F27FC1" w:rsidRPr="00F27FC1">
        <w:rPr>
          <w:i/>
        </w:rPr>
        <w:t>u</w:t>
      </w:r>
      <w:r w:rsidR="00F27FC1" w:rsidRPr="00F27FC1">
        <w:t>).</w:t>
      </w:r>
      <w:r w:rsidR="00F27FC1">
        <w:t>”</w:t>
      </w:r>
    </w:p>
    <w:p w:rsidR="00F27FC1" w:rsidRDefault="00F27FC1" w:rsidP="00331970">
      <w:pPr>
        <w:pStyle w:val="SingleTxtG"/>
        <w:numPr>
          <w:ilvl w:val="0"/>
          <w:numId w:val="28"/>
        </w:numPr>
        <w:spacing w:before="120" w:after="0"/>
        <w:jc w:val="left"/>
      </w:pPr>
      <w:r>
        <w:rPr>
          <w:lang w:val="en-US"/>
        </w:rPr>
        <w:t>8.3.5;</w:t>
      </w:r>
      <w:r>
        <w:rPr>
          <w:lang w:val="en-US"/>
        </w:rPr>
        <w:br/>
      </w:r>
      <w:r w:rsidRPr="00F27FC1">
        <w:t xml:space="preserve">No work requiring the use of an open flame or electric current or liable to cause </w:t>
      </w:r>
      <w:r w:rsidRPr="00F27FC1">
        <w:lastRenderedPageBreak/>
        <w:t>sparks may be carried out on board.</w:t>
      </w:r>
      <w:r w:rsidR="00331970">
        <w:br/>
        <w:t>This provision does not apply:</w:t>
      </w:r>
    </w:p>
    <w:p w:rsidR="00331970" w:rsidRDefault="00331970" w:rsidP="00331970">
      <w:pPr>
        <w:pStyle w:val="SingleTxtG"/>
        <w:numPr>
          <w:ilvl w:val="1"/>
          <w:numId w:val="28"/>
        </w:numPr>
        <w:spacing w:before="120" w:after="0"/>
        <w:jc w:val="left"/>
      </w:pPr>
      <w:r w:rsidRPr="00331970">
        <w:t>to berthing operations;</w:t>
      </w:r>
    </w:p>
    <w:p w:rsidR="00331970" w:rsidRDefault="00331970" w:rsidP="00331970">
      <w:pPr>
        <w:pStyle w:val="SingleTxtG"/>
        <w:numPr>
          <w:ilvl w:val="1"/>
          <w:numId w:val="28"/>
        </w:numPr>
        <w:spacing w:before="120" w:after="0"/>
        <w:jc w:val="left"/>
      </w:pPr>
      <w:r w:rsidRPr="00331970">
        <w:t xml:space="preserve">in the service spaces outside the protected area or the cargo area, provided the doors and openings of those areas are closed for the duration of the work and the vessel is not being loaded, unloaded or </w:t>
      </w:r>
      <w:r w:rsidR="000E1A7E" w:rsidRPr="000E1A7E">
        <w:rPr>
          <w:bCs/>
          <w:strike/>
          <w:lang w:val="en-US"/>
        </w:rPr>
        <w:t>gas-</w:t>
      </w:r>
      <w:proofErr w:type="spellStart"/>
      <w:r w:rsidR="000E1A7E" w:rsidRPr="000E1A7E">
        <w:rPr>
          <w:bCs/>
          <w:strike/>
          <w:lang w:val="en-US"/>
        </w:rPr>
        <w:t>freed</w:t>
      </w:r>
      <w:r w:rsidR="000E1A7E">
        <w:rPr>
          <w:b/>
          <w:bCs/>
          <w:u w:val="single"/>
          <w:lang w:val="en-US"/>
        </w:rPr>
        <w:t>degassed</w:t>
      </w:r>
      <w:proofErr w:type="spellEnd"/>
      <w:r w:rsidRPr="00331970">
        <w:t>; or</w:t>
      </w:r>
    </w:p>
    <w:p w:rsidR="00331970" w:rsidRDefault="00331970" w:rsidP="00331970">
      <w:pPr>
        <w:pStyle w:val="SingleTxtG"/>
        <w:numPr>
          <w:ilvl w:val="1"/>
          <w:numId w:val="28"/>
        </w:numPr>
        <w:spacing w:before="120" w:after="0"/>
        <w:jc w:val="left"/>
      </w:pPr>
      <w:r w:rsidRPr="00331970">
        <w:t>when the vessel is not in the vicinity of or within an onshore assigned zone and, in the case of a tank vessel, has a certificate attesting to the totally gas-free condition of the vessel in accordance with 7.2.3.7.6 or an authorization from the competent authority or in the case of a dry cargo vessel, has a certificate attesting to the totally gas-free condition of the protected area or an authorization from the competent authority.</w:t>
      </w:r>
    </w:p>
    <w:p w:rsidR="00331970" w:rsidRDefault="00331970" w:rsidP="00331970">
      <w:pPr>
        <w:pStyle w:val="SingleTxtG"/>
        <w:spacing w:before="120" w:after="0"/>
        <w:ind w:left="2127"/>
        <w:jc w:val="left"/>
      </w:pPr>
      <w:r>
        <w:t>…”</w:t>
      </w:r>
    </w:p>
    <w:p w:rsidR="00F27FC1" w:rsidRPr="001D2F33" w:rsidRDefault="00F27FC1" w:rsidP="00F27FC1">
      <w:pPr>
        <w:pStyle w:val="SingleTxtG"/>
        <w:spacing w:before="120" w:after="0" w:line="240" w:lineRule="auto"/>
        <w:ind w:left="2061"/>
        <w:jc w:val="left"/>
        <w:rPr>
          <w:lang w:val="en-US"/>
        </w:rPr>
      </w:pPr>
    </w:p>
    <w:p w:rsidR="00CA4DCC" w:rsidRPr="00CA4DCC" w:rsidRDefault="00CA4DCC" w:rsidP="00CA4DCC">
      <w:pPr>
        <w:spacing w:before="120" w:after="120" w:line="276" w:lineRule="auto"/>
        <w:ind w:left="1134" w:right="1134"/>
        <w:jc w:val="both"/>
        <w:rPr>
          <w:b/>
          <w:sz w:val="24"/>
          <w:szCs w:val="24"/>
        </w:rPr>
      </w:pPr>
      <w:r w:rsidRPr="00CA4DCC">
        <w:rPr>
          <w:b/>
          <w:sz w:val="24"/>
          <w:szCs w:val="24"/>
        </w:rPr>
        <w:t>Action to be taken</w:t>
      </w:r>
    </w:p>
    <w:p w:rsidR="00CA4DCC" w:rsidRPr="00CA4DCC" w:rsidRDefault="00436AE3" w:rsidP="00CA4DCC">
      <w:pPr>
        <w:spacing w:before="120" w:after="120" w:line="276" w:lineRule="auto"/>
        <w:ind w:left="1134" w:right="1134"/>
        <w:jc w:val="both"/>
      </w:pPr>
      <w:r>
        <w:t>5</w:t>
      </w:r>
      <w:r w:rsidR="00CA4DCC" w:rsidRPr="00CA4DCC">
        <w:t>.</w:t>
      </w:r>
      <w:r w:rsidR="00CA4DCC" w:rsidRPr="00CA4DCC">
        <w:tab/>
        <w:t xml:space="preserve">The Dutch delegation </w:t>
      </w:r>
      <w:r w:rsidR="00F112BA">
        <w:t>invite</w:t>
      </w:r>
      <w:r w:rsidR="00910ACC">
        <w:t>s</w:t>
      </w:r>
      <w:r w:rsidR="00CA4DCC" w:rsidRPr="00CA4DCC">
        <w:t xml:space="preserve"> the ADN Safety Committee to </w:t>
      </w:r>
      <w:r w:rsidR="00CA4DCC">
        <w:t>consider the proposed amendment</w:t>
      </w:r>
      <w:r w:rsidR="0022632F">
        <w:t>s</w:t>
      </w:r>
      <w:r w:rsidR="00CA4DCC" w:rsidRPr="00CA4DCC">
        <w:t xml:space="preserve"> in paragraph</w:t>
      </w:r>
      <w:r w:rsidR="001A4BE2">
        <w:t xml:space="preserve"> </w:t>
      </w:r>
      <w:r>
        <w:t>4</w:t>
      </w:r>
      <w:r w:rsidR="0022632F">
        <w:t>,</w:t>
      </w:r>
      <w:r w:rsidR="00CA4DCC" w:rsidRPr="00CA4DCC">
        <w:t xml:space="preserve"> and to </w:t>
      </w:r>
      <w:proofErr w:type="gramStart"/>
      <w:r w:rsidR="00CA4DCC" w:rsidRPr="00CA4DCC">
        <w:t>take action</w:t>
      </w:r>
      <w:proofErr w:type="gramEnd"/>
      <w:r w:rsidR="00CA4DCC" w:rsidRPr="00CA4DCC">
        <w:t xml:space="preserve"> as it deems appropriate.</w:t>
      </w:r>
    </w:p>
    <w:p w:rsidR="00CA4DCC" w:rsidRPr="00CA4DCC" w:rsidRDefault="00CA4DCC" w:rsidP="00CA4DCC">
      <w:pPr>
        <w:spacing w:before="120"/>
        <w:jc w:val="center"/>
        <w:rPr>
          <w:u w:val="single"/>
        </w:rPr>
      </w:pPr>
      <w:r w:rsidRPr="00CA4DCC">
        <w:rPr>
          <w:u w:val="single"/>
        </w:rPr>
        <w:tab/>
      </w:r>
      <w:r w:rsidRPr="00CA4DCC">
        <w:rPr>
          <w:u w:val="single"/>
        </w:rPr>
        <w:tab/>
      </w:r>
      <w:r w:rsidRPr="00CA4DCC">
        <w:rPr>
          <w:u w:val="single"/>
        </w:rPr>
        <w:tab/>
      </w:r>
    </w:p>
    <w:sectPr w:rsidR="00CA4DCC" w:rsidRPr="00CA4DCC" w:rsidSect="00F32CCB">
      <w:headerReference w:type="even" r:id="rId8"/>
      <w:headerReference w:type="default" r:id="rId9"/>
      <w:headerReference w:type="first" r:id="rId10"/>
      <w:endnotePr>
        <w:numFmt w:val="decimal"/>
      </w:endnotePr>
      <w:pgSz w:w="11907" w:h="16840" w:code="9"/>
      <w:pgMar w:top="1701" w:right="1134" w:bottom="2268"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4A" w:rsidRDefault="00EC364A"/>
  </w:endnote>
  <w:endnote w:type="continuationSeparator" w:id="0">
    <w:p w:rsidR="00EC364A" w:rsidRDefault="00EC364A"/>
  </w:endnote>
  <w:endnote w:type="continuationNotice" w:id="1">
    <w:p w:rsidR="00EC364A" w:rsidRDefault="00EC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4A" w:rsidRDefault="00EC364A">
      <w:pPr>
        <w:tabs>
          <w:tab w:val="right" w:pos="2155"/>
        </w:tabs>
        <w:spacing w:after="80"/>
        <w:ind w:left="680"/>
        <w:rPr>
          <w:u w:val="single"/>
        </w:rPr>
      </w:pPr>
      <w:r>
        <w:rPr>
          <w:u w:val="single"/>
        </w:rPr>
        <w:tab/>
      </w:r>
    </w:p>
  </w:footnote>
  <w:footnote w:type="continuationSeparator" w:id="0">
    <w:p w:rsidR="00EC364A" w:rsidRDefault="00EC364A">
      <w:pPr>
        <w:tabs>
          <w:tab w:val="left" w:pos="2155"/>
        </w:tabs>
        <w:spacing w:after="80"/>
        <w:ind w:left="680"/>
        <w:rPr>
          <w:u w:val="single"/>
        </w:rPr>
      </w:pPr>
      <w:r>
        <w:rPr>
          <w:u w:val="single"/>
        </w:rPr>
        <w:tab/>
      </w:r>
    </w:p>
  </w:footnote>
  <w:footnote w:type="continuationNotice" w:id="1">
    <w:p w:rsidR="00EC364A" w:rsidRDefault="00EC3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E7429E" w:rsidRDefault="0077561E" w:rsidP="00E7429E">
    <w:r>
      <w:rPr>
        <w:noProof/>
        <w:lang w:eastAsia="en-GB"/>
      </w:rPr>
      <w:pict>
        <v:shapetype id="_x0000_t202" coordsize="21600,21600" o:spt="202" path="m,l,21600r21600,l21600,xe">
          <v:stroke joinstyle="miter"/>
          <v:path gradientshapeok="t" o:connecttype="rect"/>
        </v:shapetype>
        <v:shape id="_x0000_s2052" type="#_x0000_t202" style="position:absolute;margin-left:-34pt;margin-top:0;width:17.55pt;height:481.9pt;z-index:251658240;mso-position-horizontal-relative:margin;mso-position-vertical-relative:margin" stroked="f">
          <v:textbox style="layout-flow:vertical" inset="0,0,0,0">
            <w:txbxContent>
              <w:p w:rsidR="000401CE" w:rsidRDefault="000401CE"/>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E7429E" w:rsidRDefault="0077561E" w:rsidP="00E7429E">
    <w:r>
      <w:rPr>
        <w:noProof/>
        <w:lang w:eastAsia="en-GB"/>
      </w:rPr>
      <w:pict>
        <v:shapetype id="_x0000_t202" coordsize="21600,21600" o:spt="202" path="m,l,21600r21600,l21600,xe">
          <v:stroke joinstyle="miter"/>
          <v:path gradientshapeok="t" o:connecttype="rect"/>
        </v:shapetype>
        <v:shape id="_x0000_s2050" type="#_x0000_t202" style="position:absolute;margin-left:-34pt;margin-top:0;width:17.55pt;height:481.9pt;z-index:251657216;mso-position-horizontal-relative:margin;mso-position-vertical-relative:margin" stroked="f">
          <v:textbox style="layout-flow:vertical" inset="0,0,0,0">
            <w:txbxContent>
              <w:p w:rsidR="000401CE" w:rsidRDefault="000401CE" w:rsidP="00E7429E">
                <w:pPr>
                  <w:pStyle w:val="Footer"/>
                  <w:tabs>
                    <w:tab w:val="right" w:pos="9598"/>
                  </w:tabs>
                  <w:jc w:val="right"/>
                  <w:rPr>
                    <w:b/>
                    <w:sz w:val="18"/>
                  </w:rPr>
                </w:pPr>
              </w:p>
              <w:p w:rsidR="000401CE" w:rsidRDefault="000401CE"/>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3B0BC1">
    <w:pPr>
      <w:pStyle w:val="Header"/>
      <w:jc w:val="right"/>
      <w:rPr>
        <w:color w:val="000000"/>
      </w:rPr>
    </w:pPr>
    <w:r w:rsidRPr="00F4048C">
      <w:rPr>
        <w:color w:val="000000"/>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2741292"/>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0B14"/>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A14C7"/>
    <w:multiLevelType w:val="hybridMultilevel"/>
    <w:tmpl w:val="8ABE2C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F51D7"/>
    <w:multiLevelType w:val="hybridMultilevel"/>
    <w:tmpl w:val="BC024D80"/>
    <w:lvl w:ilvl="0" w:tplc="04130017">
      <w:start w:val="1"/>
      <w:numFmt w:val="lowerLetter"/>
      <w:lvlText w:val="%1)"/>
      <w:lvlJc w:val="left"/>
      <w:pPr>
        <w:ind w:left="2061" w:hanging="360"/>
      </w:pPr>
    </w:lvl>
    <w:lvl w:ilvl="1" w:tplc="C090CB06">
      <w:start w:val="3"/>
      <w:numFmt w:val="bullet"/>
      <w:lvlText w:val="–"/>
      <w:lvlJc w:val="left"/>
      <w:pPr>
        <w:ind w:left="2781" w:hanging="360"/>
      </w:pPr>
      <w:rPr>
        <w:rFonts w:ascii="Times New Roman" w:eastAsia="Times New Roman" w:hAnsi="Times New Roman" w:cs="Times New Roman" w:hint="default"/>
      </w:r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5"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450E4"/>
    <w:multiLevelType w:val="hybridMultilevel"/>
    <w:tmpl w:val="0DC6AD0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23"/>
  </w:num>
  <w:num w:numId="17">
    <w:abstractNumId w:val="14"/>
  </w:num>
  <w:num w:numId="18">
    <w:abstractNumId w:val="25"/>
  </w:num>
  <w:num w:numId="19">
    <w:abstractNumId w:val="21"/>
  </w:num>
  <w:num w:numId="20">
    <w:abstractNumId w:val="16"/>
  </w:num>
  <w:num w:numId="21">
    <w:abstractNumId w:val="27"/>
  </w:num>
  <w:num w:numId="22">
    <w:abstractNumId w:val="22"/>
  </w:num>
  <w:num w:numId="23">
    <w:abstractNumId w:val="12"/>
  </w:num>
  <w:num w:numId="24">
    <w:abstractNumId w:val="26"/>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023BE"/>
    <w:rsid w:val="000035C1"/>
    <w:rsid w:val="000049C4"/>
    <w:rsid w:val="00004D4B"/>
    <w:rsid w:val="00013743"/>
    <w:rsid w:val="000223A3"/>
    <w:rsid w:val="000240B8"/>
    <w:rsid w:val="00024EAF"/>
    <w:rsid w:val="00032BCA"/>
    <w:rsid w:val="00037EE7"/>
    <w:rsid w:val="000401CE"/>
    <w:rsid w:val="00045D1E"/>
    <w:rsid w:val="00045D37"/>
    <w:rsid w:val="00045FDE"/>
    <w:rsid w:val="0005091C"/>
    <w:rsid w:val="000517E2"/>
    <w:rsid w:val="00052DA7"/>
    <w:rsid w:val="00055A73"/>
    <w:rsid w:val="00057106"/>
    <w:rsid w:val="0006413B"/>
    <w:rsid w:val="00067555"/>
    <w:rsid w:val="00071B0D"/>
    <w:rsid w:val="00073D8C"/>
    <w:rsid w:val="0007416F"/>
    <w:rsid w:val="00074744"/>
    <w:rsid w:val="0007517C"/>
    <w:rsid w:val="000755B2"/>
    <w:rsid w:val="000765CF"/>
    <w:rsid w:val="00080B23"/>
    <w:rsid w:val="00082417"/>
    <w:rsid w:val="00083436"/>
    <w:rsid w:val="000841EA"/>
    <w:rsid w:val="00093541"/>
    <w:rsid w:val="00093728"/>
    <w:rsid w:val="00094E2E"/>
    <w:rsid w:val="00096F35"/>
    <w:rsid w:val="0009700B"/>
    <w:rsid w:val="000A07D1"/>
    <w:rsid w:val="000A6AEE"/>
    <w:rsid w:val="000B337A"/>
    <w:rsid w:val="000B5C32"/>
    <w:rsid w:val="000B6D84"/>
    <w:rsid w:val="000C09D0"/>
    <w:rsid w:val="000C242E"/>
    <w:rsid w:val="000C2965"/>
    <w:rsid w:val="000C2BEB"/>
    <w:rsid w:val="000C47D4"/>
    <w:rsid w:val="000C54D8"/>
    <w:rsid w:val="000C7454"/>
    <w:rsid w:val="000D3066"/>
    <w:rsid w:val="000E1A7E"/>
    <w:rsid w:val="000E65FF"/>
    <w:rsid w:val="000F2AA3"/>
    <w:rsid w:val="000F393E"/>
    <w:rsid w:val="000F69B0"/>
    <w:rsid w:val="001034EF"/>
    <w:rsid w:val="00105163"/>
    <w:rsid w:val="00112744"/>
    <w:rsid w:val="00112D7A"/>
    <w:rsid w:val="00112E69"/>
    <w:rsid w:val="00114649"/>
    <w:rsid w:val="00114DCA"/>
    <w:rsid w:val="001177EE"/>
    <w:rsid w:val="00122188"/>
    <w:rsid w:val="00124305"/>
    <w:rsid w:val="001255E4"/>
    <w:rsid w:val="0012656F"/>
    <w:rsid w:val="0014030F"/>
    <w:rsid w:val="00141E96"/>
    <w:rsid w:val="00143048"/>
    <w:rsid w:val="00143397"/>
    <w:rsid w:val="00144279"/>
    <w:rsid w:val="00144348"/>
    <w:rsid w:val="00147CAB"/>
    <w:rsid w:val="00151529"/>
    <w:rsid w:val="00151B62"/>
    <w:rsid w:val="001573B3"/>
    <w:rsid w:val="00157446"/>
    <w:rsid w:val="00160290"/>
    <w:rsid w:val="0016094E"/>
    <w:rsid w:val="00164AB5"/>
    <w:rsid w:val="00167350"/>
    <w:rsid w:val="00167467"/>
    <w:rsid w:val="0017140D"/>
    <w:rsid w:val="0018416D"/>
    <w:rsid w:val="00185B59"/>
    <w:rsid w:val="0018737F"/>
    <w:rsid w:val="00187535"/>
    <w:rsid w:val="0018765D"/>
    <w:rsid w:val="00190E15"/>
    <w:rsid w:val="00193473"/>
    <w:rsid w:val="00196B42"/>
    <w:rsid w:val="00196C18"/>
    <w:rsid w:val="001A136F"/>
    <w:rsid w:val="001A1AE5"/>
    <w:rsid w:val="001A1C29"/>
    <w:rsid w:val="001A4BE2"/>
    <w:rsid w:val="001A752B"/>
    <w:rsid w:val="001B03C9"/>
    <w:rsid w:val="001B0CA1"/>
    <w:rsid w:val="001B1E4B"/>
    <w:rsid w:val="001B2009"/>
    <w:rsid w:val="001B403E"/>
    <w:rsid w:val="001B7260"/>
    <w:rsid w:val="001C5DF1"/>
    <w:rsid w:val="001D1DE3"/>
    <w:rsid w:val="001D2F33"/>
    <w:rsid w:val="001E1210"/>
    <w:rsid w:val="001E2770"/>
    <w:rsid w:val="001F1ECC"/>
    <w:rsid w:val="001F22C2"/>
    <w:rsid w:val="001F2C99"/>
    <w:rsid w:val="001F5063"/>
    <w:rsid w:val="001F5A78"/>
    <w:rsid w:val="001F5FC0"/>
    <w:rsid w:val="002029B0"/>
    <w:rsid w:val="00202FBB"/>
    <w:rsid w:val="00210044"/>
    <w:rsid w:val="00213C99"/>
    <w:rsid w:val="0022283B"/>
    <w:rsid w:val="00224AF3"/>
    <w:rsid w:val="00225169"/>
    <w:rsid w:val="0022632F"/>
    <w:rsid w:val="002266EC"/>
    <w:rsid w:val="00233E43"/>
    <w:rsid w:val="002364B9"/>
    <w:rsid w:val="00236EF8"/>
    <w:rsid w:val="00241A55"/>
    <w:rsid w:val="00246328"/>
    <w:rsid w:val="0025084A"/>
    <w:rsid w:val="00253571"/>
    <w:rsid w:val="00253E69"/>
    <w:rsid w:val="002542E3"/>
    <w:rsid w:val="00255A0D"/>
    <w:rsid w:val="00255B0D"/>
    <w:rsid w:val="002606A8"/>
    <w:rsid w:val="002607A8"/>
    <w:rsid w:val="002748DC"/>
    <w:rsid w:val="00281982"/>
    <w:rsid w:val="00282FC1"/>
    <w:rsid w:val="002928A3"/>
    <w:rsid w:val="0029755E"/>
    <w:rsid w:val="00297F82"/>
    <w:rsid w:val="002A182D"/>
    <w:rsid w:val="002A23F9"/>
    <w:rsid w:val="002A244A"/>
    <w:rsid w:val="002A6C9F"/>
    <w:rsid w:val="002B260A"/>
    <w:rsid w:val="002B5F96"/>
    <w:rsid w:val="002C0D7F"/>
    <w:rsid w:val="002C3668"/>
    <w:rsid w:val="002C576C"/>
    <w:rsid w:val="002D0E68"/>
    <w:rsid w:val="002D1871"/>
    <w:rsid w:val="002D39F0"/>
    <w:rsid w:val="002D4BF7"/>
    <w:rsid w:val="002D5481"/>
    <w:rsid w:val="002D5C17"/>
    <w:rsid w:val="002D7FFD"/>
    <w:rsid w:val="002E68A0"/>
    <w:rsid w:val="002E6B17"/>
    <w:rsid w:val="002E6C4A"/>
    <w:rsid w:val="002F0840"/>
    <w:rsid w:val="002F5BFE"/>
    <w:rsid w:val="00300684"/>
    <w:rsid w:val="00300A81"/>
    <w:rsid w:val="00302A0A"/>
    <w:rsid w:val="0030471B"/>
    <w:rsid w:val="0030683E"/>
    <w:rsid w:val="003134DF"/>
    <w:rsid w:val="00317A61"/>
    <w:rsid w:val="0032337F"/>
    <w:rsid w:val="00323630"/>
    <w:rsid w:val="00323E06"/>
    <w:rsid w:val="003261A7"/>
    <w:rsid w:val="00327B4C"/>
    <w:rsid w:val="00331970"/>
    <w:rsid w:val="003334B2"/>
    <w:rsid w:val="00333BEB"/>
    <w:rsid w:val="0033435B"/>
    <w:rsid w:val="00337050"/>
    <w:rsid w:val="00337276"/>
    <w:rsid w:val="00340F33"/>
    <w:rsid w:val="0034439A"/>
    <w:rsid w:val="00344697"/>
    <w:rsid w:val="0034563C"/>
    <w:rsid w:val="00347589"/>
    <w:rsid w:val="00347E1C"/>
    <w:rsid w:val="00350EBA"/>
    <w:rsid w:val="00352AA7"/>
    <w:rsid w:val="0035487A"/>
    <w:rsid w:val="003552A4"/>
    <w:rsid w:val="0036513E"/>
    <w:rsid w:val="00371DEB"/>
    <w:rsid w:val="003762E9"/>
    <w:rsid w:val="00380857"/>
    <w:rsid w:val="00381A41"/>
    <w:rsid w:val="00386B4E"/>
    <w:rsid w:val="00387CCD"/>
    <w:rsid w:val="00387CEA"/>
    <w:rsid w:val="00391327"/>
    <w:rsid w:val="00391587"/>
    <w:rsid w:val="00397C92"/>
    <w:rsid w:val="003A3FBA"/>
    <w:rsid w:val="003A5235"/>
    <w:rsid w:val="003A6F80"/>
    <w:rsid w:val="003B0BC1"/>
    <w:rsid w:val="003B3DCF"/>
    <w:rsid w:val="003C1673"/>
    <w:rsid w:val="003C22E6"/>
    <w:rsid w:val="003C46A0"/>
    <w:rsid w:val="003C4DE1"/>
    <w:rsid w:val="003D0B26"/>
    <w:rsid w:val="003E4AFE"/>
    <w:rsid w:val="003E4E69"/>
    <w:rsid w:val="003E7A62"/>
    <w:rsid w:val="003F270A"/>
    <w:rsid w:val="003F2DCE"/>
    <w:rsid w:val="003F39BC"/>
    <w:rsid w:val="003F3BEE"/>
    <w:rsid w:val="003F72B9"/>
    <w:rsid w:val="003F75E5"/>
    <w:rsid w:val="003F7B30"/>
    <w:rsid w:val="00403E17"/>
    <w:rsid w:val="00410769"/>
    <w:rsid w:val="004202BD"/>
    <w:rsid w:val="004228AE"/>
    <w:rsid w:val="004231A1"/>
    <w:rsid w:val="0042401A"/>
    <w:rsid w:val="004305B1"/>
    <w:rsid w:val="00433D7F"/>
    <w:rsid w:val="00436AE3"/>
    <w:rsid w:val="00436CCB"/>
    <w:rsid w:val="0044222E"/>
    <w:rsid w:val="00446DF6"/>
    <w:rsid w:val="004477CE"/>
    <w:rsid w:val="004531C4"/>
    <w:rsid w:val="004532CF"/>
    <w:rsid w:val="0045368F"/>
    <w:rsid w:val="004600C6"/>
    <w:rsid w:val="0046155F"/>
    <w:rsid w:val="00461CC3"/>
    <w:rsid w:val="00467076"/>
    <w:rsid w:val="00471D7A"/>
    <w:rsid w:val="00472859"/>
    <w:rsid w:val="00475F0D"/>
    <w:rsid w:val="004808A8"/>
    <w:rsid w:val="004819CF"/>
    <w:rsid w:val="00483375"/>
    <w:rsid w:val="004859B6"/>
    <w:rsid w:val="00486956"/>
    <w:rsid w:val="00486DB7"/>
    <w:rsid w:val="0049002A"/>
    <w:rsid w:val="00494A4A"/>
    <w:rsid w:val="004A183B"/>
    <w:rsid w:val="004A2A9F"/>
    <w:rsid w:val="004A357C"/>
    <w:rsid w:val="004A43D2"/>
    <w:rsid w:val="004A6022"/>
    <w:rsid w:val="004A6407"/>
    <w:rsid w:val="004A77E5"/>
    <w:rsid w:val="004A7FDE"/>
    <w:rsid w:val="004B62BF"/>
    <w:rsid w:val="004C2A30"/>
    <w:rsid w:val="004C46F0"/>
    <w:rsid w:val="004C73DC"/>
    <w:rsid w:val="004D2104"/>
    <w:rsid w:val="004D4787"/>
    <w:rsid w:val="004D7C8A"/>
    <w:rsid w:val="004E3EE5"/>
    <w:rsid w:val="004E4C59"/>
    <w:rsid w:val="004E4C77"/>
    <w:rsid w:val="004E4CC3"/>
    <w:rsid w:val="004F1311"/>
    <w:rsid w:val="004F5E3B"/>
    <w:rsid w:val="004F6013"/>
    <w:rsid w:val="004F7E89"/>
    <w:rsid w:val="005055CC"/>
    <w:rsid w:val="00507B1C"/>
    <w:rsid w:val="00510EE0"/>
    <w:rsid w:val="0051369D"/>
    <w:rsid w:val="0051398E"/>
    <w:rsid w:val="005206B4"/>
    <w:rsid w:val="005235DD"/>
    <w:rsid w:val="00523DD9"/>
    <w:rsid w:val="00525A74"/>
    <w:rsid w:val="00526A9D"/>
    <w:rsid w:val="00526CCA"/>
    <w:rsid w:val="00535686"/>
    <w:rsid w:val="005369A4"/>
    <w:rsid w:val="00537B62"/>
    <w:rsid w:val="00541A11"/>
    <w:rsid w:val="005435FC"/>
    <w:rsid w:val="0054379F"/>
    <w:rsid w:val="005445C6"/>
    <w:rsid w:val="00547251"/>
    <w:rsid w:val="005478E1"/>
    <w:rsid w:val="00547DAD"/>
    <w:rsid w:val="00551047"/>
    <w:rsid w:val="00551146"/>
    <w:rsid w:val="005553BB"/>
    <w:rsid w:val="00561D65"/>
    <w:rsid w:val="005658CD"/>
    <w:rsid w:val="00572236"/>
    <w:rsid w:val="00573F2E"/>
    <w:rsid w:val="00581B33"/>
    <w:rsid w:val="005827CD"/>
    <w:rsid w:val="005833CB"/>
    <w:rsid w:val="00583994"/>
    <w:rsid w:val="0058438D"/>
    <w:rsid w:val="00590B16"/>
    <w:rsid w:val="00594F5A"/>
    <w:rsid w:val="005A062C"/>
    <w:rsid w:val="005A2DA1"/>
    <w:rsid w:val="005A2EFD"/>
    <w:rsid w:val="005A7ECB"/>
    <w:rsid w:val="005B16DC"/>
    <w:rsid w:val="005B3EFE"/>
    <w:rsid w:val="005B48CB"/>
    <w:rsid w:val="005B54FA"/>
    <w:rsid w:val="005C2CC1"/>
    <w:rsid w:val="005C467F"/>
    <w:rsid w:val="005C67EE"/>
    <w:rsid w:val="005C77E7"/>
    <w:rsid w:val="005D0C93"/>
    <w:rsid w:val="005D1935"/>
    <w:rsid w:val="005D1D30"/>
    <w:rsid w:val="005D2090"/>
    <w:rsid w:val="005D4531"/>
    <w:rsid w:val="005E2955"/>
    <w:rsid w:val="005E389A"/>
    <w:rsid w:val="005E4990"/>
    <w:rsid w:val="005E6668"/>
    <w:rsid w:val="005E684E"/>
    <w:rsid w:val="005F34E6"/>
    <w:rsid w:val="005F3558"/>
    <w:rsid w:val="0060173D"/>
    <w:rsid w:val="0060225A"/>
    <w:rsid w:val="00605116"/>
    <w:rsid w:val="00613E78"/>
    <w:rsid w:val="0061460C"/>
    <w:rsid w:val="0061500A"/>
    <w:rsid w:val="006166F4"/>
    <w:rsid w:val="0062235E"/>
    <w:rsid w:val="006234CC"/>
    <w:rsid w:val="006234F4"/>
    <w:rsid w:val="0062351F"/>
    <w:rsid w:val="0062597F"/>
    <w:rsid w:val="006264EB"/>
    <w:rsid w:val="00631A46"/>
    <w:rsid w:val="006371BA"/>
    <w:rsid w:val="00641AB8"/>
    <w:rsid w:val="00643E7F"/>
    <w:rsid w:val="00644285"/>
    <w:rsid w:val="00645F24"/>
    <w:rsid w:val="00646BF7"/>
    <w:rsid w:val="0065266F"/>
    <w:rsid w:val="006530EF"/>
    <w:rsid w:val="00655589"/>
    <w:rsid w:val="00661D28"/>
    <w:rsid w:val="00663501"/>
    <w:rsid w:val="0067429C"/>
    <w:rsid w:val="00674391"/>
    <w:rsid w:val="00680075"/>
    <w:rsid w:val="00684A12"/>
    <w:rsid w:val="006858F4"/>
    <w:rsid w:val="00691168"/>
    <w:rsid w:val="006912DD"/>
    <w:rsid w:val="006936C3"/>
    <w:rsid w:val="00694E75"/>
    <w:rsid w:val="00697CA2"/>
    <w:rsid w:val="006A5BAF"/>
    <w:rsid w:val="006B21E9"/>
    <w:rsid w:val="006B2756"/>
    <w:rsid w:val="006B63BD"/>
    <w:rsid w:val="006C595D"/>
    <w:rsid w:val="006C5C1D"/>
    <w:rsid w:val="006D39ED"/>
    <w:rsid w:val="006D6617"/>
    <w:rsid w:val="006D72C9"/>
    <w:rsid w:val="006E04EA"/>
    <w:rsid w:val="006E1FA4"/>
    <w:rsid w:val="006E3ABB"/>
    <w:rsid w:val="006E6564"/>
    <w:rsid w:val="006F137E"/>
    <w:rsid w:val="006F3225"/>
    <w:rsid w:val="006F55E4"/>
    <w:rsid w:val="006F765D"/>
    <w:rsid w:val="00701490"/>
    <w:rsid w:val="00703069"/>
    <w:rsid w:val="00704C49"/>
    <w:rsid w:val="00705E94"/>
    <w:rsid w:val="00706A67"/>
    <w:rsid w:val="00713DED"/>
    <w:rsid w:val="0071466D"/>
    <w:rsid w:val="00715A30"/>
    <w:rsid w:val="00722D7D"/>
    <w:rsid w:val="00725CAE"/>
    <w:rsid w:val="00726C32"/>
    <w:rsid w:val="0073124C"/>
    <w:rsid w:val="00734678"/>
    <w:rsid w:val="00737192"/>
    <w:rsid w:val="00737EF2"/>
    <w:rsid w:val="00740B90"/>
    <w:rsid w:val="007455D9"/>
    <w:rsid w:val="00745C64"/>
    <w:rsid w:val="007503D0"/>
    <w:rsid w:val="00753671"/>
    <w:rsid w:val="00753755"/>
    <w:rsid w:val="00753ABE"/>
    <w:rsid w:val="00755119"/>
    <w:rsid w:val="007557E5"/>
    <w:rsid w:val="0076518E"/>
    <w:rsid w:val="007721BD"/>
    <w:rsid w:val="00772365"/>
    <w:rsid w:val="0077561E"/>
    <w:rsid w:val="00775959"/>
    <w:rsid w:val="00776067"/>
    <w:rsid w:val="00781BB4"/>
    <w:rsid w:val="007848CB"/>
    <w:rsid w:val="00787837"/>
    <w:rsid w:val="00787B94"/>
    <w:rsid w:val="007911C8"/>
    <w:rsid w:val="00792939"/>
    <w:rsid w:val="00796DDC"/>
    <w:rsid w:val="00797DEA"/>
    <w:rsid w:val="007A1097"/>
    <w:rsid w:val="007A17FC"/>
    <w:rsid w:val="007A30BD"/>
    <w:rsid w:val="007A5A67"/>
    <w:rsid w:val="007A6005"/>
    <w:rsid w:val="007A63E9"/>
    <w:rsid w:val="007B05EA"/>
    <w:rsid w:val="007B0AF6"/>
    <w:rsid w:val="007B1046"/>
    <w:rsid w:val="007B244E"/>
    <w:rsid w:val="007B478D"/>
    <w:rsid w:val="007B799C"/>
    <w:rsid w:val="007C2E8E"/>
    <w:rsid w:val="007C5E57"/>
    <w:rsid w:val="007C6011"/>
    <w:rsid w:val="007C699D"/>
    <w:rsid w:val="007D1368"/>
    <w:rsid w:val="007D374A"/>
    <w:rsid w:val="007D5B54"/>
    <w:rsid w:val="007F4753"/>
    <w:rsid w:val="007F7D75"/>
    <w:rsid w:val="0080168B"/>
    <w:rsid w:val="00806A75"/>
    <w:rsid w:val="00807870"/>
    <w:rsid w:val="008116B1"/>
    <w:rsid w:val="00812190"/>
    <w:rsid w:val="00814333"/>
    <w:rsid w:val="0081562E"/>
    <w:rsid w:val="00817A1C"/>
    <w:rsid w:val="00820A23"/>
    <w:rsid w:val="00821D11"/>
    <w:rsid w:val="008265F1"/>
    <w:rsid w:val="00830C13"/>
    <w:rsid w:val="00831E12"/>
    <w:rsid w:val="00835F82"/>
    <w:rsid w:val="0084381F"/>
    <w:rsid w:val="00844703"/>
    <w:rsid w:val="00845127"/>
    <w:rsid w:val="0084657B"/>
    <w:rsid w:val="008467A9"/>
    <w:rsid w:val="0085389B"/>
    <w:rsid w:val="00853CF4"/>
    <w:rsid w:val="00854E4D"/>
    <w:rsid w:val="00856A9B"/>
    <w:rsid w:val="008610F7"/>
    <w:rsid w:val="00864630"/>
    <w:rsid w:val="0086532C"/>
    <w:rsid w:val="00867AAE"/>
    <w:rsid w:val="00874E4D"/>
    <w:rsid w:val="008757A0"/>
    <w:rsid w:val="008759D0"/>
    <w:rsid w:val="00876716"/>
    <w:rsid w:val="0087756C"/>
    <w:rsid w:val="00877E7D"/>
    <w:rsid w:val="00882429"/>
    <w:rsid w:val="008871A5"/>
    <w:rsid w:val="00890A0F"/>
    <w:rsid w:val="00890A31"/>
    <w:rsid w:val="00891AAD"/>
    <w:rsid w:val="00891D8D"/>
    <w:rsid w:val="0089431C"/>
    <w:rsid w:val="008A4E85"/>
    <w:rsid w:val="008B379D"/>
    <w:rsid w:val="008B670D"/>
    <w:rsid w:val="008C2205"/>
    <w:rsid w:val="008C4C09"/>
    <w:rsid w:val="008D693C"/>
    <w:rsid w:val="008D7A1F"/>
    <w:rsid w:val="008D7AC4"/>
    <w:rsid w:val="008E03F7"/>
    <w:rsid w:val="008E30F4"/>
    <w:rsid w:val="008E4272"/>
    <w:rsid w:val="008E4A57"/>
    <w:rsid w:val="008E4E42"/>
    <w:rsid w:val="008E64A9"/>
    <w:rsid w:val="008E6849"/>
    <w:rsid w:val="008E6B15"/>
    <w:rsid w:val="008F4B43"/>
    <w:rsid w:val="008F4BC8"/>
    <w:rsid w:val="008F639B"/>
    <w:rsid w:val="00901F9C"/>
    <w:rsid w:val="009057AF"/>
    <w:rsid w:val="00905F31"/>
    <w:rsid w:val="009069C8"/>
    <w:rsid w:val="00906FB6"/>
    <w:rsid w:val="00910722"/>
    <w:rsid w:val="00910ACC"/>
    <w:rsid w:val="009113CA"/>
    <w:rsid w:val="00911511"/>
    <w:rsid w:val="0091660A"/>
    <w:rsid w:val="00916DCF"/>
    <w:rsid w:val="00921564"/>
    <w:rsid w:val="00930FAF"/>
    <w:rsid w:val="00933D84"/>
    <w:rsid w:val="009342A3"/>
    <w:rsid w:val="00934654"/>
    <w:rsid w:val="00934B5F"/>
    <w:rsid w:val="009352D9"/>
    <w:rsid w:val="00936035"/>
    <w:rsid w:val="00940390"/>
    <w:rsid w:val="0094145E"/>
    <w:rsid w:val="009417E8"/>
    <w:rsid w:val="00941BD9"/>
    <w:rsid w:val="00945226"/>
    <w:rsid w:val="00947369"/>
    <w:rsid w:val="009507B3"/>
    <w:rsid w:val="00951744"/>
    <w:rsid w:val="009531C6"/>
    <w:rsid w:val="009559F7"/>
    <w:rsid w:val="00956947"/>
    <w:rsid w:val="009573FC"/>
    <w:rsid w:val="00960211"/>
    <w:rsid w:val="00960DB8"/>
    <w:rsid w:val="00965D39"/>
    <w:rsid w:val="00965DBA"/>
    <w:rsid w:val="009820AE"/>
    <w:rsid w:val="009823A5"/>
    <w:rsid w:val="00982C1A"/>
    <w:rsid w:val="0098464F"/>
    <w:rsid w:val="00984EA4"/>
    <w:rsid w:val="00985B5A"/>
    <w:rsid w:val="0098672F"/>
    <w:rsid w:val="009960EE"/>
    <w:rsid w:val="00996996"/>
    <w:rsid w:val="009A030B"/>
    <w:rsid w:val="009A0FE3"/>
    <w:rsid w:val="009A2DB4"/>
    <w:rsid w:val="009A33F6"/>
    <w:rsid w:val="009A40AE"/>
    <w:rsid w:val="009B04B9"/>
    <w:rsid w:val="009B5849"/>
    <w:rsid w:val="009B7958"/>
    <w:rsid w:val="009C00FB"/>
    <w:rsid w:val="009C312C"/>
    <w:rsid w:val="009C5DEE"/>
    <w:rsid w:val="009C60D2"/>
    <w:rsid w:val="009D18D8"/>
    <w:rsid w:val="009D1A89"/>
    <w:rsid w:val="009D3F9F"/>
    <w:rsid w:val="009D60B7"/>
    <w:rsid w:val="009D6703"/>
    <w:rsid w:val="009E4C02"/>
    <w:rsid w:val="009E4E58"/>
    <w:rsid w:val="009E7B20"/>
    <w:rsid w:val="009F22AD"/>
    <w:rsid w:val="00A01644"/>
    <w:rsid w:val="00A061DF"/>
    <w:rsid w:val="00A10B7A"/>
    <w:rsid w:val="00A12344"/>
    <w:rsid w:val="00A1385B"/>
    <w:rsid w:val="00A20D26"/>
    <w:rsid w:val="00A2250D"/>
    <w:rsid w:val="00A25618"/>
    <w:rsid w:val="00A34E4F"/>
    <w:rsid w:val="00A429BD"/>
    <w:rsid w:val="00A42D5D"/>
    <w:rsid w:val="00A52939"/>
    <w:rsid w:val="00A54C98"/>
    <w:rsid w:val="00A562D3"/>
    <w:rsid w:val="00A56814"/>
    <w:rsid w:val="00A65C58"/>
    <w:rsid w:val="00A677E6"/>
    <w:rsid w:val="00A70354"/>
    <w:rsid w:val="00A80FA1"/>
    <w:rsid w:val="00A867D9"/>
    <w:rsid w:val="00A931C7"/>
    <w:rsid w:val="00AA12EA"/>
    <w:rsid w:val="00AA6A46"/>
    <w:rsid w:val="00AB1878"/>
    <w:rsid w:val="00AB1CAA"/>
    <w:rsid w:val="00AB2516"/>
    <w:rsid w:val="00AB5FE4"/>
    <w:rsid w:val="00AB605C"/>
    <w:rsid w:val="00AC0558"/>
    <w:rsid w:val="00AC3B91"/>
    <w:rsid w:val="00AC505B"/>
    <w:rsid w:val="00AD3C7C"/>
    <w:rsid w:val="00AE071A"/>
    <w:rsid w:val="00AE1969"/>
    <w:rsid w:val="00AE1C51"/>
    <w:rsid w:val="00AE7FB5"/>
    <w:rsid w:val="00AF3952"/>
    <w:rsid w:val="00AF6C06"/>
    <w:rsid w:val="00B01B63"/>
    <w:rsid w:val="00B0360E"/>
    <w:rsid w:val="00B05310"/>
    <w:rsid w:val="00B10E78"/>
    <w:rsid w:val="00B115A7"/>
    <w:rsid w:val="00B12181"/>
    <w:rsid w:val="00B12D35"/>
    <w:rsid w:val="00B13007"/>
    <w:rsid w:val="00B17DF9"/>
    <w:rsid w:val="00B32CC1"/>
    <w:rsid w:val="00B44B0E"/>
    <w:rsid w:val="00B51B83"/>
    <w:rsid w:val="00B51EF8"/>
    <w:rsid w:val="00B53D1F"/>
    <w:rsid w:val="00B55F37"/>
    <w:rsid w:val="00B6169F"/>
    <w:rsid w:val="00B62100"/>
    <w:rsid w:val="00B6345C"/>
    <w:rsid w:val="00B64AFA"/>
    <w:rsid w:val="00B65E66"/>
    <w:rsid w:val="00B82094"/>
    <w:rsid w:val="00B830B6"/>
    <w:rsid w:val="00B83A17"/>
    <w:rsid w:val="00B92A07"/>
    <w:rsid w:val="00BA1B8B"/>
    <w:rsid w:val="00BA4CBE"/>
    <w:rsid w:val="00BB0980"/>
    <w:rsid w:val="00BB347B"/>
    <w:rsid w:val="00BB640C"/>
    <w:rsid w:val="00BB7A08"/>
    <w:rsid w:val="00BC1694"/>
    <w:rsid w:val="00BC1B51"/>
    <w:rsid w:val="00BC7EDC"/>
    <w:rsid w:val="00BE25A1"/>
    <w:rsid w:val="00BE4121"/>
    <w:rsid w:val="00BE4301"/>
    <w:rsid w:val="00BF09EA"/>
    <w:rsid w:val="00BF6D78"/>
    <w:rsid w:val="00C00921"/>
    <w:rsid w:val="00C030EB"/>
    <w:rsid w:val="00C05474"/>
    <w:rsid w:val="00C12963"/>
    <w:rsid w:val="00C1765D"/>
    <w:rsid w:val="00C17F6E"/>
    <w:rsid w:val="00C22CBB"/>
    <w:rsid w:val="00C30378"/>
    <w:rsid w:val="00C312EF"/>
    <w:rsid w:val="00C32F8F"/>
    <w:rsid w:val="00C338AD"/>
    <w:rsid w:val="00C339A0"/>
    <w:rsid w:val="00C33A25"/>
    <w:rsid w:val="00C35EC4"/>
    <w:rsid w:val="00C37872"/>
    <w:rsid w:val="00C42E00"/>
    <w:rsid w:val="00C430C2"/>
    <w:rsid w:val="00C460FB"/>
    <w:rsid w:val="00C46989"/>
    <w:rsid w:val="00C479CA"/>
    <w:rsid w:val="00C51684"/>
    <w:rsid w:val="00C5308B"/>
    <w:rsid w:val="00C53189"/>
    <w:rsid w:val="00C5368B"/>
    <w:rsid w:val="00C57581"/>
    <w:rsid w:val="00C6221E"/>
    <w:rsid w:val="00C62DB1"/>
    <w:rsid w:val="00C655E9"/>
    <w:rsid w:val="00C669FF"/>
    <w:rsid w:val="00C711F2"/>
    <w:rsid w:val="00C80CCE"/>
    <w:rsid w:val="00C81201"/>
    <w:rsid w:val="00C861BB"/>
    <w:rsid w:val="00C911A0"/>
    <w:rsid w:val="00C944F0"/>
    <w:rsid w:val="00C96CFF"/>
    <w:rsid w:val="00C97EA8"/>
    <w:rsid w:val="00CA0695"/>
    <w:rsid w:val="00CA1683"/>
    <w:rsid w:val="00CA4C81"/>
    <w:rsid w:val="00CA4DCC"/>
    <w:rsid w:val="00CA5514"/>
    <w:rsid w:val="00CB3273"/>
    <w:rsid w:val="00CB3FD0"/>
    <w:rsid w:val="00CC225E"/>
    <w:rsid w:val="00CC2982"/>
    <w:rsid w:val="00CC3557"/>
    <w:rsid w:val="00CC409E"/>
    <w:rsid w:val="00CC5475"/>
    <w:rsid w:val="00CD127E"/>
    <w:rsid w:val="00CD1317"/>
    <w:rsid w:val="00CD1BC1"/>
    <w:rsid w:val="00CE1407"/>
    <w:rsid w:val="00CE19D0"/>
    <w:rsid w:val="00CE2FC5"/>
    <w:rsid w:val="00CE4EAA"/>
    <w:rsid w:val="00CE7235"/>
    <w:rsid w:val="00CF09F8"/>
    <w:rsid w:val="00CF1270"/>
    <w:rsid w:val="00CF17EB"/>
    <w:rsid w:val="00CF4449"/>
    <w:rsid w:val="00CF663B"/>
    <w:rsid w:val="00CF6BF6"/>
    <w:rsid w:val="00CF78AF"/>
    <w:rsid w:val="00D0177A"/>
    <w:rsid w:val="00D02F4A"/>
    <w:rsid w:val="00D046A2"/>
    <w:rsid w:val="00D04ADF"/>
    <w:rsid w:val="00D11D6E"/>
    <w:rsid w:val="00D16960"/>
    <w:rsid w:val="00D20433"/>
    <w:rsid w:val="00D2091B"/>
    <w:rsid w:val="00D21631"/>
    <w:rsid w:val="00D21727"/>
    <w:rsid w:val="00D21A03"/>
    <w:rsid w:val="00D222D7"/>
    <w:rsid w:val="00D22384"/>
    <w:rsid w:val="00D25204"/>
    <w:rsid w:val="00D27A31"/>
    <w:rsid w:val="00D27ABB"/>
    <w:rsid w:val="00D32422"/>
    <w:rsid w:val="00D349C8"/>
    <w:rsid w:val="00D35AC2"/>
    <w:rsid w:val="00D520FE"/>
    <w:rsid w:val="00D52486"/>
    <w:rsid w:val="00D52DF1"/>
    <w:rsid w:val="00D53C6B"/>
    <w:rsid w:val="00D54B48"/>
    <w:rsid w:val="00D56FD2"/>
    <w:rsid w:val="00D61720"/>
    <w:rsid w:val="00D638F4"/>
    <w:rsid w:val="00D63DAC"/>
    <w:rsid w:val="00D66C42"/>
    <w:rsid w:val="00D67CF0"/>
    <w:rsid w:val="00D709C8"/>
    <w:rsid w:val="00D71354"/>
    <w:rsid w:val="00D85503"/>
    <w:rsid w:val="00D8691E"/>
    <w:rsid w:val="00D86CD5"/>
    <w:rsid w:val="00D9326B"/>
    <w:rsid w:val="00D93C07"/>
    <w:rsid w:val="00D96867"/>
    <w:rsid w:val="00DA53FF"/>
    <w:rsid w:val="00DA6A6C"/>
    <w:rsid w:val="00DB46E8"/>
    <w:rsid w:val="00DB4E83"/>
    <w:rsid w:val="00DB610F"/>
    <w:rsid w:val="00DC0708"/>
    <w:rsid w:val="00DC1491"/>
    <w:rsid w:val="00DC1FB4"/>
    <w:rsid w:val="00DC6FA8"/>
    <w:rsid w:val="00DD1E74"/>
    <w:rsid w:val="00DD5944"/>
    <w:rsid w:val="00DE0024"/>
    <w:rsid w:val="00DE024B"/>
    <w:rsid w:val="00DE4C1A"/>
    <w:rsid w:val="00DF067A"/>
    <w:rsid w:val="00DF2DC6"/>
    <w:rsid w:val="00DF410F"/>
    <w:rsid w:val="00DF502E"/>
    <w:rsid w:val="00DF62EB"/>
    <w:rsid w:val="00E01121"/>
    <w:rsid w:val="00E0158F"/>
    <w:rsid w:val="00E0726A"/>
    <w:rsid w:val="00E16C6E"/>
    <w:rsid w:val="00E2038B"/>
    <w:rsid w:val="00E2078B"/>
    <w:rsid w:val="00E20A2C"/>
    <w:rsid w:val="00E230BE"/>
    <w:rsid w:val="00E25A99"/>
    <w:rsid w:val="00E30A67"/>
    <w:rsid w:val="00E30F15"/>
    <w:rsid w:val="00E31D5D"/>
    <w:rsid w:val="00E3222E"/>
    <w:rsid w:val="00E351E4"/>
    <w:rsid w:val="00E35AAB"/>
    <w:rsid w:val="00E44138"/>
    <w:rsid w:val="00E449A0"/>
    <w:rsid w:val="00E45A33"/>
    <w:rsid w:val="00E53672"/>
    <w:rsid w:val="00E53CAE"/>
    <w:rsid w:val="00E54DA3"/>
    <w:rsid w:val="00E565A4"/>
    <w:rsid w:val="00E57246"/>
    <w:rsid w:val="00E6137E"/>
    <w:rsid w:val="00E64647"/>
    <w:rsid w:val="00E7429E"/>
    <w:rsid w:val="00E742AA"/>
    <w:rsid w:val="00E80222"/>
    <w:rsid w:val="00E866D6"/>
    <w:rsid w:val="00E9089C"/>
    <w:rsid w:val="00EA28B7"/>
    <w:rsid w:val="00EB0FEA"/>
    <w:rsid w:val="00EB13A1"/>
    <w:rsid w:val="00EB1EE8"/>
    <w:rsid w:val="00EB47DC"/>
    <w:rsid w:val="00EB4E6A"/>
    <w:rsid w:val="00EC2190"/>
    <w:rsid w:val="00EC23E6"/>
    <w:rsid w:val="00EC364A"/>
    <w:rsid w:val="00EC3683"/>
    <w:rsid w:val="00EC7CCF"/>
    <w:rsid w:val="00EE502F"/>
    <w:rsid w:val="00EE51FB"/>
    <w:rsid w:val="00EF042F"/>
    <w:rsid w:val="00EF3C3C"/>
    <w:rsid w:val="00EF75C7"/>
    <w:rsid w:val="00F02083"/>
    <w:rsid w:val="00F02FD3"/>
    <w:rsid w:val="00F112BA"/>
    <w:rsid w:val="00F152A8"/>
    <w:rsid w:val="00F1616D"/>
    <w:rsid w:val="00F16217"/>
    <w:rsid w:val="00F166AF"/>
    <w:rsid w:val="00F173C9"/>
    <w:rsid w:val="00F20DDB"/>
    <w:rsid w:val="00F21E77"/>
    <w:rsid w:val="00F25AF2"/>
    <w:rsid w:val="00F26256"/>
    <w:rsid w:val="00F26E48"/>
    <w:rsid w:val="00F27FC1"/>
    <w:rsid w:val="00F32CCB"/>
    <w:rsid w:val="00F36D0F"/>
    <w:rsid w:val="00F3786E"/>
    <w:rsid w:val="00F37B3C"/>
    <w:rsid w:val="00F40431"/>
    <w:rsid w:val="00F4048C"/>
    <w:rsid w:val="00F41DDD"/>
    <w:rsid w:val="00F44C6D"/>
    <w:rsid w:val="00F514E7"/>
    <w:rsid w:val="00F51635"/>
    <w:rsid w:val="00F53595"/>
    <w:rsid w:val="00F609B7"/>
    <w:rsid w:val="00F63C0A"/>
    <w:rsid w:val="00F711AA"/>
    <w:rsid w:val="00F714AB"/>
    <w:rsid w:val="00F729F8"/>
    <w:rsid w:val="00F75D32"/>
    <w:rsid w:val="00F81E14"/>
    <w:rsid w:val="00F84B81"/>
    <w:rsid w:val="00F86379"/>
    <w:rsid w:val="00F8642E"/>
    <w:rsid w:val="00FA58F8"/>
    <w:rsid w:val="00FA7FB8"/>
    <w:rsid w:val="00FB2999"/>
    <w:rsid w:val="00FB40F5"/>
    <w:rsid w:val="00FC23A3"/>
    <w:rsid w:val="00FC321C"/>
    <w:rsid w:val="00FC6D5D"/>
    <w:rsid w:val="00FD5B29"/>
    <w:rsid w:val="00FE5032"/>
    <w:rsid w:val="00FE756D"/>
    <w:rsid w:val="00FF4306"/>
    <w:rsid w:val="00FF5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BC1096"/>
  <w15:chartTrackingRefBased/>
  <w15:docId w15:val="{E3648674-847B-4A76-927D-0FE783B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33"/>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character" w:customStyle="1" w:styleId="SingleTxtGChar">
    <w:name w:val="_ Single Txt_G Char"/>
    <w:link w:val="SingleTxtG"/>
    <w:locked/>
    <w:rsid w:val="00A12344"/>
    <w:rPr>
      <w:lang w:val="en-GB" w:eastAsia="en-US"/>
    </w:rPr>
  </w:style>
  <w:style w:type="paragraph" w:styleId="ListParagraph">
    <w:name w:val="List Paragraph"/>
    <w:basedOn w:val="Normal"/>
    <w:uiPriority w:val="34"/>
    <w:qFormat/>
    <w:rsid w:val="00D27ABB"/>
    <w:pPr>
      <w:suppressAutoHyphens w:val="0"/>
      <w:autoSpaceDE w:val="0"/>
      <w:autoSpaceDN w:val="0"/>
      <w:adjustRightInd w:val="0"/>
      <w:spacing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A641-AD0F-4C35-81C1-A21674E5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8701</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180328 ECE-TRANS-WP15-AC2-2018-XX v1_France.doc</vt:lpstr>
      <vt:lpstr>180328 ECE-TRANS-WP15-AC2-2018-XX v1_France.doc</vt:lpstr>
      <vt:lpstr>ECE-TRANS-WP15-AC2-2016-XY.doc</vt:lpstr>
    </vt:vector>
  </TitlesOfParts>
  <Company>MEDDE</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 ECE-TRANS-WP15-AC2-2018-XX v1_France.doc</dc:title>
  <dc:subject/>
  <dc:creator>Pierre Dufour</dc:creator>
  <cp:keywords/>
  <cp:lastModifiedBy>Lucille Caillot</cp:lastModifiedBy>
  <cp:revision>3</cp:revision>
  <cp:lastPrinted>2017-05-04T10:06:00Z</cp:lastPrinted>
  <dcterms:created xsi:type="dcterms:W3CDTF">2020-01-10T09:55:00Z</dcterms:created>
  <dcterms:modified xsi:type="dcterms:W3CDTF">2020-01-10T10:06:00Z</dcterms:modified>
</cp:coreProperties>
</file>