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8331C" w:rsidRPr="00FF658F" w14:paraId="13158010" w14:textId="77777777" w:rsidTr="00EE2CDD">
        <w:trPr>
          <w:cantSplit/>
          <w:trHeight w:hRule="exact" w:val="851"/>
        </w:trPr>
        <w:tc>
          <w:tcPr>
            <w:tcW w:w="1276" w:type="dxa"/>
            <w:tcBorders>
              <w:bottom w:val="single" w:sz="4" w:space="0" w:color="auto"/>
            </w:tcBorders>
            <w:vAlign w:val="bottom"/>
          </w:tcPr>
          <w:p w14:paraId="18359265" w14:textId="77777777" w:rsidR="0068331C" w:rsidRPr="00FF658F" w:rsidRDefault="0068331C" w:rsidP="0068331C">
            <w:pPr>
              <w:rPr>
                <w:lang w:eastAsia="en-GB"/>
              </w:rPr>
            </w:pPr>
          </w:p>
        </w:tc>
        <w:tc>
          <w:tcPr>
            <w:tcW w:w="8363" w:type="dxa"/>
            <w:gridSpan w:val="2"/>
            <w:tcBorders>
              <w:bottom w:val="single" w:sz="4" w:space="0" w:color="auto"/>
            </w:tcBorders>
            <w:vAlign w:val="bottom"/>
          </w:tcPr>
          <w:p w14:paraId="5A3DE20A" w14:textId="78389A99" w:rsidR="0068331C" w:rsidRPr="00FF658F" w:rsidRDefault="0068331C" w:rsidP="00D921F1">
            <w:pPr>
              <w:jc w:val="right"/>
            </w:pPr>
            <w:r w:rsidRPr="003C435B">
              <w:rPr>
                <w:b/>
                <w:sz w:val="40"/>
                <w:szCs w:val="40"/>
              </w:rPr>
              <w:t>INF.</w:t>
            </w:r>
            <w:r w:rsidR="00A41BD2">
              <w:rPr>
                <w:b/>
                <w:sz w:val="40"/>
                <w:szCs w:val="40"/>
              </w:rPr>
              <w:t>24</w:t>
            </w:r>
          </w:p>
        </w:tc>
      </w:tr>
      <w:tr w:rsidR="0068331C" w:rsidRPr="00FF658F" w14:paraId="6BE87D2F" w14:textId="77777777" w:rsidTr="00A41BD2">
        <w:trPr>
          <w:cantSplit/>
          <w:trHeight w:hRule="exact" w:val="3555"/>
        </w:trPr>
        <w:tc>
          <w:tcPr>
            <w:tcW w:w="6804" w:type="dxa"/>
            <w:gridSpan w:val="2"/>
            <w:tcBorders>
              <w:top w:val="single" w:sz="4" w:space="0" w:color="auto"/>
              <w:bottom w:val="single" w:sz="12" w:space="0" w:color="auto"/>
            </w:tcBorders>
          </w:tcPr>
          <w:p w14:paraId="3ADEA4E7" w14:textId="77777777" w:rsidR="0068331C" w:rsidRPr="002E7DCB" w:rsidRDefault="0068331C" w:rsidP="0068331C">
            <w:pPr>
              <w:spacing w:before="120"/>
              <w:rPr>
                <w:b/>
                <w:sz w:val="28"/>
                <w:szCs w:val="28"/>
              </w:rPr>
            </w:pPr>
            <w:r>
              <w:rPr>
                <w:b/>
                <w:bCs/>
                <w:sz w:val="28"/>
                <w:szCs w:val="28"/>
              </w:rPr>
              <w:t>Economic Commission for Europe</w:t>
            </w:r>
          </w:p>
          <w:p w14:paraId="0A690983" w14:textId="77777777" w:rsidR="0068331C" w:rsidRPr="002E7DCB" w:rsidRDefault="0068331C" w:rsidP="0068331C">
            <w:pPr>
              <w:spacing w:before="120"/>
              <w:rPr>
                <w:sz w:val="28"/>
                <w:szCs w:val="28"/>
              </w:rPr>
            </w:pPr>
            <w:r>
              <w:rPr>
                <w:sz w:val="28"/>
                <w:szCs w:val="28"/>
              </w:rPr>
              <w:t>Inland Transport Committee</w:t>
            </w:r>
          </w:p>
          <w:p w14:paraId="7A9EA706" w14:textId="77777777" w:rsidR="0068331C" w:rsidRPr="002E7DCB" w:rsidRDefault="0068331C" w:rsidP="0068331C">
            <w:pPr>
              <w:spacing w:before="120"/>
              <w:rPr>
                <w:b/>
                <w:sz w:val="24"/>
                <w:szCs w:val="24"/>
              </w:rPr>
            </w:pPr>
            <w:r>
              <w:rPr>
                <w:b/>
                <w:sz w:val="24"/>
                <w:szCs w:val="24"/>
              </w:rPr>
              <w:t>Working Party on the Transport of Dangerous Goods</w:t>
            </w:r>
          </w:p>
          <w:p w14:paraId="337A997A" w14:textId="77777777" w:rsidR="0068331C" w:rsidRPr="00FF658F" w:rsidRDefault="0068331C" w:rsidP="0068331C">
            <w:pPr>
              <w:spacing w:before="120"/>
              <w:rPr>
                <w:b/>
              </w:rPr>
            </w:pPr>
            <w:r>
              <w:rPr>
                <w:b/>
              </w:rPr>
              <w:t>Joint Meeting of Experts on the Regulations annexed to the</w:t>
            </w:r>
          </w:p>
          <w:p w14:paraId="015EA063" w14:textId="77777777" w:rsidR="0068331C" w:rsidRPr="00FF658F" w:rsidRDefault="0068331C" w:rsidP="0068331C">
            <w:pPr>
              <w:rPr>
                <w:b/>
              </w:rPr>
            </w:pPr>
            <w:r>
              <w:rPr>
                <w:b/>
              </w:rPr>
              <w:t>European Agreement concerning the International Carriage</w:t>
            </w:r>
          </w:p>
          <w:p w14:paraId="263B98E2" w14:textId="77777777" w:rsidR="0068331C" w:rsidRPr="002E7DCB" w:rsidRDefault="0068331C" w:rsidP="0068331C">
            <w:pPr>
              <w:rPr>
                <w:b/>
              </w:rPr>
            </w:pPr>
            <w:r>
              <w:rPr>
                <w:b/>
              </w:rPr>
              <w:t>of Dangerous Goods by Inland Waterways (ADN)</w:t>
            </w:r>
          </w:p>
          <w:p w14:paraId="5764E24E" w14:textId="77777777" w:rsidR="0068331C" w:rsidRPr="00614AA5" w:rsidRDefault="0068331C" w:rsidP="0068331C">
            <w:pPr>
              <w:spacing w:before="120"/>
              <w:rPr>
                <w:b/>
                <w:lang w:eastAsia="en-US"/>
              </w:rPr>
            </w:pPr>
            <w:r w:rsidRPr="00614AA5">
              <w:rPr>
                <w:b/>
                <w:lang w:eastAsia="en-US"/>
              </w:rPr>
              <w:t>Thirty-sixth session</w:t>
            </w:r>
          </w:p>
          <w:p w14:paraId="544AA543" w14:textId="5CFF7C6D" w:rsidR="0068331C" w:rsidRPr="00614AA5" w:rsidRDefault="0068331C" w:rsidP="0068331C">
            <w:pPr>
              <w:rPr>
                <w:lang w:eastAsia="en-US"/>
              </w:rPr>
            </w:pPr>
            <w:r w:rsidRPr="00614AA5">
              <w:rPr>
                <w:lang w:eastAsia="en-US"/>
              </w:rPr>
              <w:t>Geneva, 27-31 January 2020</w:t>
            </w:r>
            <w:r w:rsidRPr="00614AA5">
              <w:rPr>
                <w:lang w:eastAsia="en-US"/>
              </w:rPr>
              <w:br/>
              <w:t xml:space="preserve">Item </w:t>
            </w:r>
            <w:r w:rsidR="00A41BD2">
              <w:rPr>
                <w:lang w:eastAsia="en-US"/>
              </w:rPr>
              <w:t>3</w:t>
            </w:r>
            <w:r w:rsidRPr="00614AA5">
              <w:rPr>
                <w:lang w:eastAsia="en-US"/>
              </w:rPr>
              <w:t xml:space="preserve"> of the provisional agenda</w:t>
            </w:r>
          </w:p>
          <w:p w14:paraId="4EB2D21B" w14:textId="1A97C239" w:rsidR="0068331C" w:rsidRPr="00A41BD2" w:rsidRDefault="00A41BD2" w:rsidP="0068331C">
            <w:pPr>
              <w:rPr>
                <w:b/>
                <w:bCs/>
              </w:rPr>
            </w:pPr>
            <w:r w:rsidRPr="00A41BD2">
              <w:rPr>
                <w:b/>
                <w:bCs/>
              </w:rPr>
              <w:t xml:space="preserve">Matters arising from the work of United Nations bodies </w:t>
            </w:r>
            <w:r w:rsidRPr="00A41BD2">
              <w:rPr>
                <w:b/>
                <w:bCs/>
              </w:rPr>
              <w:br/>
              <w:t>or other organizations</w:t>
            </w:r>
          </w:p>
        </w:tc>
        <w:tc>
          <w:tcPr>
            <w:tcW w:w="2835" w:type="dxa"/>
            <w:tcBorders>
              <w:top w:val="single" w:sz="4" w:space="0" w:color="auto"/>
              <w:bottom w:val="single" w:sz="12" w:space="0" w:color="auto"/>
            </w:tcBorders>
          </w:tcPr>
          <w:p w14:paraId="3D333CB0" w14:textId="77777777" w:rsidR="0068331C" w:rsidRPr="00FF658F" w:rsidRDefault="0068331C" w:rsidP="0068331C">
            <w:pPr>
              <w:spacing w:before="120"/>
              <w:rPr>
                <w:lang w:eastAsia="en-GB"/>
              </w:rPr>
            </w:pPr>
          </w:p>
          <w:p w14:paraId="54E17FE0" w14:textId="77777777" w:rsidR="00E90390" w:rsidRDefault="00E90390" w:rsidP="0068331C">
            <w:pPr>
              <w:spacing w:before="120"/>
              <w:ind w:left="431"/>
            </w:pPr>
            <w:r>
              <w:t>24</w:t>
            </w:r>
            <w:r w:rsidR="0068331C">
              <w:t xml:space="preserve"> January 2020</w:t>
            </w:r>
          </w:p>
          <w:p w14:paraId="71ABEE79" w14:textId="310CD8AF" w:rsidR="0068331C" w:rsidRPr="00FF658F" w:rsidRDefault="0068331C" w:rsidP="0068331C">
            <w:pPr>
              <w:spacing w:before="120"/>
              <w:ind w:left="431"/>
            </w:pPr>
            <w:r>
              <w:t>English</w:t>
            </w:r>
          </w:p>
        </w:tc>
      </w:tr>
    </w:tbl>
    <w:p w14:paraId="48455098" w14:textId="5D3AFC18" w:rsidR="00D921F1" w:rsidRDefault="003432D9" w:rsidP="00D921F1">
      <w:pPr>
        <w:pStyle w:val="HChG"/>
      </w:pPr>
      <w:r w:rsidRPr="00D66DD5">
        <w:tab/>
      </w:r>
      <w:r w:rsidRPr="00D66DD5">
        <w:tab/>
      </w:r>
      <w:r w:rsidR="00D921F1">
        <w:t xml:space="preserve">Information on funding opportunities for </w:t>
      </w:r>
      <w:r w:rsidR="00A3318C">
        <w:t xml:space="preserve">“greening” TDG </w:t>
      </w:r>
      <w:r w:rsidR="00DF10BE">
        <w:t xml:space="preserve">– details on LIFE </w:t>
      </w:r>
      <w:r w:rsidR="000E6688">
        <w:t>sub-</w:t>
      </w:r>
      <w:r w:rsidR="00DF10BE">
        <w:t xml:space="preserve">programme for </w:t>
      </w:r>
      <w:r w:rsidR="000E6688">
        <w:t>environment</w:t>
      </w:r>
    </w:p>
    <w:p w14:paraId="345F9CA9" w14:textId="3E9291F0" w:rsidR="003432D9" w:rsidRDefault="00E90390" w:rsidP="00E90390">
      <w:pPr>
        <w:pStyle w:val="H1G"/>
      </w:pPr>
      <w:r>
        <w:tab/>
      </w:r>
      <w:r>
        <w:tab/>
      </w:r>
      <w:r w:rsidR="00D921F1" w:rsidRPr="003134DF">
        <w:t xml:space="preserve">Transmitted by the </w:t>
      </w:r>
      <w:r w:rsidR="00D921F1">
        <w:t>European Commission</w:t>
      </w:r>
    </w:p>
    <w:tbl>
      <w:tblPr>
        <w:tblW w:w="920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5"/>
        <w:gridCol w:w="6804"/>
      </w:tblGrid>
      <w:tr w:rsidR="00D921F1" w:rsidRPr="003134DF" w14:paraId="1B9D4B89" w14:textId="77777777" w:rsidTr="00D921F1">
        <w:trPr>
          <w:jc w:val="center"/>
        </w:trPr>
        <w:tc>
          <w:tcPr>
            <w:tcW w:w="2405" w:type="dxa"/>
            <w:tcBorders>
              <w:top w:val="single" w:sz="4" w:space="0" w:color="auto"/>
            </w:tcBorders>
          </w:tcPr>
          <w:p w14:paraId="3B319DE0" w14:textId="77777777" w:rsidR="00D921F1" w:rsidRPr="003134DF" w:rsidRDefault="00D921F1" w:rsidP="008D51A1">
            <w:pPr>
              <w:tabs>
                <w:tab w:val="left" w:pos="284"/>
              </w:tabs>
              <w:spacing w:before="120" w:after="120"/>
            </w:pPr>
            <w:r w:rsidRPr="003134DF">
              <w:rPr>
                <w:i/>
                <w:sz w:val="24"/>
              </w:rPr>
              <w:tab/>
              <w:t>Summary</w:t>
            </w:r>
          </w:p>
        </w:tc>
        <w:tc>
          <w:tcPr>
            <w:tcW w:w="6804" w:type="dxa"/>
            <w:tcBorders>
              <w:top w:val="single" w:sz="4" w:space="0" w:color="auto"/>
            </w:tcBorders>
          </w:tcPr>
          <w:p w14:paraId="79826D05" w14:textId="77777777" w:rsidR="00D921F1" w:rsidRPr="003134DF" w:rsidRDefault="00D921F1" w:rsidP="008D51A1">
            <w:pPr>
              <w:spacing w:before="120" w:after="120"/>
            </w:pPr>
          </w:p>
        </w:tc>
      </w:tr>
      <w:tr w:rsidR="00D921F1" w:rsidRPr="003134DF" w14:paraId="0588E63F" w14:textId="77777777" w:rsidTr="00D921F1">
        <w:trPr>
          <w:jc w:val="center"/>
        </w:trPr>
        <w:tc>
          <w:tcPr>
            <w:tcW w:w="2405" w:type="dxa"/>
          </w:tcPr>
          <w:p w14:paraId="7C677DD7" w14:textId="77777777" w:rsidR="00D921F1" w:rsidRPr="003134DF" w:rsidRDefault="00D921F1" w:rsidP="008D51A1">
            <w:pPr>
              <w:tabs>
                <w:tab w:val="left" w:pos="284"/>
              </w:tabs>
              <w:spacing w:before="120" w:after="120"/>
            </w:pPr>
            <w:r w:rsidRPr="003134DF">
              <w:rPr>
                <w:b/>
              </w:rPr>
              <w:tab/>
              <w:t>Executive summary:</w:t>
            </w:r>
          </w:p>
        </w:tc>
        <w:tc>
          <w:tcPr>
            <w:tcW w:w="6804" w:type="dxa"/>
          </w:tcPr>
          <w:p w14:paraId="29538E5A" w14:textId="047059EF" w:rsidR="00D921F1" w:rsidRPr="003134DF" w:rsidRDefault="00D921F1" w:rsidP="008D51A1">
            <w:pPr>
              <w:spacing w:before="120" w:after="120"/>
              <w:ind w:left="-74"/>
            </w:pPr>
            <w:r w:rsidRPr="00D921F1">
              <w:rPr>
                <w:bCs/>
                <w:szCs w:val="24"/>
              </w:rPr>
              <w:t>The document contains information for EU Member States and relevant organisations concerning funding available for projects meant to “green” the IWW transport of dangerous goo</w:t>
            </w:r>
            <w:r w:rsidR="009C7E8B">
              <w:rPr>
                <w:bCs/>
                <w:szCs w:val="24"/>
              </w:rPr>
              <w:t>ds sector in the European Union</w:t>
            </w:r>
          </w:p>
        </w:tc>
      </w:tr>
      <w:tr w:rsidR="00D921F1" w:rsidRPr="003134DF" w14:paraId="36859152" w14:textId="77777777" w:rsidTr="00D921F1">
        <w:trPr>
          <w:trHeight w:val="509"/>
          <w:jc w:val="center"/>
        </w:trPr>
        <w:tc>
          <w:tcPr>
            <w:tcW w:w="2405" w:type="dxa"/>
          </w:tcPr>
          <w:p w14:paraId="6FF5A04D" w14:textId="77777777" w:rsidR="00D921F1" w:rsidRPr="003134DF" w:rsidRDefault="00D921F1" w:rsidP="008D51A1">
            <w:pPr>
              <w:tabs>
                <w:tab w:val="left" w:pos="284"/>
              </w:tabs>
              <w:spacing w:before="120" w:after="120"/>
              <w:rPr>
                <w:b/>
              </w:rPr>
            </w:pPr>
            <w:r w:rsidRPr="003134DF">
              <w:rPr>
                <w:b/>
              </w:rPr>
              <w:tab/>
              <w:t>Action to be taken:</w:t>
            </w:r>
          </w:p>
        </w:tc>
        <w:tc>
          <w:tcPr>
            <w:tcW w:w="6804" w:type="dxa"/>
          </w:tcPr>
          <w:p w14:paraId="3D13AAA0" w14:textId="014CF267" w:rsidR="00D921F1" w:rsidRPr="003134DF" w:rsidRDefault="00D921F1" w:rsidP="00D921F1">
            <w:pPr>
              <w:spacing w:before="120" w:after="120"/>
              <w:ind w:left="-74"/>
            </w:pPr>
            <w:r>
              <w:t xml:space="preserve">The EU Member States and the relevant organisations are invited to take action by sending the Commission proposals of </w:t>
            </w:r>
            <w:r w:rsidR="009C7E8B">
              <w:t>future projects</w:t>
            </w:r>
          </w:p>
        </w:tc>
      </w:tr>
      <w:tr w:rsidR="00D921F1" w:rsidRPr="003134DF" w14:paraId="0D46FA7A" w14:textId="77777777" w:rsidTr="00A3318C">
        <w:trPr>
          <w:trHeight w:val="502"/>
          <w:jc w:val="center"/>
        </w:trPr>
        <w:tc>
          <w:tcPr>
            <w:tcW w:w="2405" w:type="dxa"/>
            <w:tcBorders>
              <w:bottom w:val="single" w:sz="4" w:space="0" w:color="auto"/>
            </w:tcBorders>
          </w:tcPr>
          <w:p w14:paraId="3D24BE6C" w14:textId="77777777" w:rsidR="00D921F1" w:rsidRPr="003134DF" w:rsidRDefault="00D921F1" w:rsidP="008D51A1">
            <w:pPr>
              <w:tabs>
                <w:tab w:val="left" w:pos="284"/>
              </w:tabs>
              <w:spacing w:before="120" w:after="120"/>
              <w:rPr>
                <w:b/>
              </w:rPr>
            </w:pPr>
            <w:r w:rsidRPr="003134DF">
              <w:rPr>
                <w:b/>
              </w:rPr>
              <w:tab/>
              <w:t>Related documents:</w:t>
            </w:r>
          </w:p>
        </w:tc>
        <w:tc>
          <w:tcPr>
            <w:tcW w:w="6804" w:type="dxa"/>
            <w:tcBorders>
              <w:bottom w:val="single" w:sz="4" w:space="0" w:color="auto"/>
            </w:tcBorders>
          </w:tcPr>
          <w:p w14:paraId="2A25F579" w14:textId="7AA611ED" w:rsidR="00A3318C" w:rsidRPr="003134DF" w:rsidRDefault="00D921F1" w:rsidP="00A3318C">
            <w:pPr>
              <w:spacing w:before="120" w:after="120"/>
              <w:ind w:left="-74"/>
            </w:pPr>
            <w:r>
              <w:t>Informal document INF.11 of the thirty-sixth session (para. 3)</w:t>
            </w:r>
          </w:p>
        </w:tc>
      </w:tr>
    </w:tbl>
    <w:p w14:paraId="4E77B841" w14:textId="410D3769" w:rsidR="003432D9" w:rsidRPr="00D921F1" w:rsidRDefault="00E90390" w:rsidP="00E90390">
      <w:pPr>
        <w:pStyle w:val="HChG"/>
      </w:pPr>
      <w:r>
        <w:tab/>
      </w:r>
      <w:r>
        <w:tab/>
      </w:r>
      <w:r w:rsidR="00A3318C">
        <w:tab/>
      </w:r>
      <w:r w:rsidR="003432D9" w:rsidRPr="005D2090">
        <w:t>Introduction</w:t>
      </w:r>
    </w:p>
    <w:p w14:paraId="18E21192" w14:textId="72084CF1" w:rsidR="00F70780" w:rsidRPr="00E90390" w:rsidRDefault="00E90390" w:rsidP="00E90390">
      <w:pPr>
        <w:pStyle w:val="SingleTxtG"/>
      </w:pPr>
      <w:r>
        <w:t>1.</w:t>
      </w:r>
      <w:r>
        <w:tab/>
      </w:r>
      <w:r w:rsidR="00D921F1" w:rsidRPr="00E90390">
        <w:t>Taking into account the efforts of EU Member’s States</w:t>
      </w:r>
      <w:r w:rsidR="00A3318C" w:rsidRPr="00E90390">
        <w:t>/ADN contracting parties</w:t>
      </w:r>
      <w:r w:rsidR="00D921F1" w:rsidRPr="00E90390">
        <w:t xml:space="preserve"> to </w:t>
      </w:r>
      <w:r w:rsidR="00A3318C" w:rsidRPr="00E90390">
        <w:t>protect the environment and to ensure safe and secure transport of dangerous goods</w:t>
      </w:r>
      <w:r w:rsidR="00D921F1" w:rsidRPr="00E90390">
        <w:t xml:space="preserve">, the UNECE Convention on Long-range Transboundary Air Pollution </w:t>
      </w:r>
      <w:r w:rsidR="00F70780" w:rsidRPr="00E90390">
        <w:t>as well as</w:t>
      </w:r>
      <w:r w:rsidR="00D921F1" w:rsidRPr="00E90390">
        <w:t xml:space="preserve"> the 1999 Protocol to Abate Acidification, Eutrophication and Ground-level Ozone, the Commission is hereby wishing to </w:t>
      </w:r>
      <w:r w:rsidR="00A3318C" w:rsidRPr="00E90390">
        <w:t>inform</w:t>
      </w:r>
      <w:r w:rsidR="00D921F1" w:rsidRPr="00E90390">
        <w:t xml:space="preserve"> the Member States and the relevant governmental and non-governmental </w:t>
      </w:r>
      <w:r w:rsidR="00F70780" w:rsidRPr="00E90390">
        <w:t xml:space="preserve">international organisations </w:t>
      </w:r>
      <w:r w:rsidR="00D921F1" w:rsidRPr="00E90390">
        <w:t xml:space="preserve">on </w:t>
      </w:r>
      <w:r w:rsidR="00F70780" w:rsidRPr="00E90390">
        <w:t>some financing possibilities at EU level.</w:t>
      </w:r>
    </w:p>
    <w:p w14:paraId="7B8B14F8" w14:textId="3C8A6C3D" w:rsidR="00D921F1" w:rsidRPr="00E90390" w:rsidRDefault="00E90390" w:rsidP="00E90390">
      <w:pPr>
        <w:pStyle w:val="SingleTxtG"/>
      </w:pPr>
      <w:r>
        <w:t>2.</w:t>
      </w:r>
      <w:r>
        <w:tab/>
      </w:r>
      <w:r w:rsidR="00D921F1" w:rsidRPr="00E90390">
        <w:t xml:space="preserve">As mentioned in para. 3 of Informal document INF.11 – Report of the informal working group on Degassing/Operating emissions, the Commission is seeking to define actions to be financed in order to meet its commitment to improve air quality in Europe, which could also include projects in relation to inland waterway transport of dangerous goods.  </w:t>
      </w:r>
    </w:p>
    <w:p w14:paraId="5336AFDA" w14:textId="3B98E3AF" w:rsidR="00977662" w:rsidRPr="00E90390" w:rsidRDefault="00E90390" w:rsidP="00E90390">
      <w:pPr>
        <w:pStyle w:val="SingleTxtG"/>
      </w:pPr>
      <w:r>
        <w:t>3.</w:t>
      </w:r>
      <w:r>
        <w:tab/>
      </w:r>
      <w:r w:rsidR="00977662" w:rsidRPr="00E90390">
        <w:t>The LIFE sub-programme for environment (there is also one for climate) provides grants for traditional projects, integrated projects, preparatory and capacity building projects</w:t>
      </w:r>
      <w:r w:rsidR="00F70780" w:rsidRPr="00E90390">
        <w:t xml:space="preserve"> as well as for </w:t>
      </w:r>
      <w:r w:rsidR="00977662" w:rsidRPr="00E90390">
        <w:t>technical assistance projects.</w:t>
      </w:r>
    </w:p>
    <w:p w14:paraId="74052BAA" w14:textId="46F12732" w:rsidR="00977662" w:rsidRPr="00E90390" w:rsidRDefault="00E90390" w:rsidP="00E90390">
      <w:pPr>
        <w:pStyle w:val="SingleTxtG"/>
      </w:pPr>
      <w:r>
        <w:t>4.</w:t>
      </w:r>
      <w:r>
        <w:tab/>
      </w:r>
      <w:r w:rsidR="00977662" w:rsidRPr="00E90390">
        <w:t xml:space="preserve">Any public or private organisation (commercial or non-commercial) registered in the EU can apply. </w:t>
      </w:r>
    </w:p>
    <w:p w14:paraId="5DF1CDD9" w14:textId="0A3B0F87" w:rsidR="00F70780" w:rsidRPr="00E90390" w:rsidRDefault="00E90390" w:rsidP="00E90390">
      <w:pPr>
        <w:pStyle w:val="SingleTxtG"/>
      </w:pPr>
      <w:r>
        <w:t>5.</w:t>
      </w:r>
      <w:r>
        <w:tab/>
      </w:r>
      <w:r w:rsidR="00977662" w:rsidRPr="00E90390">
        <w:t xml:space="preserve">The 2020 call process opens on 2 April 2020. </w:t>
      </w:r>
    </w:p>
    <w:p w14:paraId="1CF64664" w14:textId="7613FB8B" w:rsidR="00977662" w:rsidRPr="00E90390" w:rsidRDefault="00E90390" w:rsidP="00E90390">
      <w:pPr>
        <w:pStyle w:val="SingleTxtG"/>
      </w:pPr>
      <w:r>
        <w:t>6.</w:t>
      </w:r>
      <w:r>
        <w:tab/>
      </w:r>
      <w:r w:rsidR="00977662" w:rsidRPr="00E90390">
        <w:t xml:space="preserve">Generally, LIFE projects take place in the territory of the European Union Member States. In exceptional cases, the LIFE programme can also finance activities outside the EU </w:t>
      </w:r>
      <w:r w:rsidR="00977662" w:rsidRPr="00E90390">
        <w:lastRenderedPageBreak/>
        <w:t>and in overseas countries and territories, but only if the project leader (“coordinating beneficiary”) is based in the EU and the applicants can prove that the activities carried out outside the EU are necessary to ac</w:t>
      </w:r>
      <w:bookmarkStart w:id="0" w:name="_GoBack"/>
      <w:bookmarkEnd w:id="0"/>
      <w:r w:rsidR="00977662" w:rsidRPr="00E90390">
        <w:t xml:space="preserve">hieve EU environmental or climate objectives. </w:t>
      </w:r>
    </w:p>
    <w:p w14:paraId="71F9C3B7" w14:textId="279FA3B0" w:rsidR="00977662" w:rsidRPr="00E90390" w:rsidRDefault="00E90390" w:rsidP="00E90390">
      <w:pPr>
        <w:pStyle w:val="SingleTxtG"/>
      </w:pPr>
      <w:r>
        <w:t>7.</w:t>
      </w:r>
      <w:r>
        <w:tab/>
      </w:r>
      <w:r w:rsidR="00977662" w:rsidRPr="00E90390">
        <w:t xml:space="preserve">Interested candidates are invited to </w:t>
      </w:r>
      <w:r w:rsidR="00F70780" w:rsidRPr="00E90390">
        <w:t xml:space="preserve">attend </w:t>
      </w:r>
      <w:r w:rsidR="00977662" w:rsidRPr="00E90390">
        <w:t xml:space="preserve">an information day </w:t>
      </w:r>
      <w:r w:rsidR="00F70780" w:rsidRPr="00E90390">
        <w:t xml:space="preserve">which will be organized </w:t>
      </w:r>
      <w:r w:rsidR="00977662" w:rsidRPr="00E90390">
        <w:t xml:space="preserve">at </w:t>
      </w:r>
      <w:r w:rsidR="00F70780" w:rsidRPr="00E90390">
        <w:t>the Executive Agency for Small and Medium-sized Enterprises (</w:t>
      </w:r>
      <w:r w:rsidR="00977662" w:rsidRPr="00E90390">
        <w:t>EASME</w:t>
      </w:r>
      <w:r w:rsidR="00F70780" w:rsidRPr="00E90390">
        <w:t>) in</w:t>
      </w:r>
      <w:r w:rsidR="00977662" w:rsidRPr="00E90390">
        <w:t xml:space="preserve"> Brussels </w:t>
      </w:r>
      <w:r w:rsidR="00F70780" w:rsidRPr="00E90390">
        <w:t xml:space="preserve">on </w:t>
      </w:r>
      <w:r w:rsidR="00977662" w:rsidRPr="00E90390">
        <w:t xml:space="preserve">30 April 2020: </w:t>
      </w:r>
      <w:hyperlink r:id="rId8" w:history="1">
        <w:r w:rsidR="00977662" w:rsidRPr="00E90390">
          <w:rPr>
            <w:rStyle w:val="Hyperlink"/>
            <w:color w:val="auto"/>
          </w:rPr>
          <w:t>https://ec.europa.eu/easme/en/save-date-eu-life-information-and-networking-day</w:t>
        </w:r>
      </w:hyperlink>
      <w:r w:rsidR="00977662" w:rsidRPr="00E90390">
        <w:t xml:space="preserve">. </w:t>
      </w:r>
    </w:p>
    <w:p w14:paraId="15D642DD" w14:textId="1DA417EB" w:rsidR="00977662" w:rsidRDefault="00E90390" w:rsidP="00E90390">
      <w:pPr>
        <w:pStyle w:val="SingleTxtG"/>
      </w:pPr>
      <w:r>
        <w:t>8.</w:t>
      </w:r>
      <w:r>
        <w:tab/>
      </w:r>
      <w:r w:rsidR="00977662" w:rsidRPr="00E90390">
        <w:t>More information is</w:t>
      </w:r>
      <w:r w:rsidR="00977662">
        <w:t xml:space="preserve"> available at </w:t>
      </w:r>
      <w:hyperlink r:id="rId9" w:history="1">
        <w:r w:rsidR="00977662" w:rsidRPr="00790EDA">
          <w:rPr>
            <w:rStyle w:val="Hyperlink"/>
          </w:rPr>
          <w:t>https://ec.europa.eu/easme/en/life</w:t>
        </w:r>
      </w:hyperlink>
      <w:r w:rsidR="00977662">
        <w:t xml:space="preserve">. </w:t>
      </w:r>
    </w:p>
    <w:p w14:paraId="4F75C3A2" w14:textId="2D2ADB9B" w:rsidR="00DE6E87" w:rsidRDefault="0068331C" w:rsidP="00E90390">
      <w:pPr>
        <w:spacing w:before="240"/>
        <w:jc w:val="center"/>
        <w:rPr>
          <w:lang w:val="en-US"/>
        </w:rPr>
      </w:pPr>
      <w:bookmarkStart w:id="1" w:name="_Hlk27639556"/>
      <w:r>
        <w:rPr>
          <w:u w:val="single"/>
          <w:lang w:val="en-US"/>
        </w:rPr>
        <w:tab/>
      </w:r>
      <w:r>
        <w:rPr>
          <w:u w:val="single"/>
          <w:lang w:val="en-US"/>
        </w:rPr>
        <w:tab/>
      </w:r>
      <w:r>
        <w:rPr>
          <w:u w:val="single"/>
          <w:lang w:val="en-US"/>
        </w:rPr>
        <w:tab/>
      </w:r>
      <w:bookmarkEnd w:id="1"/>
    </w:p>
    <w:sectPr w:rsidR="00DE6E87" w:rsidSect="00AF6429">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F0BA" w14:textId="77777777" w:rsidR="001D539B" w:rsidRDefault="001D539B"/>
  </w:endnote>
  <w:endnote w:type="continuationSeparator" w:id="0">
    <w:p w14:paraId="18937305" w14:textId="77777777" w:rsidR="001D539B" w:rsidRDefault="001D539B"/>
  </w:endnote>
  <w:endnote w:type="continuationNotice" w:id="1">
    <w:p w14:paraId="66F4D029" w14:textId="77777777" w:rsidR="001D539B" w:rsidRDefault="001D5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244B" w14:textId="37886203" w:rsidR="00855558" w:rsidRPr="00FA35A6" w:rsidRDefault="00855558" w:rsidP="00FA35A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F70780">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4EC5" w14:textId="6EC247C7" w:rsidR="00855558" w:rsidRPr="00FA35A6" w:rsidRDefault="00855558" w:rsidP="00FA35A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921F1">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8AF9" w14:textId="77777777" w:rsidR="001D539B" w:rsidRPr="000B175B" w:rsidRDefault="001D539B" w:rsidP="000B175B">
      <w:pPr>
        <w:tabs>
          <w:tab w:val="right" w:pos="2155"/>
        </w:tabs>
        <w:spacing w:after="80"/>
        <w:ind w:left="680"/>
        <w:rPr>
          <w:u w:val="single"/>
        </w:rPr>
      </w:pPr>
      <w:r>
        <w:rPr>
          <w:u w:val="single"/>
        </w:rPr>
        <w:tab/>
      </w:r>
    </w:p>
  </w:footnote>
  <w:footnote w:type="continuationSeparator" w:id="0">
    <w:p w14:paraId="58A0D030" w14:textId="77777777" w:rsidR="001D539B" w:rsidRPr="00FC68B7" w:rsidRDefault="001D539B" w:rsidP="00FC68B7">
      <w:pPr>
        <w:tabs>
          <w:tab w:val="left" w:pos="2155"/>
        </w:tabs>
        <w:spacing w:after="80"/>
        <w:ind w:left="680"/>
        <w:rPr>
          <w:u w:val="single"/>
        </w:rPr>
      </w:pPr>
      <w:r>
        <w:rPr>
          <w:u w:val="single"/>
        </w:rPr>
        <w:tab/>
      </w:r>
    </w:p>
  </w:footnote>
  <w:footnote w:type="continuationNotice" w:id="1">
    <w:p w14:paraId="6EA3389F" w14:textId="77777777" w:rsidR="001D539B" w:rsidRDefault="001D5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C4BB" w14:textId="6827C35E" w:rsidR="00855558" w:rsidRPr="0068331C" w:rsidRDefault="0068331C" w:rsidP="00FA35A6">
    <w:pPr>
      <w:pStyle w:val="Header"/>
      <w:rPr>
        <w:lang w:val="fr-CH"/>
      </w:rPr>
    </w:pPr>
    <w:r>
      <w:rPr>
        <w:lang w:val="fr-CH"/>
      </w:rPr>
      <w:t>INF.</w:t>
    </w:r>
    <w:r w:rsidR="00E90390">
      <w:rPr>
        <w:lang w:val="fr-CH"/>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7F80" w14:textId="2E56502B" w:rsidR="00855558" w:rsidRPr="0068331C" w:rsidRDefault="0068331C" w:rsidP="00FA35A6">
    <w:pPr>
      <w:pStyle w:val="Header"/>
      <w:jc w:val="right"/>
      <w:rPr>
        <w:lang w:val="fr-CH"/>
      </w:rPr>
    </w:pPr>
    <w:r>
      <w:rPr>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3CCDE"/>
    <w:multiLevelType w:val="hybridMultilevel"/>
    <w:tmpl w:val="EC36A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26AB8F"/>
    <w:multiLevelType w:val="hybridMultilevel"/>
    <w:tmpl w:val="3FDDD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FA48C5"/>
    <w:multiLevelType w:val="hybridMultilevel"/>
    <w:tmpl w:val="2C343A22"/>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0D2F65A9"/>
    <w:multiLevelType w:val="hybridMultilevel"/>
    <w:tmpl w:val="059A4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09605E"/>
    <w:multiLevelType w:val="hybridMultilevel"/>
    <w:tmpl w:val="8972856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8" w15:restartNumberingAfterBreak="0">
    <w:nsid w:val="12CB33DD"/>
    <w:multiLevelType w:val="hybridMultilevel"/>
    <w:tmpl w:val="CC4887CE"/>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9" w15:restartNumberingAfterBreak="0">
    <w:nsid w:val="14217427"/>
    <w:multiLevelType w:val="hybridMultilevel"/>
    <w:tmpl w:val="8C9E0DEE"/>
    <w:lvl w:ilvl="0" w:tplc="2FB47626">
      <w:start w:val="1"/>
      <w:numFmt w:val="decimal"/>
      <w:lvlText w:val="%1."/>
      <w:lvlJc w:val="left"/>
      <w:pPr>
        <w:ind w:left="720" w:hanging="360"/>
      </w:pPr>
      <w:rPr>
        <w:rFonts w:ascii="Times New Roman" w:hAnsi="Times New Roman"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B80307D"/>
    <w:multiLevelType w:val="hybridMultilevel"/>
    <w:tmpl w:val="A8F2F6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DF44884"/>
    <w:multiLevelType w:val="hybridMultilevel"/>
    <w:tmpl w:val="7D5821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8A01C4"/>
    <w:multiLevelType w:val="hybridMultilevel"/>
    <w:tmpl w:val="ED825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4C7553"/>
    <w:multiLevelType w:val="hybridMultilevel"/>
    <w:tmpl w:val="116E1A18"/>
    <w:lvl w:ilvl="0" w:tplc="B07615D0">
      <w:start w:val="1"/>
      <w:numFmt w:val="decimal"/>
      <w:lvlText w:val="%1."/>
      <w:lvlJc w:val="left"/>
      <w:pPr>
        <w:ind w:left="1710" w:hanging="576"/>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9" w15:restartNumberingAfterBreak="0">
    <w:nsid w:val="424A58AD"/>
    <w:multiLevelType w:val="hybridMultilevel"/>
    <w:tmpl w:val="252C4CB2"/>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30" w15:restartNumberingAfterBreak="0">
    <w:nsid w:val="4A6F390A"/>
    <w:multiLevelType w:val="hybridMultilevel"/>
    <w:tmpl w:val="ED2E8F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0DA6F15"/>
    <w:multiLevelType w:val="hybridMultilevel"/>
    <w:tmpl w:val="A9C697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19D378C"/>
    <w:multiLevelType w:val="hybridMultilevel"/>
    <w:tmpl w:val="853023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332FE"/>
    <w:multiLevelType w:val="hybridMultilevel"/>
    <w:tmpl w:val="126282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6"/>
  </w:num>
  <w:num w:numId="12">
    <w:abstractNumId w:val="24"/>
  </w:num>
  <w:num w:numId="13">
    <w:abstractNumId w:val="12"/>
  </w:num>
  <w:num w:numId="14">
    <w:abstractNumId w:val="21"/>
  </w:num>
  <w:num w:numId="15">
    <w:abstractNumId w:val="27"/>
  </w:num>
  <w:num w:numId="16">
    <w:abstractNumId w:val="22"/>
  </w:num>
  <w:num w:numId="17">
    <w:abstractNumId w:val="33"/>
  </w:num>
  <w:num w:numId="18">
    <w:abstractNumId w:val="35"/>
  </w:num>
  <w:num w:numId="19">
    <w:abstractNumId w:val="15"/>
  </w:num>
  <w:num w:numId="20">
    <w:abstractNumId w:val="15"/>
  </w:num>
  <w:num w:numId="21">
    <w:abstractNumId w:val="18"/>
  </w:num>
  <w:num w:numId="22">
    <w:abstractNumId w:val="29"/>
  </w:num>
  <w:num w:numId="23">
    <w:abstractNumId w:val="17"/>
  </w:num>
  <w:num w:numId="24">
    <w:abstractNumId w:val="13"/>
  </w:num>
  <w:num w:numId="25">
    <w:abstractNumId w:val="36"/>
  </w:num>
  <w:num w:numId="26">
    <w:abstractNumId w:val="20"/>
  </w:num>
  <w:num w:numId="27">
    <w:abstractNumId w:val="19"/>
  </w:num>
  <w:num w:numId="28">
    <w:abstractNumId w:val="23"/>
  </w:num>
  <w:num w:numId="29">
    <w:abstractNumId w:val="28"/>
  </w:num>
  <w:num w:numId="30">
    <w:abstractNumId w:val="34"/>
  </w:num>
  <w:num w:numId="31">
    <w:abstractNumId w:val="16"/>
  </w:num>
  <w:num w:numId="32">
    <w:abstractNumId w:val="31"/>
  </w:num>
  <w:num w:numId="33">
    <w:abstractNumId w:val="0"/>
  </w:num>
  <w:num w:numId="34">
    <w:abstractNumId w:val="1"/>
  </w:num>
  <w:num w:numId="35">
    <w:abstractNumId w:val="32"/>
  </w:num>
  <w:num w:numId="36">
    <w:abstractNumId w:val="30"/>
  </w:num>
  <w:num w:numId="37">
    <w:abstractNumId w:val="25"/>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1_24_E"/>
  </w:docVars>
  <w:rsids>
    <w:rsidRoot w:val="00B13505"/>
    <w:rsid w:val="00002A7D"/>
    <w:rsid w:val="000038A8"/>
    <w:rsid w:val="00006790"/>
    <w:rsid w:val="00027624"/>
    <w:rsid w:val="00034BFB"/>
    <w:rsid w:val="000423EE"/>
    <w:rsid w:val="00050F6B"/>
    <w:rsid w:val="000678CD"/>
    <w:rsid w:val="00072C8C"/>
    <w:rsid w:val="00081CE0"/>
    <w:rsid w:val="00084D30"/>
    <w:rsid w:val="00090320"/>
    <w:rsid w:val="000931C0"/>
    <w:rsid w:val="0009732C"/>
    <w:rsid w:val="000A01F9"/>
    <w:rsid w:val="000A2E09"/>
    <w:rsid w:val="000A783A"/>
    <w:rsid w:val="000B0B19"/>
    <w:rsid w:val="000B175B"/>
    <w:rsid w:val="000B3A0F"/>
    <w:rsid w:val="000C3F19"/>
    <w:rsid w:val="000C6EBA"/>
    <w:rsid w:val="000E0415"/>
    <w:rsid w:val="000E2376"/>
    <w:rsid w:val="000E3566"/>
    <w:rsid w:val="000E6688"/>
    <w:rsid w:val="000F209A"/>
    <w:rsid w:val="000F7715"/>
    <w:rsid w:val="00127D99"/>
    <w:rsid w:val="00135A88"/>
    <w:rsid w:val="001472C6"/>
    <w:rsid w:val="00152BE2"/>
    <w:rsid w:val="0015428A"/>
    <w:rsid w:val="00156B99"/>
    <w:rsid w:val="00166124"/>
    <w:rsid w:val="00173F65"/>
    <w:rsid w:val="00184DDA"/>
    <w:rsid w:val="001853D9"/>
    <w:rsid w:val="001900CD"/>
    <w:rsid w:val="001A0452"/>
    <w:rsid w:val="001B4B04"/>
    <w:rsid w:val="001B5875"/>
    <w:rsid w:val="001B7662"/>
    <w:rsid w:val="001C4B9C"/>
    <w:rsid w:val="001C6663"/>
    <w:rsid w:val="001C7895"/>
    <w:rsid w:val="001D26DF"/>
    <w:rsid w:val="001D539B"/>
    <w:rsid w:val="001F07A6"/>
    <w:rsid w:val="001F1599"/>
    <w:rsid w:val="001F19C4"/>
    <w:rsid w:val="001F7109"/>
    <w:rsid w:val="002043F0"/>
    <w:rsid w:val="00211E0B"/>
    <w:rsid w:val="00212DC8"/>
    <w:rsid w:val="00232575"/>
    <w:rsid w:val="00245149"/>
    <w:rsid w:val="00247258"/>
    <w:rsid w:val="00257CAC"/>
    <w:rsid w:val="00264441"/>
    <w:rsid w:val="0027237A"/>
    <w:rsid w:val="002868CA"/>
    <w:rsid w:val="002974E9"/>
    <w:rsid w:val="002A7F94"/>
    <w:rsid w:val="002B109A"/>
    <w:rsid w:val="002C6D45"/>
    <w:rsid w:val="002D6E53"/>
    <w:rsid w:val="002F046D"/>
    <w:rsid w:val="002F3023"/>
    <w:rsid w:val="00301764"/>
    <w:rsid w:val="003229D8"/>
    <w:rsid w:val="00332119"/>
    <w:rsid w:val="003368FA"/>
    <w:rsid w:val="00336C97"/>
    <w:rsid w:val="00337F88"/>
    <w:rsid w:val="00342432"/>
    <w:rsid w:val="003432D9"/>
    <w:rsid w:val="0035223F"/>
    <w:rsid w:val="00352D4B"/>
    <w:rsid w:val="0035638C"/>
    <w:rsid w:val="00372F38"/>
    <w:rsid w:val="003A3475"/>
    <w:rsid w:val="003A46BB"/>
    <w:rsid w:val="003A4EC7"/>
    <w:rsid w:val="003A7295"/>
    <w:rsid w:val="003B1F60"/>
    <w:rsid w:val="003B6FCB"/>
    <w:rsid w:val="003C2CC4"/>
    <w:rsid w:val="003D471F"/>
    <w:rsid w:val="003D4B23"/>
    <w:rsid w:val="003E0CBB"/>
    <w:rsid w:val="003E278A"/>
    <w:rsid w:val="003E28BE"/>
    <w:rsid w:val="003F3D1B"/>
    <w:rsid w:val="00406390"/>
    <w:rsid w:val="00413520"/>
    <w:rsid w:val="004325CB"/>
    <w:rsid w:val="00432D24"/>
    <w:rsid w:val="00440461"/>
    <w:rsid w:val="00440A07"/>
    <w:rsid w:val="0044521A"/>
    <w:rsid w:val="00462880"/>
    <w:rsid w:val="00476F24"/>
    <w:rsid w:val="004C55B0"/>
    <w:rsid w:val="004D45CD"/>
    <w:rsid w:val="004F6BA0"/>
    <w:rsid w:val="004F710B"/>
    <w:rsid w:val="00503BEA"/>
    <w:rsid w:val="00524631"/>
    <w:rsid w:val="00533616"/>
    <w:rsid w:val="00535ABA"/>
    <w:rsid w:val="0053768B"/>
    <w:rsid w:val="005420F2"/>
    <w:rsid w:val="0054285C"/>
    <w:rsid w:val="00584173"/>
    <w:rsid w:val="00593B87"/>
    <w:rsid w:val="00595520"/>
    <w:rsid w:val="005977AC"/>
    <w:rsid w:val="005A078D"/>
    <w:rsid w:val="005A44B9"/>
    <w:rsid w:val="005B1BA0"/>
    <w:rsid w:val="005B3DB3"/>
    <w:rsid w:val="005D15CA"/>
    <w:rsid w:val="005D7969"/>
    <w:rsid w:val="005E436F"/>
    <w:rsid w:val="005F08DF"/>
    <w:rsid w:val="005F3066"/>
    <w:rsid w:val="005F3E61"/>
    <w:rsid w:val="00601D53"/>
    <w:rsid w:val="00604A1D"/>
    <w:rsid w:val="00604DDD"/>
    <w:rsid w:val="006115CC"/>
    <w:rsid w:val="00611FC4"/>
    <w:rsid w:val="006176FB"/>
    <w:rsid w:val="00630FCB"/>
    <w:rsid w:val="00640B26"/>
    <w:rsid w:val="0065766B"/>
    <w:rsid w:val="006770B2"/>
    <w:rsid w:val="0068331C"/>
    <w:rsid w:val="00686A48"/>
    <w:rsid w:val="006940E1"/>
    <w:rsid w:val="006A3C72"/>
    <w:rsid w:val="006A7392"/>
    <w:rsid w:val="006B03A1"/>
    <w:rsid w:val="006B440C"/>
    <w:rsid w:val="006B67D9"/>
    <w:rsid w:val="006C5535"/>
    <w:rsid w:val="006C7AA7"/>
    <w:rsid w:val="006D0589"/>
    <w:rsid w:val="006D2CAF"/>
    <w:rsid w:val="006D3718"/>
    <w:rsid w:val="006E564B"/>
    <w:rsid w:val="006E7154"/>
    <w:rsid w:val="007003CD"/>
    <w:rsid w:val="0070701E"/>
    <w:rsid w:val="0072632A"/>
    <w:rsid w:val="007358E8"/>
    <w:rsid w:val="00736ECE"/>
    <w:rsid w:val="0074533B"/>
    <w:rsid w:val="007643BC"/>
    <w:rsid w:val="00775C17"/>
    <w:rsid w:val="00780C68"/>
    <w:rsid w:val="007959FE"/>
    <w:rsid w:val="007A0CF1"/>
    <w:rsid w:val="007A478E"/>
    <w:rsid w:val="007B6BA5"/>
    <w:rsid w:val="007C3390"/>
    <w:rsid w:val="007C42D8"/>
    <w:rsid w:val="007C4F4B"/>
    <w:rsid w:val="007D7362"/>
    <w:rsid w:val="007E71F9"/>
    <w:rsid w:val="007F5CE2"/>
    <w:rsid w:val="007F6611"/>
    <w:rsid w:val="00800522"/>
    <w:rsid w:val="00810BAC"/>
    <w:rsid w:val="008175E9"/>
    <w:rsid w:val="008242D7"/>
    <w:rsid w:val="0082577B"/>
    <w:rsid w:val="008272DD"/>
    <w:rsid w:val="00842F92"/>
    <w:rsid w:val="00855558"/>
    <w:rsid w:val="00866893"/>
    <w:rsid w:val="00866F02"/>
    <w:rsid w:val="00867D18"/>
    <w:rsid w:val="00871F9A"/>
    <w:rsid w:val="00871FD5"/>
    <w:rsid w:val="00873467"/>
    <w:rsid w:val="0088172E"/>
    <w:rsid w:val="00881EFA"/>
    <w:rsid w:val="00885AAD"/>
    <w:rsid w:val="008879CB"/>
    <w:rsid w:val="008979B1"/>
    <w:rsid w:val="008A6B25"/>
    <w:rsid w:val="008A6C4F"/>
    <w:rsid w:val="008A77AE"/>
    <w:rsid w:val="008B389E"/>
    <w:rsid w:val="008C3108"/>
    <w:rsid w:val="008D045E"/>
    <w:rsid w:val="008D3F25"/>
    <w:rsid w:val="008D4D82"/>
    <w:rsid w:val="008E0E46"/>
    <w:rsid w:val="008E7116"/>
    <w:rsid w:val="008F143B"/>
    <w:rsid w:val="008F3882"/>
    <w:rsid w:val="008F4B7C"/>
    <w:rsid w:val="009049C3"/>
    <w:rsid w:val="00926E47"/>
    <w:rsid w:val="00947162"/>
    <w:rsid w:val="009610D0"/>
    <w:rsid w:val="0096375C"/>
    <w:rsid w:val="009662E6"/>
    <w:rsid w:val="0097095E"/>
    <w:rsid w:val="00977662"/>
    <w:rsid w:val="0098592B"/>
    <w:rsid w:val="00985B89"/>
    <w:rsid w:val="00985FC4"/>
    <w:rsid w:val="00990766"/>
    <w:rsid w:val="00991261"/>
    <w:rsid w:val="009925DA"/>
    <w:rsid w:val="009964C4"/>
    <w:rsid w:val="009A7B81"/>
    <w:rsid w:val="009C5BDE"/>
    <w:rsid w:val="009C7E8B"/>
    <w:rsid w:val="009D01C0"/>
    <w:rsid w:val="009D6A08"/>
    <w:rsid w:val="009E0A16"/>
    <w:rsid w:val="009E6CB7"/>
    <w:rsid w:val="009E7970"/>
    <w:rsid w:val="009F2EAC"/>
    <w:rsid w:val="009F57E3"/>
    <w:rsid w:val="00A10F4F"/>
    <w:rsid w:val="00A11067"/>
    <w:rsid w:val="00A16389"/>
    <w:rsid w:val="00A1704A"/>
    <w:rsid w:val="00A3318C"/>
    <w:rsid w:val="00A41BD2"/>
    <w:rsid w:val="00A425EB"/>
    <w:rsid w:val="00A458C4"/>
    <w:rsid w:val="00A47EDC"/>
    <w:rsid w:val="00A54439"/>
    <w:rsid w:val="00A558C3"/>
    <w:rsid w:val="00A6480A"/>
    <w:rsid w:val="00A72F22"/>
    <w:rsid w:val="00A733BC"/>
    <w:rsid w:val="00A748A6"/>
    <w:rsid w:val="00A76A69"/>
    <w:rsid w:val="00A879A4"/>
    <w:rsid w:val="00A960F2"/>
    <w:rsid w:val="00AA0FF8"/>
    <w:rsid w:val="00AC0F2C"/>
    <w:rsid w:val="00AC502A"/>
    <w:rsid w:val="00AD4988"/>
    <w:rsid w:val="00AF58C1"/>
    <w:rsid w:val="00AF6429"/>
    <w:rsid w:val="00B04A3F"/>
    <w:rsid w:val="00B06643"/>
    <w:rsid w:val="00B13505"/>
    <w:rsid w:val="00B15055"/>
    <w:rsid w:val="00B20551"/>
    <w:rsid w:val="00B25E74"/>
    <w:rsid w:val="00B30179"/>
    <w:rsid w:val="00B33FC7"/>
    <w:rsid w:val="00B37B15"/>
    <w:rsid w:val="00B45C02"/>
    <w:rsid w:val="00B51314"/>
    <w:rsid w:val="00B66DEF"/>
    <w:rsid w:val="00B70B63"/>
    <w:rsid w:val="00B72A1E"/>
    <w:rsid w:val="00B81E12"/>
    <w:rsid w:val="00BA339B"/>
    <w:rsid w:val="00BB23CC"/>
    <w:rsid w:val="00BB7761"/>
    <w:rsid w:val="00BC1E7E"/>
    <w:rsid w:val="00BC3E5E"/>
    <w:rsid w:val="00BC74E9"/>
    <w:rsid w:val="00BE36A9"/>
    <w:rsid w:val="00BE618E"/>
    <w:rsid w:val="00BE7BEC"/>
    <w:rsid w:val="00BF0A5A"/>
    <w:rsid w:val="00BF0E63"/>
    <w:rsid w:val="00BF12A3"/>
    <w:rsid w:val="00BF16D7"/>
    <w:rsid w:val="00BF2373"/>
    <w:rsid w:val="00BF4AA5"/>
    <w:rsid w:val="00C0294F"/>
    <w:rsid w:val="00C044E2"/>
    <w:rsid w:val="00C048CB"/>
    <w:rsid w:val="00C066F3"/>
    <w:rsid w:val="00C31FA5"/>
    <w:rsid w:val="00C4085D"/>
    <w:rsid w:val="00C408B7"/>
    <w:rsid w:val="00C411EB"/>
    <w:rsid w:val="00C463DD"/>
    <w:rsid w:val="00C5052C"/>
    <w:rsid w:val="00C745C3"/>
    <w:rsid w:val="00C978F5"/>
    <w:rsid w:val="00CA24A4"/>
    <w:rsid w:val="00CB348D"/>
    <w:rsid w:val="00CB3958"/>
    <w:rsid w:val="00CD46F5"/>
    <w:rsid w:val="00CE4A8F"/>
    <w:rsid w:val="00CE587E"/>
    <w:rsid w:val="00CE78F6"/>
    <w:rsid w:val="00CF071D"/>
    <w:rsid w:val="00CF6B4A"/>
    <w:rsid w:val="00D0123D"/>
    <w:rsid w:val="00D01955"/>
    <w:rsid w:val="00D15B04"/>
    <w:rsid w:val="00D2031B"/>
    <w:rsid w:val="00D24BE0"/>
    <w:rsid w:val="00D25FE2"/>
    <w:rsid w:val="00D368BE"/>
    <w:rsid w:val="00D37DA9"/>
    <w:rsid w:val="00D406A7"/>
    <w:rsid w:val="00D40765"/>
    <w:rsid w:val="00D43252"/>
    <w:rsid w:val="00D44D86"/>
    <w:rsid w:val="00D50B7D"/>
    <w:rsid w:val="00D52012"/>
    <w:rsid w:val="00D704E5"/>
    <w:rsid w:val="00D72727"/>
    <w:rsid w:val="00D80649"/>
    <w:rsid w:val="00D80C47"/>
    <w:rsid w:val="00D921F1"/>
    <w:rsid w:val="00D978C6"/>
    <w:rsid w:val="00DA0956"/>
    <w:rsid w:val="00DA357F"/>
    <w:rsid w:val="00DA3E12"/>
    <w:rsid w:val="00DC18AD"/>
    <w:rsid w:val="00DC44F4"/>
    <w:rsid w:val="00DE6E87"/>
    <w:rsid w:val="00DF10BE"/>
    <w:rsid w:val="00DF7CAE"/>
    <w:rsid w:val="00E423C0"/>
    <w:rsid w:val="00E4756C"/>
    <w:rsid w:val="00E50B9C"/>
    <w:rsid w:val="00E57850"/>
    <w:rsid w:val="00E6414C"/>
    <w:rsid w:val="00E7260F"/>
    <w:rsid w:val="00E8484F"/>
    <w:rsid w:val="00E8702D"/>
    <w:rsid w:val="00E90390"/>
    <w:rsid w:val="00E905F4"/>
    <w:rsid w:val="00E916A9"/>
    <w:rsid w:val="00E916DE"/>
    <w:rsid w:val="00E925AD"/>
    <w:rsid w:val="00E9433E"/>
    <w:rsid w:val="00E96630"/>
    <w:rsid w:val="00EA0DB7"/>
    <w:rsid w:val="00EA268C"/>
    <w:rsid w:val="00EA3176"/>
    <w:rsid w:val="00EA49EB"/>
    <w:rsid w:val="00ED18DC"/>
    <w:rsid w:val="00ED6201"/>
    <w:rsid w:val="00ED7A2A"/>
    <w:rsid w:val="00EF1D7F"/>
    <w:rsid w:val="00F0137E"/>
    <w:rsid w:val="00F0729A"/>
    <w:rsid w:val="00F21786"/>
    <w:rsid w:val="00F319CD"/>
    <w:rsid w:val="00F3742B"/>
    <w:rsid w:val="00F41FDB"/>
    <w:rsid w:val="00F50596"/>
    <w:rsid w:val="00F56D63"/>
    <w:rsid w:val="00F609A9"/>
    <w:rsid w:val="00F627CA"/>
    <w:rsid w:val="00F65BA7"/>
    <w:rsid w:val="00F70780"/>
    <w:rsid w:val="00F80C99"/>
    <w:rsid w:val="00F867EC"/>
    <w:rsid w:val="00F91B2B"/>
    <w:rsid w:val="00F938AD"/>
    <w:rsid w:val="00FA35A6"/>
    <w:rsid w:val="00FC03CD"/>
    <w:rsid w:val="00FC0646"/>
    <w:rsid w:val="00FC68B7"/>
    <w:rsid w:val="00FD7B6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57E19F"/>
  <w15:docId w15:val="{EF0CBC58-4EB8-4866-AD1B-3D8FDA7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link w:val="FootnoteText"/>
    <w:rsid w:val="00FA35A6"/>
    <w:rPr>
      <w:sz w:val="18"/>
      <w:lang w:val="en-GB"/>
    </w:rPr>
  </w:style>
  <w:style w:type="paragraph" w:styleId="ListParagraph">
    <w:name w:val="List Paragraph"/>
    <w:basedOn w:val="Normal"/>
    <w:uiPriority w:val="34"/>
    <w:qFormat/>
    <w:rsid w:val="00FA35A6"/>
    <w:pPr>
      <w:ind w:left="720"/>
      <w:contextualSpacing/>
    </w:pPr>
    <w:rPr>
      <w:lang w:eastAsia="en-US"/>
    </w:rPr>
  </w:style>
  <w:style w:type="character" w:styleId="CommentReference">
    <w:name w:val="annotation reference"/>
    <w:basedOn w:val="DefaultParagraphFont"/>
    <w:uiPriority w:val="99"/>
    <w:semiHidden/>
    <w:unhideWhenUsed/>
    <w:rsid w:val="000C6EBA"/>
    <w:rPr>
      <w:sz w:val="16"/>
      <w:szCs w:val="16"/>
    </w:rPr>
  </w:style>
  <w:style w:type="paragraph" w:styleId="CommentText">
    <w:name w:val="annotation text"/>
    <w:basedOn w:val="Normal"/>
    <w:link w:val="CommentTextChar"/>
    <w:uiPriority w:val="99"/>
    <w:semiHidden/>
    <w:unhideWhenUsed/>
    <w:rsid w:val="000C6EBA"/>
    <w:pPr>
      <w:widowControl w:val="0"/>
      <w:suppressAutoHyphens w:val="0"/>
      <w:overflowPunct w:val="0"/>
      <w:autoSpaceDE w:val="0"/>
      <w:autoSpaceDN w:val="0"/>
      <w:adjustRightInd w:val="0"/>
      <w:spacing w:line="240" w:lineRule="auto"/>
      <w:ind w:left="1134" w:hanging="1134"/>
      <w:jc w:val="both"/>
      <w:textAlignment w:val="baseline"/>
    </w:pPr>
  </w:style>
  <w:style w:type="character" w:customStyle="1" w:styleId="CommentTextChar">
    <w:name w:val="Comment Text Char"/>
    <w:basedOn w:val="DefaultParagraphFont"/>
    <w:link w:val="CommentText"/>
    <w:uiPriority w:val="99"/>
    <w:semiHidden/>
    <w:rsid w:val="000C6EBA"/>
    <w:rPr>
      <w:lang w:val="en-GB"/>
    </w:rPr>
  </w:style>
  <w:style w:type="paragraph" w:styleId="CommentSubject">
    <w:name w:val="annotation subject"/>
    <w:basedOn w:val="CommentText"/>
    <w:next w:val="CommentText"/>
    <w:link w:val="CommentSubjectChar"/>
    <w:semiHidden/>
    <w:unhideWhenUsed/>
    <w:rsid w:val="00245149"/>
    <w:pPr>
      <w:widowControl/>
      <w:suppressAutoHyphens/>
      <w:overflowPunct/>
      <w:autoSpaceDE/>
      <w:autoSpaceDN/>
      <w:adjustRightInd/>
      <w:ind w:left="0" w:firstLine="0"/>
      <w:jc w:val="left"/>
      <w:textAlignment w:val="auto"/>
    </w:pPr>
    <w:rPr>
      <w:b/>
      <w:bCs/>
    </w:rPr>
  </w:style>
  <w:style w:type="character" w:customStyle="1" w:styleId="CommentSubjectChar">
    <w:name w:val="Comment Subject Char"/>
    <w:basedOn w:val="CommentTextChar"/>
    <w:link w:val="CommentSubject"/>
    <w:semiHidden/>
    <w:rsid w:val="002451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9318">
      <w:bodyDiv w:val="1"/>
      <w:marLeft w:val="0"/>
      <w:marRight w:val="0"/>
      <w:marTop w:val="0"/>
      <w:marBottom w:val="0"/>
      <w:divBdr>
        <w:top w:val="none" w:sz="0" w:space="0" w:color="auto"/>
        <w:left w:val="none" w:sz="0" w:space="0" w:color="auto"/>
        <w:bottom w:val="none" w:sz="0" w:space="0" w:color="auto"/>
        <w:right w:val="none" w:sz="0" w:space="0" w:color="auto"/>
      </w:divBdr>
    </w:div>
    <w:div w:id="488911971">
      <w:bodyDiv w:val="1"/>
      <w:marLeft w:val="0"/>
      <w:marRight w:val="0"/>
      <w:marTop w:val="0"/>
      <w:marBottom w:val="0"/>
      <w:divBdr>
        <w:top w:val="none" w:sz="0" w:space="0" w:color="auto"/>
        <w:left w:val="none" w:sz="0" w:space="0" w:color="auto"/>
        <w:bottom w:val="none" w:sz="0" w:space="0" w:color="auto"/>
        <w:right w:val="none" w:sz="0" w:space="0" w:color="auto"/>
      </w:divBdr>
    </w:div>
    <w:div w:id="769738897">
      <w:bodyDiv w:val="1"/>
      <w:marLeft w:val="0"/>
      <w:marRight w:val="0"/>
      <w:marTop w:val="0"/>
      <w:marBottom w:val="0"/>
      <w:divBdr>
        <w:top w:val="none" w:sz="0" w:space="0" w:color="auto"/>
        <w:left w:val="none" w:sz="0" w:space="0" w:color="auto"/>
        <w:bottom w:val="none" w:sz="0" w:space="0" w:color="auto"/>
        <w:right w:val="none" w:sz="0" w:space="0" w:color="auto"/>
      </w:divBdr>
    </w:div>
    <w:div w:id="836459741">
      <w:bodyDiv w:val="1"/>
      <w:marLeft w:val="0"/>
      <w:marRight w:val="0"/>
      <w:marTop w:val="0"/>
      <w:marBottom w:val="0"/>
      <w:divBdr>
        <w:top w:val="none" w:sz="0" w:space="0" w:color="auto"/>
        <w:left w:val="none" w:sz="0" w:space="0" w:color="auto"/>
        <w:bottom w:val="none" w:sz="0" w:space="0" w:color="auto"/>
        <w:right w:val="none" w:sz="0" w:space="0" w:color="auto"/>
      </w:divBdr>
    </w:div>
    <w:div w:id="959073259">
      <w:bodyDiv w:val="1"/>
      <w:marLeft w:val="0"/>
      <w:marRight w:val="0"/>
      <w:marTop w:val="0"/>
      <w:marBottom w:val="0"/>
      <w:divBdr>
        <w:top w:val="none" w:sz="0" w:space="0" w:color="auto"/>
        <w:left w:val="none" w:sz="0" w:space="0" w:color="auto"/>
        <w:bottom w:val="none" w:sz="0" w:space="0" w:color="auto"/>
        <w:right w:val="none" w:sz="0" w:space="0" w:color="auto"/>
      </w:divBdr>
    </w:div>
    <w:div w:id="984436849">
      <w:bodyDiv w:val="1"/>
      <w:marLeft w:val="0"/>
      <w:marRight w:val="0"/>
      <w:marTop w:val="0"/>
      <w:marBottom w:val="0"/>
      <w:divBdr>
        <w:top w:val="none" w:sz="0" w:space="0" w:color="auto"/>
        <w:left w:val="none" w:sz="0" w:space="0" w:color="auto"/>
        <w:bottom w:val="none" w:sz="0" w:space="0" w:color="auto"/>
        <w:right w:val="none" w:sz="0" w:space="0" w:color="auto"/>
      </w:divBdr>
    </w:div>
    <w:div w:id="1041632493">
      <w:bodyDiv w:val="1"/>
      <w:marLeft w:val="0"/>
      <w:marRight w:val="0"/>
      <w:marTop w:val="0"/>
      <w:marBottom w:val="0"/>
      <w:divBdr>
        <w:top w:val="none" w:sz="0" w:space="0" w:color="auto"/>
        <w:left w:val="none" w:sz="0" w:space="0" w:color="auto"/>
        <w:bottom w:val="none" w:sz="0" w:space="0" w:color="auto"/>
        <w:right w:val="none" w:sz="0" w:space="0" w:color="auto"/>
      </w:divBdr>
    </w:div>
    <w:div w:id="1106776894">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8990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asme/en/save-date-eu-life-information-and-networking-d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asme/en/lif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1C72-3A4F-415C-9A86-9986EF4F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2</Pages>
  <Words>489</Words>
  <Characters>2788</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ECE/TRANS/WP.15/AC.2/2020/11</vt:lpstr>
      <vt:lpstr>ECE/TRANS/WP.15/AC.2/2020/11</vt:lpstr>
      <vt:lpstr/>
    </vt:vector>
  </TitlesOfParts>
  <Company>CSD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ECE/TRANS/WP.15/AC.2/2020/11</dc:title>
  <dc:creator>Marie-Claude Collet</dc:creator>
  <cp:lastModifiedBy>Lucille Caillot</cp:lastModifiedBy>
  <cp:revision>3</cp:revision>
  <cp:lastPrinted>2019-11-14T10:02:00Z</cp:lastPrinted>
  <dcterms:created xsi:type="dcterms:W3CDTF">2020-01-24T11:08:00Z</dcterms:created>
  <dcterms:modified xsi:type="dcterms:W3CDTF">2020-01-24T11:10:00Z</dcterms:modified>
</cp:coreProperties>
</file>