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C97B" w14:textId="77777777" w:rsidR="009F0A12" w:rsidRDefault="009F0A12">
      <w:pPr>
        <w:suppressAutoHyphens w:val="0"/>
        <w:spacing w:line="240" w:lineRule="auto"/>
      </w:pPr>
    </w:p>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9F0A12" w:rsidRPr="009F0A12" w14:paraId="0564A65A" w14:textId="77777777" w:rsidTr="00C864CA">
        <w:trPr>
          <w:trHeight w:val="361"/>
        </w:trPr>
        <w:tc>
          <w:tcPr>
            <w:tcW w:w="4789" w:type="dxa"/>
          </w:tcPr>
          <w:tbl>
            <w:tblPr>
              <w:tblW w:w="4573" w:type="dxa"/>
              <w:tblBorders>
                <w:top w:val="nil"/>
                <w:left w:val="nil"/>
                <w:bottom w:val="nil"/>
                <w:right w:val="nil"/>
              </w:tblBorders>
              <w:tblLayout w:type="fixed"/>
              <w:tblLook w:val="0000" w:firstRow="0" w:lastRow="0" w:firstColumn="0" w:lastColumn="0" w:noHBand="0" w:noVBand="0"/>
            </w:tblPr>
            <w:tblGrid>
              <w:gridCol w:w="4573"/>
            </w:tblGrid>
            <w:tr w:rsidR="009F0A12" w:rsidRPr="009F0A12" w14:paraId="3878A1BD" w14:textId="77777777" w:rsidTr="00820B9A">
              <w:trPr>
                <w:trHeight w:val="250"/>
              </w:trPr>
              <w:tc>
                <w:tcPr>
                  <w:tcW w:w="4573" w:type="dxa"/>
                </w:tcPr>
                <w:p w14:paraId="49AACC9E" w14:textId="38FA4632" w:rsidR="009F0A12" w:rsidRPr="009F0A12" w:rsidRDefault="009F0A12" w:rsidP="00F6525E">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w:t>
                  </w:r>
                  <w:r w:rsidR="00820B9A">
                    <w:rPr>
                      <w:rFonts w:eastAsia="Calibri"/>
                      <w:color w:val="000000"/>
                    </w:rPr>
                    <w:t>expert from the United Kingdom</w:t>
                  </w:r>
                  <w:r w:rsidR="00F6525E">
                    <w:rPr>
                      <w:rFonts w:eastAsia="Calibri"/>
                      <w:color w:val="000000"/>
                    </w:rPr>
                    <w:t xml:space="preserve"> of Great Britain and Northern Ireland</w:t>
                  </w:r>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789" w:type="dxa"/>
          </w:tcPr>
          <w:p w14:paraId="1B137AF5" w14:textId="54E60EF9" w:rsidR="009F0A12" w:rsidRPr="009F0A12" w:rsidRDefault="009F0A12" w:rsidP="009F0A12">
            <w:pPr>
              <w:suppressAutoHyphens w:val="0"/>
              <w:autoSpaceDE w:val="0"/>
              <w:autoSpaceDN w:val="0"/>
              <w:adjustRightInd w:val="0"/>
              <w:spacing w:line="240" w:lineRule="auto"/>
              <w:ind w:left="1624"/>
              <w:jc w:val="center"/>
              <w:rPr>
                <w:rFonts w:eastAsia="Calibri"/>
                <w:color w:val="000000"/>
                <w:lang w:val="nl-NL"/>
              </w:rPr>
            </w:pPr>
            <w:r w:rsidRPr="00820B9A">
              <w:rPr>
                <w:rFonts w:eastAsia="Calibri"/>
                <w:color w:val="000000"/>
                <w:u w:val="single"/>
              </w:rPr>
              <w:t>Informal</w:t>
            </w:r>
            <w:r w:rsidRPr="00423175">
              <w:rPr>
                <w:rFonts w:eastAsia="Calibri"/>
                <w:color w:val="000000"/>
                <w:u w:val="single"/>
                <w:lang w:val="nl-NL"/>
              </w:rPr>
              <w:t xml:space="preserve"> document</w:t>
            </w:r>
            <w:r w:rsidRPr="009F0A12">
              <w:rPr>
                <w:rFonts w:eastAsia="Calibri"/>
                <w:color w:val="000000"/>
                <w:lang w:val="nl-NL"/>
              </w:rPr>
              <w:t xml:space="preserve"> </w:t>
            </w:r>
            <w:r w:rsidRPr="009F0A12">
              <w:rPr>
                <w:rFonts w:eastAsia="Calibri"/>
                <w:b/>
                <w:bCs/>
                <w:color w:val="000000"/>
                <w:lang w:val="nl-NL"/>
              </w:rPr>
              <w:t>GR</w:t>
            </w:r>
            <w:r w:rsidR="00997FD5">
              <w:rPr>
                <w:rFonts w:eastAsia="Calibri"/>
                <w:b/>
                <w:bCs/>
                <w:color w:val="000000"/>
                <w:lang w:val="nl-NL"/>
              </w:rPr>
              <w:t>VA</w:t>
            </w:r>
            <w:r w:rsidRPr="009F0A12">
              <w:rPr>
                <w:rFonts w:eastAsia="Calibri"/>
                <w:b/>
                <w:bCs/>
                <w:color w:val="000000"/>
                <w:lang w:val="nl-NL"/>
              </w:rPr>
              <w:t>-</w:t>
            </w:r>
            <w:r w:rsidR="00997FD5">
              <w:rPr>
                <w:rFonts w:eastAsia="Calibri"/>
                <w:b/>
                <w:bCs/>
                <w:color w:val="000000"/>
                <w:lang w:val="nl-NL"/>
              </w:rPr>
              <w:t>0</w:t>
            </w:r>
            <w:r w:rsidR="005869EC">
              <w:rPr>
                <w:rFonts w:eastAsia="Calibri"/>
                <w:b/>
                <w:bCs/>
                <w:color w:val="000000"/>
                <w:lang w:val="nl-NL"/>
              </w:rPr>
              <w:t>2</w:t>
            </w:r>
            <w:r w:rsidRPr="009F0A12">
              <w:rPr>
                <w:rFonts w:eastAsia="Calibri"/>
                <w:b/>
                <w:bCs/>
                <w:color w:val="000000"/>
                <w:lang w:val="nl-NL"/>
              </w:rPr>
              <w:t>-</w:t>
            </w:r>
            <w:r w:rsidR="006B084B">
              <w:rPr>
                <w:rFonts w:eastAsia="Calibri"/>
                <w:b/>
                <w:bCs/>
                <w:color w:val="000000"/>
                <w:lang w:val="nl-NL"/>
              </w:rPr>
              <w:t>19</w:t>
            </w:r>
          </w:p>
          <w:p w14:paraId="5560CFBC" w14:textId="59C99846" w:rsidR="009F0A12" w:rsidRPr="009F0A12" w:rsidRDefault="005869EC" w:rsidP="00AA3112">
            <w:pPr>
              <w:tabs>
                <w:tab w:val="right" w:pos="9355"/>
              </w:tabs>
              <w:spacing w:line="240" w:lineRule="auto"/>
              <w:ind w:right="114"/>
              <w:jc w:val="right"/>
              <w:rPr>
                <w:lang w:val="en-TT" w:eastAsia="ar-SA"/>
              </w:rPr>
            </w:pPr>
            <w:r>
              <w:rPr>
                <w:lang w:val="en-TT" w:eastAsia="ar-SA"/>
              </w:rPr>
              <w:t>2</w:t>
            </w:r>
            <w:r w:rsidR="006B084B">
              <w:rPr>
                <w:lang w:val="en-TT" w:eastAsia="ar-SA"/>
              </w:rPr>
              <w:t>nd</w:t>
            </w:r>
            <w:r>
              <w:rPr>
                <w:lang w:val="en-TT" w:eastAsia="ar-SA"/>
              </w:rPr>
              <w:t xml:space="preserve"> </w:t>
            </w:r>
            <w:r w:rsidR="009F0A12" w:rsidRPr="009F0A12">
              <w:rPr>
                <w:lang w:val="en-TT" w:eastAsia="ar-SA"/>
              </w:rPr>
              <w:t>GR</w:t>
            </w:r>
            <w:r>
              <w:rPr>
                <w:lang w:val="en-TT" w:eastAsia="ar-SA"/>
              </w:rPr>
              <w:t xml:space="preserve">VA, </w:t>
            </w:r>
            <w:r w:rsidR="00AA3112">
              <w:rPr>
                <w:lang w:val="en-TT" w:eastAsia="ar-SA"/>
              </w:rPr>
              <w:t>28</w:t>
            </w:r>
            <w:r w:rsidR="009F0A12" w:rsidRPr="009F0A12">
              <w:rPr>
                <w:lang w:val="en-TT" w:eastAsia="ar-SA"/>
              </w:rPr>
              <w:t xml:space="preserve"> </w:t>
            </w:r>
            <w:r>
              <w:rPr>
                <w:lang w:val="en-TT" w:eastAsia="ar-SA"/>
              </w:rPr>
              <w:t>January</w:t>
            </w:r>
            <w:r w:rsidR="009F0A12" w:rsidRPr="009F0A12">
              <w:rPr>
                <w:lang w:val="en-TT" w:eastAsia="ar-SA"/>
              </w:rPr>
              <w:t xml:space="preserve"> </w:t>
            </w:r>
            <w:r w:rsidR="00AA3112">
              <w:rPr>
                <w:lang w:val="en-TT" w:eastAsia="ar-SA"/>
              </w:rPr>
              <w:t xml:space="preserve">– 1 February </w:t>
            </w:r>
            <w:r w:rsidR="009F0A12" w:rsidRPr="009F0A12">
              <w:rPr>
                <w:lang w:val="en-TT" w:eastAsia="ar-SA"/>
              </w:rPr>
              <w:t>201</w:t>
            </w:r>
            <w:r>
              <w:rPr>
                <w:lang w:val="en-TT" w:eastAsia="ar-SA"/>
              </w:rPr>
              <w:t>9</w:t>
            </w:r>
          </w:p>
          <w:p w14:paraId="7E0E4B1D" w14:textId="04543E8A" w:rsidR="009F0A12" w:rsidRPr="009F0A12" w:rsidRDefault="009F0A12" w:rsidP="00A20A91">
            <w:pPr>
              <w:suppressAutoHyphens w:val="0"/>
              <w:autoSpaceDE w:val="0"/>
              <w:autoSpaceDN w:val="0"/>
              <w:adjustRightInd w:val="0"/>
              <w:spacing w:line="240" w:lineRule="auto"/>
              <w:ind w:right="114"/>
              <w:jc w:val="right"/>
              <w:rPr>
                <w:rFonts w:eastAsia="Calibri"/>
                <w:color w:val="000000"/>
                <w:lang w:val="nl-NL"/>
              </w:rPr>
            </w:pPr>
            <w:r w:rsidRPr="009F0A12">
              <w:rPr>
                <w:lang w:val="en-TT" w:eastAsia="ar-SA"/>
              </w:rPr>
              <w:t xml:space="preserve">Agenda item </w:t>
            </w:r>
            <w:r w:rsidR="00A37187">
              <w:rPr>
                <w:lang w:val="en-TT" w:eastAsia="ar-SA"/>
              </w:rPr>
              <w:t>5(e)</w:t>
            </w:r>
          </w:p>
        </w:tc>
      </w:tr>
      <w:tr w:rsidR="009F0A12" w:rsidRPr="009F0A12" w14:paraId="5424C59D" w14:textId="77777777" w:rsidTr="00C864CA">
        <w:trPr>
          <w:trHeight w:val="361"/>
        </w:trPr>
        <w:tc>
          <w:tcPr>
            <w:tcW w:w="4789"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789"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710DC62A" w14:textId="7EDA9AEB" w:rsidR="009F0A12" w:rsidRPr="00B702A7" w:rsidRDefault="00820B9A" w:rsidP="00B702A7">
      <w:pPr>
        <w:suppressAutoHyphens w:val="0"/>
        <w:spacing w:line="240" w:lineRule="auto"/>
        <w:ind w:left="709"/>
        <w:jc w:val="center"/>
        <w:rPr>
          <w:b/>
          <w:sz w:val="24"/>
          <w:szCs w:val="24"/>
        </w:rPr>
      </w:pPr>
      <w:r w:rsidRPr="00B702A7">
        <w:rPr>
          <w:b/>
          <w:sz w:val="24"/>
          <w:szCs w:val="24"/>
        </w:rPr>
        <w:t xml:space="preserve">Proposal </w:t>
      </w:r>
      <w:r w:rsidR="00F31C40" w:rsidRPr="00B702A7">
        <w:rPr>
          <w:b/>
          <w:sz w:val="24"/>
          <w:szCs w:val="24"/>
        </w:rPr>
        <w:t>for amendme</w:t>
      </w:r>
      <w:r w:rsidR="005869EC" w:rsidRPr="00B702A7">
        <w:rPr>
          <w:b/>
          <w:sz w:val="24"/>
          <w:szCs w:val="24"/>
        </w:rPr>
        <w:t>nts to ECE/TRANS/WP.29/GRVA/2019</w:t>
      </w:r>
      <w:r w:rsidR="00F31C40" w:rsidRPr="00B702A7">
        <w:rPr>
          <w:b/>
          <w:sz w:val="24"/>
          <w:szCs w:val="24"/>
        </w:rPr>
        <w:t>/</w:t>
      </w:r>
      <w:r w:rsidR="00A37187">
        <w:rPr>
          <w:b/>
          <w:sz w:val="24"/>
          <w:szCs w:val="24"/>
        </w:rPr>
        <w:t>4</w:t>
      </w:r>
    </w:p>
    <w:p w14:paraId="14E6FDA8" w14:textId="77777777" w:rsidR="00AB1C8B" w:rsidRDefault="00AC73F9" w:rsidP="00AC73F9">
      <w:pPr>
        <w:pStyle w:val="HChG"/>
        <w:tabs>
          <w:tab w:val="clear" w:pos="851"/>
        </w:tabs>
        <w:spacing w:line="240" w:lineRule="auto"/>
        <w:ind w:hanging="567"/>
      </w:pPr>
      <w:r>
        <w:t>I.</w:t>
      </w:r>
      <w:r w:rsidR="0011434E">
        <w:tab/>
      </w:r>
      <w:r w:rsidR="00AB1C8B" w:rsidRPr="00CF20B1">
        <w:t>Proposal</w:t>
      </w:r>
    </w:p>
    <w:p w14:paraId="22E1C904" w14:textId="77777777" w:rsidR="00A37187" w:rsidRDefault="00A37187" w:rsidP="00A37187">
      <w:pPr>
        <w:spacing w:after="120"/>
        <w:ind w:left="1134" w:right="1134"/>
        <w:jc w:val="both"/>
      </w:pPr>
      <w:r>
        <w:rPr>
          <w:i/>
          <w:iCs/>
        </w:rPr>
        <w:t xml:space="preserve">Paragraph 3.4.4., </w:t>
      </w:r>
      <w:r>
        <w:rPr>
          <w:iCs/>
        </w:rPr>
        <w:t>amend to read:</w:t>
      </w:r>
    </w:p>
    <w:p w14:paraId="4AE9694E" w14:textId="77777777" w:rsidR="00A37187" w:rsidRDefault="00A37187" w:rsidP="00A37187">
      <w:pPr>
        <w:pStyle w:val="SingleTxtG"/>
        <w:ind w:left="2268" w:hanging="1134"/>
      </w:pPr>
      <w:r>
        <w:t>"3.4.4.</w:t>
      </w:r>
      <w:r>
        <w:tab/>
        <w:t xml:space="preserve">The documentation shall be supported, by an analysis which shows, in overall terms, how the system will behave on the occurrence of any of </w:t>
      </w:r>
      <w:r w:rsidRPr="00877CE7">
        <w:t>those hazards or faults which will have a bearing on vehicle control performance or safety</w:t>
      </w:r>
      <w:r>
        <w:t>.</w:t>
      </w:r>
    </w:p>
    <w:p w14:paraId="7779C0C8" w14:textId="77777777" w:rsidR="00A37187" w:rsidRDefault="00A37187" w:rsidP="00A37187">
      <w:pPr>
        <w:pStyle w:val="SingleTxtG"/>
        <w:ind w:left="2268" w:hanging="1134"/>
      </w:pPr>
      <w:r>
        <w:tab/>
      </w:r>
      <w:r>
        <w:tab/>
        <w:t>The chosen analytical approach(</w:t>
      </w:r>
      <w:proofErr w:type="spellStart"/>
      <w:r>
        <w:t>es</w:t>
      </w:r>
      <w:proofErr w:type="spellEnd"/>
      <w:r>
        <w:t xml:space="preserve">) shall be established and maintained by the Manufacturer and shall be made open for inspection by the Technical Service at the time of the type approval. </w:t>
      </w:r>
    </w:p>
    <w:p w14:paraId="14E5A4A2" w14:textId="103A1305" w:rsidR="00A37187" w:rsidRPr="00877CE7" w:rsidRDefault="00A37187" w:rsidP="00A37187">
      <w:pPr>
        <w:pStyle w:val="SingleTxtG"/>
        <w:ind w:left="2268"/>
      </w:pPr>
      <w:r w:rsidRPr="00877CE7">
        <w:t>The Technical Service shall perform an assessment of the application of the analytical approach(</w:t>
      </w:r>
      <w:proofErr w:type="spellStart"/>
      <w:r w:rsidRPr="00877CE7">
        <w:t>es</w:t>
      </w:r>
      <w:proofErr w:type="spellEnd"/>
      <w:r w:rsidRPr="00877CE7">
        <w:t xml:space="preserve">). The </w:t>
      </w:r>
      <w:r w:rsidRPr="00A37187">
        <w:t>assessment</w:t>
      </w:r>
      <w:r>
        <w:rPr>
          <w:b/>
        </w:rPr>
        <w:t xml:space="preserve"> </w:t>
      </w:r>
      <w:r w:rsidRPr="00877CE7">
        <w:t xml:space="preserve">shall include: </w:t>
      </w:r>
    </w:p>
    <w:p w14:paraId="48E98496" w14:textId="77777777" w:rsidR="00A37187" w:rsidRDefault="00A37187" w:rsidP="00A37187">
      <w:pPr>
        <w:pStyle w:val="SingleTxtG"/>
        <w:ind w:left="2835" w:hanging="567"/>
      </w:pPr>
      <w:r>
        <w:t>(a)</w:t>
      </w:r>
      <w:r w:rsidRPr="00877CE7">
        <w:tab/>
        <w:t>Inspection of the safety approach at the concept (vehicle) level with confirmation that it includes consideration of</w:t>
      </w:r>
      <w:r>
        <w:t>:</w:t>
      </w:r>
    </w:p>
    <w:p w14:paraId="41904F00" w14:textId="77777777" w:rsidR="00A37187" w:rsidRPr="0068628F" w:rsidRDefault="00A37187" w:rsidP="00A37187">
      <w:pPr>
        <w:pStyle w:val="SingleTxtG"/>
        <w:numPr>
          <w:ilvl w:val="0"/>
          <w:numId w:val="29"/>
        </w:numPr>
        <w:ind w:left="3119" w:hanging="284"/>
      </w:pPr>
      <w:r w:rsidRPr="00877CE7">
        <w:t>interactions with other vehicle systems</w:t>
      </w:r>
      <w:r>
        <w:rPr>
          <w:b/>
        </w:rPr>
        <w:t>;</w:t>
      </w:r>
    </w:p>
    <w:p w14:paraId="58338B0A" w14:textId="77777777" w:rsidR="00A37187" w:rsidRPr="00A37187" w:rsidRDefault="00A37187" w:rsidP="00A37187">
      <w:pPr>
        <w:pStyle w:val="SingleTxtG"/>
        <w:numPr>
          <w:ilvl w:val="0"/>
          <w:numId w:val="29"/>
        </w:numPr>
        <w:ind w:left="3119" w:hanging="284"/>
        <w:rPr>
          <w:strike/>
        </w:rPr>
      </w:pPr>
      <w:r w:rsidRPr="00A37187">
        <w:rPr>
          <w:strike/>
        </w:rPr>
        <w:t>[Safety critical risks that arise from malfunctions of the electronic control system within the scope of this UN Regulation;</w:t>
      </w:r>
    </w:p>
    <w:p w14:paraId="4C69E8E1" w14:textId="77777777" w:rsidR="00A37187" w:rsidRPr="00A37187" w:rsidRDefault="00A37187" w:rsidP="00A37187">
      <w:pPr>
        <w:pStyle w:val="SingleTxtG"/>
        <w:numPr>
          <w:ilvl w:val="0"/>
          <w:numId w:val="29"/>
        </w:numPr>
        <w:ind w:left="3119" w:hanging="284"/>
        <w:rPr>
          <w:strike/>
        </w:rPr>
      </w:pPr>
      <w:r w:rsidRPr="00A37187">
        <w:rPr>
          <w:strike/>
        </w:rPr>
        <w:t>Safety critical risks due to inadequate or incorrect responses of the system under non-fault conditions.]</w:t>
      </w:r>
    </w:p>
    <w:p w14:paraId="1EF85533" w14:textId="1A1B7D08" w:rsidR="00A37187" w:rsidRDefault="00A37187" w:rsidP="00A37187">
      <w:pPr>
        <w:pStyle w:val="SingleTxtG"/>
        <w:numPr>
          <w:ilvl w:val="0"/>
          <w:numId w:val="29"/>
        </w:numPr>
        <w:ind w:left="3119" w:hanging="284"/>
        <w:rPr>
          <w:b/>
        </w:rPr>
      </w:pPr>
      <w:r>
        <w:rPr>
          <w:b/>
        </w:rPr>
        <w:t>Malfunctions of the electronic control system, within the scope of this UN Regulation;</w:t>
      </w:r>
    </w:p>
    <w:p w14:paraId="2B984FC2" w14:textId="483F2EEE" w:rsidR="00A37187" w:rsidRDefault="00A37187" w:rsidP="00A37187">
      <w:pPr>
        <w:pStyle w:val="SingleTxtG"/>
        <w:numPr>
          <w:ilvl w:val="0"/>
          <w:numId w:val="29"/>
        </w:numPr>
        <w:ind w:left="3119" w:hanging="284"/>
        <w:rPr>
          <w:b/>
        </w:rPr>
      </w:pPr>
      <w:r>
        <w:rPr>
          <w:b/>
        </w:rPr>
        <w:t>Situations when a system free from faults may create safety critical risks (e.g. due to a lack of or wrong comprehension of the vehicle environment);</w:t>
      </w:r>
    </w:p>
    <w:p w14:paraId="6B8429A9" w14:textId="61F255D9" w:rsidR="00A37187" w:rsidRDefault="00A37187" w:rsidP="00A37187">
      <w:pPr>
        <w:pStyle w:val="SingleTxtG"/>
        <w:numPr>
          <w:ilvl w:val="0"/>
          <w:numId w:val="29"/>
        </w:numPr>
        <w:ind w:left="3119" w:hanging="284"/>
        <w:rPr>
          <w:b/>
        </w:rPr>
      </w:pPr>
      <w:r>
        <w:rPr>
          <w:b/>
        </w:rPr>
        <w:t>Potential misuse or simple unauthorised modification of the system.</w:t>
      </w:r>
    </w:p>
    <w:p w14:paraId="1617EF4F" w14:textId="77777777" w:rsidR="00A37187" w:rsidRPr="0068628F" w:rsidRDefault="00A37187" w:rsidP="00A37187">
      <w:pPr>
        <w:pStyle w:val="SingleTxtG"/>
        <w:ind w:left="2628"/>
      </w:pPr>
      <w:r w:rsidRPr="0068628F">
        <w:t>This approach shall be based on a Hazard / Risk analysis appropriate to system safety.</w:t>
      </w:r>
    </w:p>
    <w:p w14:paraId="2F446EEF" w14:textId="77777777" w:rsidR="00A37187" w:rsidRPr="00877CE7" w:rsidRDefault="00A37187" w:rsidP="00A37187">
      <w:pPr>
        <w:pStyle w:val="SingleTxtG"/>
        <w:ind w:left="2835" w:hanging="567"/>
      </w:pPr>
      <w:r>
        <w:t>(b)</w:t>
      </w:r>
      <w:r w:rsidRPr="00877CE7">
        <w:tab/>
        <w:t xml:space="preserve">Inspection of the safety approach at the system level. This may be based on a Failure Mode and Effect Analysis (FMEA), a Fault Tree Analysis (FTA) or any similar process appropriate to system safety. </w:t>
      </w:r>
    </w:p>
    <w:p w14:paraId="6F609A5E" w14:textId="77777777" w:rsidR="00A37187" w:rsidRPr="00877CE7" w:rsidRDefault="00A37187" w:rsidP="00A37187">
      <w:pPr>
        <w:pStyle w:val="SingleTxtG"/>
        <w:ind w:left="2835" w:hanging="567"/>
      </w:pPr>
      <w:r>
        <w:t>(c)</w:t>
      </w:r>
      <w:r w:rsidRPr="00877CE7">
        <w:tab/>
        <w:t>Inspection of the validation plans and results. This shall include validation testing appropriate for validation, for example, Hardware in the Loop (HIL) testing, vehicle on</w:t>
      </w:r>
      <w:r>
        <w:t>-</w:t>
      </w:r>
      <w:r w:rsidRPr="00877CE7">
        <w:t>road operational testing, or any</w:t>
      </w:r>
      <w:r>
        <w:t xml:space="preserve"> </w:t>
      </w:r>
      <w:r w:rsidRPr="00580623">
        <w:t>other</w:t>
      </w:r>
      <w:r w:rsidRPr="00877CE7">
        <w:t xml:space="preserve"> testing appropriate for validation. </w:t>
      </w:r>
    </w:p>
    <w:p w14:paraId="680EF64A" w14:textId="77777777" w:rsidR="00A37187" w:rsidRPr="00877CE7" w:rsidRDefault="00A37187" w:rsidP="00A37187">
      <w:pPr>
        <w:pStyle w:val="SingleTxtG"/>
        <w:ind w:left="2268"/>
      </w:pPr>
      <w:r w:rsidRPr="00877CE7">
        <w:t>The assessment shall consist of spot checks of selected hazards and faults to establish that argumentation supporting the safety concept is understandable and logical and validation plans are suitable and have been completed.</w:t>
      </w:r>
    </w:p>
    <w:p w14:paraId="4360B8E6" w14:textId="0BEC3363" w:rsidR="007F609A" w:rsidRPr="006B084B" w:rsidRDefault="00A37187" w:rsidP="006B084B">
      <w:pPr>
        <w:pStyle w:val="SingleTxtG"/>
        <w:ind w:left="2268"/>
      </w:pPr>
      <w:r w:rsidRPr="00877CE7">
        <w:t xml:space="preserve">The Technical Service may perform or may require </w:t>
      </w:r>
      <w:proofErr w:type="gramStart"/>
      <w:r w:rsidRPr="00877CE7">
        <w:t>to perform</w:t>
      </w:r>
      <w:proofErr w:type="gramEnd"/>
      <w:r w:rsidRPr="00877CE7">
        <w:t xml:space="preserve"> tests as specified in paragraph 4</w:t>
      </w:r>
      <w:r>
        <w:t>.</w:t>
      </w:r>
      <w:r w:rsidRPr="00877CE7">
        <w:t xml:space="preserve"> to verify the safety concept.</w:t>
      </w:r>
      <w:r>
        <w:t>"</w:t>
      </w:r>
    </w:p>
    <w:p w14:paraId="27BE19AC" w14:textId="77777777" w:rsidR="00F24EB6" w:rsidRDefault="00F24EB6" w:rsidP="006B084B">
      <w:pPr>
        <w:pStyle w:val="HChG"/>
        <w:keepNext w:val="0"/>
        <w:keepLines w:val="0"/>
        <w:widowControl w:val="0"/>
        <w:ind w:hanging="567"/>
      </w:pPr>
      <w:r w:rsidRPr="004C4906">
        <w:lastRenderedPageBreak/>
        <w:t>II.</w:t>
      </w:r>
      <w:r w:rsidRPr="004C4906">
        <w:tab/>
      </w:r>
      <w:r>
        <w:t>Justification</w:t>
      </w:r>
    </w:p>
    <w:p w14:paraId="26CBE916" w14:textId="52687899" w:rsidR="00BB5FB3" w:rsidRPr="00134C29" w:rsidRDefault="00F24EB6" w:rsidP="006B084B">
      <w:pPr>
        <w:widowControl w:val="0"/>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r>
      <w:r w:rsidR="005871AC">
        <w:rPr>
          <w:color w:val="222222"/>
          <w:shd w:val="clear" w:color="auto" w:fill="FFFFFF"/>
        </w:rPr>
        <w:t>T</w:t>
      </w:r>
      <w:r w:rsidR="005C5B54">
        <w:rPr>
          <w:color w:val="222222"/>
          <w:shd w:val="clear" w:color="auto" w:fill="FFFFFF"/>
        </w:rPr>
        <w:t xml:space="preserve">he proposed </w:t>
      </w:r>
      <w:r w:rsidR="005871AC">
        <w:rPr>
          <w:color w:val="222222"/>
          <w:shd w:val="clear" w:color="auto" w:fill="FFFFFF"/>
        </w:rPr>
        <w:t xml:space="preserve">amendment </w:t>
      </w:r>
      <w:r w:rsidR="005C5B54">
        <w:rPr>
          <w:color w:val="222222"/>
          <w:shd w:val="clear" w:color="auto" w:fill="FFFFFF"/>
        </w:rPr>
        <w:t xml:space="preserve">is to ensure that the safety </w:t>
      </w:r>
      <w:r w:rsidR="005871AC">
        <w:rPr>
          <w:color w:val="222222"/>
          <w:shd w:val="clear" w:color="auto" w:fill="FFFFFF"/>
        </w:rPr>
        <w:t>approach</w:t>
      </w:r>
      <w:r w:rsidR="005C5B54">
        <w:rPr>
          <w:color w:val="222222"/>
          <w:shd w:val="clear" w:color="auto" w:fill="FFFFFF"/>
        </w:rPr>
        <w:t xml:space="preserve"> includes considerations for malfunctions, </w:t>
      </w:r>
      <w:r w:rsidR="005871AC">
        <w:rPr>
          <w:color w:val="222222"/>
          <w:shd w:val="clear" w:color="auto" w:fill="FFFFFF"/>
        </w:rPr>
        <w:t>non-fault errors, and misuse.</w:t>
      </w:r>
    </w:p>
    <w:p w14:paraId="28AF3A42" w14:textId="0CD9FD06" w:rsidR="00CA5DD3" w:rsidRPr="00CA5DD3" w:rsidRDefault="001E42DF" w:rsidP="006B084B">
      <w:pPr>
        <w:pStyle w:val="SingleTxtG"/>
        <w:jc w:val="center"/>
        <w:rPr>
          <w:u w:val="single"/>
        </w:rPr>
      </w:pPr>
      <w:r>
        <w:rPr>
          <w:u w:val="single"/>
        </w:rPr>
        <w:tab/>
      </w:r>
      <w:r>
        <w:rPr>
          <w:u w:val="single"/>
        </w:rPr>
        <w:tab/>
      </w:r>
      <w:r>
        <w:rPr>
          <w:u w:val="single"/>
        </w:rPr>
        <w:tab/>
      </w:r>
      <w:bookmarkStart w:id="0" w:name="_GoBack"/>
      <w:bookmarkEnd w:id="0"/>
    </w:p>
    <w:sectPr w:rsidR="00CA5DD3" w:rsidRPr="00CA5DD3" w:rsidSect="006B084B">
      <w:footerReference w:type="even" r:id="rId8"/>
      <w:footerReference w:type="default" r:id="rId9"/>
      <w:endnotePr>
        <w:numFmt w:val="decimal"/>
      </w:endnotePr>
      <w:type w:val="continuous"/>
      <w:pgSz w:w="11907" w:h="16840" w:code="9"/>
      <w:pgMar w:top="851" w:right="1134" w:bottom="5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0457" w14:textId="77777777" w:rsidR="006F323F" w:rsidRDefault="006F323F"/>
  </w:endnote>
  <w:endnote w:type="continuationSeparator" w:id="0">
    <w:p w14:paraId="21535050" w14:textId="77777777" w:rsidR="006F323F" w:rsidRDefault="006F323F"/>
  </w:endnote>
  <w:endnote w:type="continuationNotice" w:id="1">
    <w:p w14:paraId="7E538A85" w14:textId="77777777" w:rsidR="006F323F" w:rsidRDefault="006F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F4D" w14:textId="77777777"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5871AC">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DEFC" w14:textId="77777777"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A37187">
      <w:rPr>
        <w:b/>
        <w:noProof/>
        <w:sz w:val="18"/>
      </w:rPr>
      <w:t>3</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572A" w14:textId="77777777" w:rsidR="006F323F" w:rsidRPr="000B175B" w:rsidRDefault="006F323F" w:rsidP="000B175B">
      <w:pPr>
        <w:tabs>
          <w:tab w:val="right" w:pos="2155"/>
        </w:tabs>
        <w:spacing w:after="80"/>
        <w:ind w:left="680"/>
        <w:rPr>
          <w:u w:val="single"/>
        </w:rPr>
      </w:pPr>
      <w:r>
        <w:rPr>
          <w:u w:val="single"/>
        </w:rPr>
        <w:tab/>
      </w:r>
    </w:p>
  </w:footnote>
  <w:footnote w:type="continuationSeparator" w:id="0">
    <w:p w14:paraId="6671A4C8" w14:textId="77777777" w:rsidR="006F323F" w:rsidRPr="00FC68B7" w:rsidRDefault="006F323F" w:rsidP="00FC68B7">
      <w:pPr>
        <w:tabs>
          <w:tab w:val="left" w:pos="2155"/>
        </w:tabs>
        <w:spacing w:after="80"/>
        <w:ind w:left="680"/>
        <w:rPr>
          <w:u w:val="single"/>
        </w:rPr>
      </w:pPr>
      <w:r>
        <w:rPr>
          <w:u w:val="single"/>
        </w:rPr>
        <w:tab/>
      </w:r>
    </w:p>
  </w:footnote>
  <w:footnote w:type="continuationNotice" w:id="1">
    <w:p w14:paraId="08D40908" w14:textId="77777777" w:rsidR="006F323F" w:rsidRDefault="006F32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7"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1"/>
  </w:num>
  <w:num w:numId="14">
    <w:abstractNumId w:val="25"/>
  </w:num>
  <w:num w:numId="15">
    <w:abstractNumId w:val="28"/>
  </w:num>
  <w:num w:numId="16">
    <w:abstractNumId w:val="10"/>
  </w:num>
  <w:num w:numId="17">
    <w:abstractNumId w:val="16"/>
  </w:num>
  <w:num w:numId="18">
    <w:abstractNumId w:val="23"/>
  </w:num>
  <w:num w:numId="19">
    <w:abstractNumId w:val="27"/>
  </w:num>
  <w:num w:numId="20">
    <w:abstractNumId w:val="18"/>
  </w:num>
  <w:num w:numId="21">
    <w:abstractNumId w:val="14"/>
  </w:num>
  <w:num w:numId="22">
    <w:abstractNumId w:val="20"/>
  </w:num>
  <w:num w:numId="23">
    <w:abstractNumId w:val="22"/>
  </w:num>
  <w:num w:numId="24">
    <w:abstractNumId w:val="26"/>
  </w:num>
  <w:num w:numId="25">
    <w:abstractNumId w:val="19"/>
  </w:num>
  <w:num w:numId="26">
    <w:abstractNumId w:val="15"/>
  </w:num>
  <w:num w:numId="27">
    <w:abstractNumId w:val="17"/>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en-TT" w:vendorID="64" w:dllVersion="6" w:nlCheck="1" w:checkStyle="1"/>
  <w:activeWritingStyle w:appName="MSWord" w:lang="nl-NL"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819"/>
    <w:rsid w:val="00005754"/>
    <w:rsid w:val="0000599D"/>
    <w:rsid w:val="00010F8B"/>
    <w:rsid w:val="00025D06"/>
    <w:rsid w:val="000307BF"/>
    <w:rsid w:val="00033E24"/>
    <w:rsid w:val="000370BB"/>
    <w:rsid w:val="00046B1F"/>
    <w:rsid w:val="00050493"/>
    <w:rsid w:val="00050F6B"/>
    <w:rsid w:val="00052635"/>
    <w:rsid w:val="00057E97"/>
    <w:rsid w:val="000646F4"/>
    <w:rsid w:val="00072C8C"/>
    <w:rsid w:val="000733B5"/>
    <w:rsid w:val="00081815"/>
    <w:rsid w:val="000873A3"/>
    <w:rsid w:val="000931C0"/>
    <w:rsid w:val="000A30C4"/>
    <w:rsid w:val="000B0595"/>
    <w:rsid w:val="000B175B"/>
    <w:rsid w:val="000B1954"/>
    <w:rsid w:val="000B2F02"/>
    <w:rsid w:val="000B3A0F"/>
    <w:rsid w:val="000B3D59"/>
    <w:rsid w:val="000B4EF7"/>
    <w:rsid w:val="000B676B"/>
    <w:rsid w:val="000C2C03"/>
    <w:rsid w:val="000C2D2E"/>
    <w:rsid w:val="000C4C94"/>
    <w:rsid w:val="000D3B37"/>
    <w:rsid w:val="000D3BF6"/>
    <w:rsid w:val="000D3FC8"/>
    <w:rsid w:val="000D7456"/>
    <w:rsid w:val="000E0415"/>
    <w:rsid w:val="000E5DC3"/>
    <w:rsid w:val="000F4314"/>
    <w:rsid w:val="000F6BE3"/>
    <w:rsid w:val="000F7775"/>
    <w:rsid w:val="0010213D"/>
    <w:rsid w:val="00103A07"/>
    <w:rsid w:val="001103AA"/>
    <w:rsid w:val="0011434E"/>
    <w:rsid w:val="00115F91"/>
    <w:rsid w:val="0011666B"/>
    <w:rsid w:val="00124A3B"/>
    <w:rsid w:val="001263FC"/>
    <w:rsid w:val="00133987"/>
    <w:rsid w:val="00134C29"/>
    <w:rsid w:val="0014436D"/>
    <w:rsid w:val="00150183"/>
    <w:rsid w:val="00156BB9"/>
    <w:rsid w:val="0016084C"/>
    <w:rsid w:val="00165F3A"/>
    <w:rsid w:val="001729E4"/>
    <w:rsid w:val="00175C72"/>
    <w:rsid w:val="00182290"/>
    <w:rsid w:val="001832FB"/>
    <w:rsid w:val="00191F16"/>
    <w:rsid w:val="001A24B1"/>
    <w:rsid w:val="001A3955"/>
    <w:rsid w:val="001A7CCE"/>
    <w:rsid w:val="001B303C"/>
    <w:rsid w:val="001B4A30"/>
    <w:rsid w:val="001B4B04"/>
    <w:rsid w:val="001B729F"/>
    <w:rsid w:val="001C6450"/>
    <w:rsid w:val="001C6663"/>
    <w:rsid w:val="001C7895"/>
    <w:rsid w:val="001C78A8"/>
    <w:rsid w:val="001C7F8B"/>
    <w:rsid w:val="001D0C8C"/>
    <w:rsid w:val="001D1419"/>
    <w:rsid w:val="001D26DF"/>
    <w:rsid w:val="001D3A03"/>
    <w:rsid w:val="001D4EDD"/>
    <w:rsid w:val="001E12C4"/>
    <w:rsid w:val="001E42DF"/>
    <w:rsid w:val="001E7B67"/>
    <w:rsid w:val="001F1313"/>
    <w:rsid w:val="001F4084"/>
    <w:rsid w:val="001F4C8C"/>
    <w:rsid w:val="00202DA8"/>
    <w:rsid w:val="00205E55"/>
    <w:rsid w:val="0020796E"/>
    <w:rsid w:val="00211E0B"/>
    <w:rsid w:val="00216D25"/>
    <w:rsid w:val="0023211D"/>
    <w:rsid w:val="002327CF"/>
    <w:rsid w:val="0023295E"/>
    <w:rsid w:val="002410A1"/>
    <w:rsid w:val="002460E4"/>
    <w:rsid w:val="0024772E"/>
    <w:rsid w:val="00267F5F"/>
    <w:rsid w:val="0028234E"/>
    <w:rsid w:val="00286B4D"/>
    <w:rsid w:val="0029347B"/>
    <w:rsid w:val="00294E2C"/>
    <w:rsid w:val="002A1DD6"/>
    <w:rsid w:val="002A5DED"/>
    <w:rsid w:val="002B2CEE"/>
    <w:rsid w:val="002B41B0"/>
    <w:rsid w:val="002B7193"/>
    <w:rsid w:val="002D102B"/>
    <w:rsid w:val="002D4643"/>
    <w:rsid w:val="002F175C"/>
    <w:rsid w:val="002F2821"/>
    <w:rsid w:val="002F29FF"/>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56AEC"/>
    <w:rsid w:val="003619B5"/>
    <w:rsid w:val="00361AC3"/>
    <w:rsid w:val="00365763"/>
    <w:rsid w:val="003659D8"/>
    <w:rsid w:val="003671A2"/>
    <w:rsid w:val="00371178"/>
    <w:rsid w:val="003721E2"/>
    <w:rsid w:val="00374A3E"/>
    <w:rsid w:val="00385977"/>
    <w:rsid w:val="00390A3C"/>
    <w:rsid w:val="00392E47"/>
    <w:rsid w:val="003A6321"/>
    <w:rsid w:val="003A6810"/>
    <w:rsid w:val="003B1837"/>
    <w:rsid w:val="003B2575"/>
    <w:rsid w:val="003C0787"/>
    <w:rsid w:val="003C0B07"/>
    <w:rsid w:val="003C2CC4"/>
    <w:rsid w:val="003C534D"/>
    <w:rsid w:val="003D4B23"/>
    <w:rsid w:val="003D6EB6"/>
    <w:rsid w:val="003E130E"/>
    <w:rsid w:val="003F5CFD"/>
    <w:rsid w:val="004021CE"/>
    <w:rsid w:val="00410C89"/>
    <w:rsid w:val="00413EE4"/>
    <w:rsid w:val="00416580"/>
    <w:rsid w:val="00416602"/>
    <w:rsid w:val="00422E03"/>
    <w:rsid w:val="00423175"/>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B052B"/>
    <w:rsid w:val="004C0977"/>
    <w:rsid w:val="004C2461"/>
    <w:rsid w:val="004C2B1B"/>
    <w:rsid w:val="004C3897"/>
    <w:rsid w:val="004C7462"/>
    <w:rsid w:val="004C7FF4"/>
    <w:rsid w:val="004E21C0"/>
    <w:rsid w:val="004E6A8B"/>
    <w:rsid w:val="004E77B2"/>
    <w:rsid w:val="00501903"/>
    <w:rsid w:val="00503069"/>
    <w:rsid w:val="00504B2D"/>
    <w:rsid w:val="0051367D"/>
    <w:rsid w:val="00515214"/>
    <w:rsid w:val="00515314"/>
    <w:rsid w:val="0051765E"/>
    <w:rsid w:val="0052136D"/>
    <w:rsid w:val="0052775E"/>
    <w:rsid w:val="00533055"/>
    <w:rsid w:val="005420F2"/>
    <w:rsid w:val="005429A6"/>
    <w:rsid w:val="0056209A"/>
    <w:rsid w:val="005628B6"/>
    <w:rsid w:val="0058660B"/>
    <w:rsid w:val="005869EC"/>
    <w:rsid w:val="00586B48"/>
    <w:rsid w:val="005871AC"/>
    <w:rsid w:val="005941EC"/>
    <w:rsid w:val="005969DA"/>
    <w:rsid w:val="00597216"/>
    <w:rsid w:val="0059724D"/>
    <w:rsid w:val="005A338B"/>
    <w:rsid w:val="005A7E6C"/>
    <w:rsid w:val="005B320C"/>
    <w:rsid w:val="005B3DB3"/>
    <w:rsid w:val="005B4E13"/>
    <w:rsid w:val="005C342F"/>
    <w:rsid w:val="005C5B54"/>
    <w:rsid w:val="005C7D1E"/>
    <w:rsid w:val="005F4882"/>
    <w:rsid w:val="005F7B75"/>
    <w:rsid w:val="006001EE"/>
    <w:rsid w:val="00602A21"/>
    <w:rsid w:val="00605042"/>
    <w:rsid w:val="00607370"/>
    <w:rsid w:val="00611FC4"/>
    <w:rsid w:val="006176FB"/>
    <w:rsid w:val="00620F30"/>
    <w:rsid w:val="00623979"/>
    <w:rsid w:val="00640B26"/>
    <w:rsid w:val="00641EB1"/>
    <w:rsid w:val="006438A8"/>
    <w:rsid w:val="00645B25"/>
    <w:rsid w:val="00646A00"/>
    <w:rsid w:val="00651A5D"/>
    <w:rsid w:val="00652D0A"/>
    <w:rsid w:val="00662BB6"/>
    <w:rsid w:val="006652DB"/>
    <w:rsid w:val="00671B51"/>
    <w:rsid w:val="00672C87"/>
    <w:rsid w:val="0067362F"/>
    <w:rsid w:val="00674FB3"/>
    <w:rsid w:val="00676606"/>
    <w:rsid w:val="00684C21"/>
    <w:rsid w:val="00691094"/>
    <w:rsid w:val="006A1A87"/>
    <w:rsid w:val="006A2530"/>
    <w:rsid w:val="006B010D"/>
    <w:rsid w:val="006B084B"/>
    <w:rsid w:val="006B664D"/>
    <w:rsid w:val="006C2806"/>
    <w:rsid w:val="006C3589"/>
    <w:rsid w:val="006D010D"/>
    <w:rsid w:val="006D1BC0"/>
    <w:rsid w:val="006D37AF"/>
    <w:rsid w:val="006D51D0"/>
    <w:rsid w:val="006D5C2B"/>
    <w:rsid w:val="006D5FB9"/>
    <w:rsid w:val="006D658E"/>
    <w:rsid w:val="006D73FD"/>
    <w:rsid w:val="006E564B"/>
    <w:rsid w:val="006E7191"/>
    <w:rsid w:val="006F1153"/>
    <w:rsid w:val="006F22FE"/>
    <w:rsid w:val="006F323F"/>
    <w:rsid w:val="006F7036"/>
    <w:rsid w:val="00703577"/>
    <w:rsid w:val="00705894"/>
    <w:rsid w:val="00713509"/>
    <w:rsid w:val="0072632A"/>
    <w:rsid w:val="007324C9"/>
    <w:rsid w:val="007327D5"/>
    <w:rsid w:val="007363F0"/>
    <w:rsid w:val="00736F65"/>
    <w:rsid w:val="00743D0B"/>
    <w:rsid w:val="00750230"/>
    <w:rsid w:val="0076131E"/>
    <w:rsid w:val="007629C8"/>
    <w:rsid w:val="0077047D"/>
    <w:rsid w:val="007A4ECC"/>
    <w:rsid w:val="007B12F1"/>
    <w:rsid w:val="007B1E31"/>
    <w:rsid w:val="007B67CF"/>
    <w:rsid w:val="007B6BA5"/>
    <w:rsid w:val="007C3390"/>
    <w:rsid w:val="007C481D"/>
    <w:rsid w:val="007C4F4B"/>
    <w:rsid w:val="007D6536"/>
    <w:rsid w:val="007D76A1"/>
    <w:rsid w:val="007E01E9"/>
    <w:rsid w:val="007E049A"/>
    <w:rsid w:val="007E3ECE"/>
    <w:rsid w:val="007E63F3"/>
    <w:rsid w:val="007F1A00"/>
    <w:rsid w:val="007F3B0C"/>
    <w:rsid w:val="007F609A"/>
    <w:rsid w:val="007F6611"/>
    <w:rsid w:val="00811920"/>
    <w:rsid w:val="00815AD0"/>
    <w:rsid w:val="00815EDB"/>
    <w:rsid w:val="008167A8"/>
    <w:rsid w:val="00820B9A"/>
    <w:rsid w:val="008242D7"/>
    <w:rsid w:val="008257B1"/>
    <w:rsid w:val="00832334"/>
    <w:rsid w:val="00832558"/>
    <w:rsid w:val="0084119E"/>
    <w:rsid w:val="00843191"/>
    <w:rsid w:val="00843767"/>
    <w:rsid w:val="00846487"/>
    <w:rsid w:val="00854CB3"/>
    <w:rsid w:val="00864779"/>
    <w:rsid w:val="008679D9"/>
    <w:rsid w:val="00876AA1"/>
    <w:rsid w:val="00877CE7"/>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C291C"/>
    <w:rsid w:val="008D0B2B"/>
    <w:rsid w:val="008E0678"/>
    <w:rsid w:val="008E136C"/>
    <w:rsid w:val="008F31D2"/>
    <w:rsid w:val="00903D60"/>
    <w:rsid w:val="00913D62"/>
    <w:rsid w:val="00915EF6"/>
    <w:rsid w:val="009223CA"/>
    <w:rsid w:val="00922E18"/>
    <w:rsid w:val="00923752"/>
    <w:rsid w:val="00927489"/>
    <w:rsid w:val="0093123E"/>
    <w:rsid w:val="00931C52"/>
    <w:rsid w:val="00931D45"/>
    <w:rsid w:val="00932C6B"/>
    <w:rsid w:val="00940F93"/>
    <w:rsid w:val="009448C3"/>
    <w:rsid w:val="00950035"/>
    <w:rsid w:val="00960B13"/>
    <w:rsid w:val="009760F3"/>
    <w:rsid w:val="00976CFB"/>
    <w:rsid w:val="009821B8"/>
    <w:rsid w:val="00984186"/>
    <w:rsid w:val="009856EA"/>
    <w:rsid w:val="0099366F"/>
    <w:rsid w:val="00993F66"/>
    <w:rsid w:val="00995762"/>
    <w:rsid w:val="009967CD"/>
    <w:rsid w:val="00997FD5"/>
    <w:rsid w:val="009A0830"/>
    <w:rsid w:val="009A0E8D"/>
    <w:rsid w:val="009B0479"/>
    <w:rsid w:val="009B0DCA"/>
    <w:rsid w:val="009B26E7"/>
    <w:rsid w:val="009B64BB"/>
    <w:rsid w:val="009C0B68"/>
    <w:rsid w:val="009D2935"/>
    <w:rsid w:val="009E1533"/>
    <w:rsid w:val="009E5E02"/>
    <w:rsid w:val="009E6F05"/>
    <w:rsid w:val="009F0A12"/>
    <w:rsid w:val="009F20DA"/>
    <w:rsid w:val="00A00697"/>
    <w:rsid w:val="00A00A3F"/>
    <w:rsid w:val="00A01489"/>
    <w:rsid w:val="00A1143E"/>
    <w:rsid w:val="00A138B5"/>
    <w:rsid w:val="00A14969"/>
    <w:rsid w:val="00A17716"/>
    <w:rsid w:val="00A20A91"/>
    <w:rsid w:val="00A3026E"/>
    <w:rsid w:val="00A32000"/>
    <w:rsid w:val="00A338F1"/>
    <w:rsid w:val="00A358A6"/>
    <w:rsid w:val="00A35BE0"/>
    <w:rsid w:val="00A37187"/>
    <w:rsid w:val="00A53E90"/>
    <w:rsid w:val="00A540C1"/>
    <w:rsid w:val="00A541F4"/>
    <w:rsid w:val="00A6129C"/>
    <w:rsid w:val="00A66A2B"/>
    <w:rsid w:val="00A72F22"/>
    <w:rsid w:val="00A7360F"/>
    <w:rsid w:val="00A748A6"/>
    <w:rsid w:val="00A769F4"/>
    <w:rsid w:val="00A776B4"/>
    <w:rsid w:val="00A810BD"/>
    <w:rsid w:val="00A82B87"/>
    <w:rsid w:val="00A85E21"/>
    <w:rsid w:val="00A94361"/>
    <w:rsid w:val="00A94E80"/>
    <w:rsid w:val="00AA293C"/>
    <w:rsid w:val="00AA3112"/>
    <w:rsid w:val="00AB1C8B"/>
    <w:rsid w:val="00AB25DF"/>
    <w:rsid w:val="00AB7429"/>
    <w:rsid w:val="00AC2BF5"/>
    <w:rsid w:val="00AC73F9"/>
    <w:rsid w:val="00AD0F83"/>
    <w:rsid w:val="00AD2CF9"/>
    <w:rsid w:val="00AD5904"/>
    <w:rsid w:val="00AD5AC7"/>
    <w:rsid w:val="00AE2A97"/>
    <w:rsid w:val="00AE6DE2"/>
    <w:rsid w:val="00AF7FF4"/>
    <w:rsid w:val="00B03569"/>
    <w:rsid w:val="00B078FC"/>
    <w:rsid w:val="00B12770"/>
    <w:rsid w:val="00B155FF"/>
    <w:rsid w:val="00B20ACA"/>
    <w:rsid w:val="00B2169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02A7"/>
    <w:rsid w:val="00B71619"/>
    <w:rsid w:val="00B75481"/>
    <w:rsid w:val="00B77D05"/>
    <w:rsid w:val="00B81206"/>
    <w:rsid w:val="00B81E12"/>
    <w:rsid w:val="00B84F35"/>
    <w:rsid w:val="00B87C79"/>
    <w:rsid w:val="00B97FA0"/>
    <w:rsid w:val="00BA5343"/>
    <w:rsid w:val="00BB0D0F"/>
    <w:rsid w:val="00BB2892"/>
    <w:rsid w:val="00BB43E2"/>
    <w:rsid w:val="00BB5FB3"/>
    <w:rsid w:val="00BB6E7C"/>
    <w:rsid w:val="00BC1EC0"/>
    <w:rsid w:val="00BC3FA0"/>
    <w:rsid w:val="00BC74E9"/>
    <w:rsid w:val="00BD3B3B"/>
    <w:rsid w:val="00BD79DD"/>
    <w:rsid w:val="00BD7F4D"/>
    <w:rsid w:val="00BE12FB"/>
    <w:rsid w:val="00BE75FD"/>
    <w:rsid w:val="00BF30B3"/>
    <w:rsid w:val="00BF5B34"/>
    <w:rsid w:val="00BF68A8"/>
    <w:rsid w:val="00BF7F45"/>
    <w:rsid w:val="00C03CDC"/>
    <w:rsid w:val="00C11A03"/>
    <w:rsid w:val="00C13235"/>
    <w:rsid w:val="00C22C0C"/>
    <w:rsid w:val="00C3127D"/>
    <w:rsid w:val="00C4527F"/>
    <w:rsid w:val="00C45283"/>
    <w:rsid w:val="00C45C52"/>
    <w:rsid w:val="00C4617E"/>
    <w:rsid w:val="00C463DD"/>
    <w:rsid w:val="00C4724C"/>
    <w:rsid w:val="00C510D2"/>
    <w:rsid w:val="00C54AC7"/>
    <w:rsid w:val="00C629A0"/>
    <w:rsid w:val="00C64629"/>
    <w:rsid w:val="00C70888"/>
    <w:rsid w:val="00C745C3"/>
    <w:rsid w:val="00C847D9"/>
    <w:rsid w:val="00C96DF2"/>
    <w:rsid w:val="00CA5DD3"/>
    <w:rsid w:val="00CB12C6"/>
    <w:rsid w:val="00CB3E03"/>
    <w:rsid w:val="00CB5FFB"/>
    <w:rsid w:val="00CD22A1"/>
    <w:rsid w:val="00CD4AA6"/>
    <w:rsid w:val="00CE4A8F"/>
    <w:rsid w:val="00CE61EA"/>
    <w:rsid w:val="00CF20B1"/>
    <w:rsid w:val="00CF67BA"/>
    <w:rsid w:val="00D10E2D"/>
    <w:rsid w:val="00D14DC6"/>
    <w:rsid w:val="00D2031B"/>
    <w:rsid w:val="00D248B6"/>
    <w:rsid w:val="00D24A0A"/>
    <w:rsid w:val="00D25C23"/>
    <w:rsid w:val="00D25FE2"/>
    <w:rsid w:val="00D263D3"/>
    <w:rsid w:val="00D26E07"/>
    <w:rsid w:val="00D34CA6"/>
    <w:rsid w:val="00D43252"/>
    <w:rsid w:val="00D46A8C"/>
    <w:rsid w:val="00D47EEA"/>
    <w:rsid w:val="00D5209E"/>
    <w:rsid w:val="00D70325"/>
    <w:rsid w:val="00D70B69"/>
    <w:rsid w:val="00D73933"/>
    <w:rsid w:val="00D768CA"/>
    <w:rsid w:val="00D773DF"/>
    <w:rsid w:val="00D91CE7"/>
    <w:rsid w:val="00D95303"/>
    <w:rsid w:val="00D978C6"/>
    <w:rsid w:val="00DA3C1C"/>
    <w:rsid w:val="00DA7B18"/>
    <w:rsid w:val="00DB5483"/>
    <w:rsid w:val="00DC6D39"/>
    <w:rsid w:val="00DD4C77"/>
    <w:rsid w:val="00DF6D92"/>
    <w:rsid w:val="00E046DF"/>
    <w:rsid w:val="00E12412"/>
    <w:rsid w:val="00E15032"/>
    <w:rsid w:val="00E22B0C"/>
    <w:rsid w:val="00E24309"/>
    <w:rsid w:val="00E25171"/>
    <w:rsid w:val="00E27346"/>
    <w:rsid w:val="00E31122"/>
    <w:rsid w:val="00E40A45"/>
    <w:rsid w:val="00E4406D"/>
    <w:rsid w:val="00E452CB"/>
    <w:rsid w:val="00E560CA"/>
    <w:rsid w:val="00E64500"/>
    <w:rsid w:val="00E71BC8"/>
    <w:rsid w:val="00E72244"/>
    <w:rsid w:val="00E7260F"/>
    <w:rsid w:val="00E73F5D"/>
    <w:rsid w:val="00E756D5"/>
    <w:rsid w:val="00E75E2D"/>
    <w:rsid w:val="00E77E4E"/>
    <w:rsid w:val="00E800F4"/>
    <w:rsid w:val="00E840B3"/>
    <w:rsid w:val="00E8589C"/>
    <w:rsid w:val="00E86A1D"/>
    <w:rsid w:val="00E96630"/>
    <w:rsid w:val="00E97B05"/>
    <w:rsid w:val="00EA2A77"/>
    <w:rsid w:val="00EA2B90"/>
    <w:rsid w:val="00EA56E4"/>
    <w:rsid w:val="00EB7920"/>
    <w:rsid w:val="00EC0A5B"/>
    <w:rsid w:val="00EC0C03"/>
    <w:rsid w:val="00EC20E6"/>
    <w:rsid w:val="00EC2F23"/>
    <w:rsid w:val="00EC50E8"/>
    <w:rsid w:val="00ED228F"/>
    <w:rsid w:val="00ED2BAA"/>
    <w:rsid w:val="00ED4DF6"/>
    <w:rsid w:val="00ED7A2A"/>
    <w:rsid w:val="00EE4258"/>
    <w:rsid w:val="00EF1D7F"/>
    <w:rsid w:val="00F11DF4"/>
    <w:rsid w:val="00F124AF"/>
    <w:rsid w:val="00F169B3"/>
    <w:rsid w:val="00F243E1"/>
    <w:rsid w:val="00F24EB6"/>
    <w:rsid w:val="00F31C40"/>
    <w:rsid w:val="00F31E5F"/>
    <w:rsid w:val="00F370A7"/>
    <w:rsid w:val="00F37A4C"/>
    <w:rsid w:val="00F41AE5"/>
    <w:rsid w:val="00F50011"/>
    <w:rsid w:val="00F50A97"/>
    <w:rsid w:val="00F518BA"/>
    <w:rsid w:val="00F6100A"/>
    <w:rsid w:val="00F634BE"/>
    <w:rsid w:val="00F638C4"/>
    <w:rsid w:val="00F6525E"/>
    <w:rsid w:val="00F73086"/>
    <w:rsid w:val="00F93781"/>
    <w:rsid w:val="00F95453"/>
    <w:rsid w:val="00FA240C"/>
    <w:rsid w:val="00FA2414"/>
    <w:rsid w:val="00FB25AB"/>
    <w:rsid w:val="00FB613B"/>
    <w:rsid w:val="00FC286D"/>
    <w:rsid w:val="00FC68B7"/>
    <w:rsid w:val="00FD3F98"/>
    <w:rsid w:val="00FD6EBB"/>
    <w:rsid w:val="00FE106A"/>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E7F47"/>
  <w15:docId w15:val="{C3BA9DEF-86BA-4DF7-BDC3-1549080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 w:type="character" w:customStyle="1" w:styleId="HChGChar">
    <w:name w:val="_ H _Ch_G Char"/>
    <w:link w:val="HChG"/>
    <w:rsid w:val="00F24EB6"/>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1B028-B0BD-436C-BE57-35755E22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12</TotalTime>
  <Pages>1</Pages>
  <Words>387</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GRVA - RCM - amend to 2019/9</vt:lpstr>
      <vt:lpstr>1619736</vt:lpstr>
    </vt:vector>
  </TitlesOfParts>
  <Company>CSD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 - RCM - amend to 2019/9</dc:title>
  <dc:subject>ECE/TRANS/WP.29/GRRF/2017/8</dc:subject>
  <dc:creator>Francois Guichard</dc:creator>
  <cp:keywords>RCM</cp:keywords>
  <dc:description/>
  <cp:lastModifiedBy>Francois Guichard</cp:lastModifiedBy>
  <cp:revision>5</cp:revision>
  <cp:lastPrinted>2017-06-22T07:44:00Z</cp:lastPrinted>
  <dcterms:created xsi:type="dcterms:W3CDTF">2019-01-25T10:13:00Z</dcterms:created>
  <dcterms:modified xsi:type="dcterms:W3CDTF">2019-01-25T13:33:00Z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