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9"/>
        <w:gridCol w:w="4109"/>
      </w:tblGrid>
      <w:tr w:rsidR="00C64336" w:rsidRPr="0053188C" w:rsidTr="0053188C">
        <w:tc>
          <w:tcPr>
            <w:tcW w:w="5529" w:type="dxa"/>
            <w:tcBorders>
              <w:top w:val="nil"/>
              <w:left w:val="nil"/>
              <w:bottom w:val="nil"/>
              <w:right w:val="nil"/>
            </w:tcBorders>
            <w:hideMark/>
          </w:tcPr>
          <w:p w:rsidR="00C64336" w:rsidRPr="00590287" w:rsidRDefault="00B15543" w:rsidP="001366C1">
            <w:pPr>
              <w:pStyle w:val="Header"/>
              <w:rPr>
                <w:rFonts w:ascii="Times New Roman" w:hAnsi="Times New Roman" w:cs="Times New Roman"/>
                <w:bCs/>
                <w:sz w:val="20"/>
                <w:szCs w:val="20"/>
                <w:lang w:val="en-GB"/>
              </w:rPr>
            </w:pPr>
            <w:r>
              <w:rPr>
                <w:rFonts w:ascii="Times New Roman" w:hAnsi="Times New Roman" w:cs="Times New Roman"/>
                <w:bCs/>
                <w:sz w:val="20"/>
                <w:szCs w:val="20"/>
                <w:lang w:val="en-GB"/>
              </w:rPr>
              <w:t>Submitted</w:t>
            </w:r>
            <w:r w:rsidR="00C64336" w:rsidRPr="00590287">
              <w:rPr>
                <w:rFonts w:ascii="Times New Roman" w:hAnsi="Times New Roman" w:cs="Times New Roman"/>
                <w:bCs/>
                <w:sz w:val="20"/>
                <w:szCs w:val="20"/>
                <w:lang w:val="en-GB"/>
              </w:rPr>
              <w:t xml:space="preserve"> by the expert </w:t>
            </w:r>
          </w:p>
          <w:p w:rsidR="00C64336" w:rsidRPr="00590287" w:rsidRDefault="00C64336" w:rsidP="001366C1">
            <w:pPr>
              <w:pStyle w:val="Header"/>
              <w:rPr>
                <w:rFonts w:ascii="Times New Roman" w:hAnsi="Times New Roman" w:cs="Times New Roman"/>
                <w:bCs/>
                <w:sz w:val="20"/>
                <w:szCs w:val="20"/>
                <w:lang w:val="en-GB"/>
              </w:rPr>
            </w:pPr>
            <w:r w:rsidRPr="00590287">
              <w:rPr>
                <w:rFonts w:ascii="Times New Roman" w:hAnsi="Times New Roman" w:cs="Times New Roman"/>
                <w:bCs/>
                <w:sz w:val="20"/>
                <w:szCs w:val="20"/>
                <w:lang w:val="en-GB"/>
              </w:rPr>
              <w:t>from the Russian Federation</w:t>
            </w:r>
          </w:p>
        </w:tc>
        <w:tc>
          <w:tcPr>
            <w:tcW w:w="4109" w:type="dxa"/>
            <w:tcBorders>
              <w:top w:val="nil"/>
              <w:left w:val="nil"/>
              <w:bottom w:val="nil"/>
              <w:right w:val="nil"/>
            </w:tcBorders>
            <w:hideMark/>
          </w:tcPr>
          <w:p w:rsidR="00C64336" w:rsidRPr="00590287" w:rsidRDefault="00C64336" w:rsidP="00B15543">
            <w:pPr>
              <w:pStyle w:val="Header"/>
              <w:rPr>
                <w:rFonts w:ascii="Times New Roman" w:hAnsi="Times New Roman" w:cs="Times New Roman"/>
                <w:bCs/>
                <w:sz w:val="20"/>
                <w:szCs w:val="20"/>
                <w:lang w:val="en-GB"/>
              </w:rPr>
            </w:pPr>
            <w:r w:rsidRPr="00590287">
              <w:rPr>
                <w:rFonts w:ascii="Times New Roman" w:hAnsi="Times New Roman" w:cs="Times New Roman"/>
                <w:bCs/>
                <w:sz w:val="20"/>
                <w:szCs w:val="20"/>
                <w:u w:val="single"/>
                <w:lang w:val="en-GB"/>
              </w:rPr>
              <w:t>Informal document</w:t>
            </w:r>
            <w:r w:rsidRPr="00590287">
              <w:rPr>
                <w:rFonts w:ascii="Times New Roman" w:hAnsi="Times New Roman" w:cs="Times New Roman"/>
                <w:bCs/>
                <w:sz w:val="20"/>
                <w:szCs w:val="20"/>
                <w:lang w:val="en-GB"/>
              </w:rPr>
              <w:t xml:space="preserve"> </w:t>
            </w:r>
            <w:r w:rsidRPr="00590287">
              <w:rPr>
                <w:rFonts w:ascii="Times New Roman" w:hAnsi="Times New Roman" w:cs="Times New Roman"/>
                <w:b/>
                <w:sz w:val="20"/>
                <w:szCs w:val="20"/>
                <w:lang w:val="en-GB"/>
              </w:rPr>
              <w:t>GRVA-02-</w:t>
            </w:r>
            <w:r w:rsidR="00B15543">
              <w:rPr>
                <w:rFonts w:ascii="Times New Roman" w:hAnsi="Times New Roman" w:cs="Times New Roman"/>
                <w:b/>
                <w:sz w:val="20"/>
                <w:szCs w:val="20"/>
                <w:lang w:val="en-GB"/>
              </w:rPr>
              <w:t>10</w:t>
            </w:r>
            <w:r w:rsidR="00B15543">
              <w:rPr>
                <w:rFonts w:ascii="Times New Roman" w:hAnsi="Times New Roman" w:cs="Times New Roman"/>
                <w:b/>
                <w:sz w:val="20"/>
                <w:szCs w:val="20"/>
                <w:lang w:val="en-GB"/>
              </w:rPr>
              <w:br/>
            </w:r>
            <w:r w:rsidRPr="00590287">
              <w:rPr>
                <w:rFonts w:ascii="Times New Roman" w:hAnsi="Times New Roman" w:cs="Times New Roman"/>
                <w:bCs/>
                <w:sz w:val="20"/>
                <w:szCs w:val="20"/>
                <w:lang w:val="en-GB"/>
              </w:rPr>
              <w:t>2nd GRVA</w:t>
            </w:r>
            <w:r w:rsidR="0053188C">
              <w:rPr>
                <w:rFonts w:ascii="Times New Roman" w:hAnsi="Times New Roman" w:cs="Times New Roman"/>
                <w:bCs/>
                <w:sz w:val="20"/>
                <w:szCs w:val="20"/>
                <w:lang w:val="en-GB"/>
              </w:rPr>
              <w:t xml:space="preserve"> session</w:t>
            </w:r>
            <w:r w:rsidRPr="00590287">
              <w:rPr>
                <w:rFonts w:ascii="Times New Roman" w:hAnsi="Times New Roman" w:cs="Times New Roman"/>
                <w:bCs/>
                <w:sz w:val="20"/>
                <w:szCs w:val="20"/>
                <w:lang w:val="en-GB"/>
              </w:rPr>
              <w:t>, 28 January – 1 February 2019</w:t>
            </w:r>
          </w:p>
          <w:p w:rsidR="00C64336" w:rsidRPr="0053188C" w:rsidRDefault="00C64336" w:rsidP="0053188C">
            <w:pPr>
              <w:pStyle w:val="Header"/>
              <w:rPr>
                <w:rFonts w:ascii="Times New Roman" w:hAnsi="Times New Roman" w:cs="Times New Roman"/>
                <w:bCs/>
                <w:sz w:val="20"/>
                <w:szCs w:val="20"/>
              </w:rPr>
            </w:pPr>
            <w:r w:rsidRPr="00590287">
              <w:rPr>
                <w:rFonts w:ascii="Times New Roman" w:hAnsi="Times New Roman" w:cs="Times New Roman"/>
                <w:bCs/>
                <w:sz w:val="20"/>
                <w:szCs w:val="20"/>
                <w:lang w:val="en-GB"/>
              </w:rPr>
              <w:t xml:space="preserve">Agenda item </w:t>
            </w:r>
            <w:r w:rsidR="00762458" w:rsidRPr="0053188C">
              <w:rPr>
                <w:rFonts w:ascii="Times New Roman" w:hAnsi="Times New Roman" w:cs="Times New Roman"/>
                <w:bCs/>
                <w:sz w:val="20"/>
                <w:szCs w:val="20"/>
              </w:rPr>
              <w:t>7(</w:t>
            </w:r>
            <w:r w:rsidR="00762458">
              <w:rPr>
                <w:rFonts w:ascii="Times New Roman" w:hAnsi="Times New Roman" w:cs="Times New Roman"/>
                <w:bCs/>
                <w:sz w:val="20"/>
                <w:szCs w:val="20"/>
                <w:lang w:val="ru-RU"/>
              </w:rPr>
              <w:t>с</w:t>
            </w:r>
            <w:r w:rsidR="00762458" w:rsidRPr="0053188C">
              <w:rPr>
                <w:rFonts w:ascii="Times New Roman" w:hAnsi="Times New Roman" w:cs="Times New Roman"/>
                <w:bCs/>
                <w:sz w:val="20"/>
                <w:szCs w:val="20"/>
              </w:rPr>
              <w:t>)</w:t>
            </w:r>
          </w:p>
        </w:tc>
      </w:tr>
    </w:tbl>
    <w:p w:rsidR="001A3319" w:rsidRPr="0053188C" w:rsidRDefault="001A3319" w:rsidP="001A3319">
      <w:pPr>
        <w:tabs>
          <w:tab w:val="left" w:pos="567"/>
        </w:tabs>
        <w:rPr>
          <w:b/>
          <w:bCs/>
          <w:sz w:val="28"/>
          <w:szCs w:val="28"/>
          <w:lang w:val="en-US"/>
        </w:rPr>
      </w:pPr>
    </w:p>
    <w:p w:rsidR="00C64336" w:rsidRDefault="00C64336" w:rsidP="001A3319">
      <w:pPr>
        <w:tabs>
          <w:tab w:val="left" w:pos="567"/>
        </w:tabs>
        <w:rPr>
          <w:b/>
          <w:bCs/>
          <w:sz w:val="28"/>
          <w:szCs w:val="28"/>
          <w:lang w:val="en-US"/>
        </w:rPr>
      </w:pPr>
    </w:p>
    <w:p w:rsidR="005E731C" w:rsidRDefault="005E731C" w:rsidP="001A3319">
      <w:pPr>
        <w:tabs>
          <w:tab w:val="left" w:pos="567"/>
        </w:tabs>
        <w:rPr>
          <w:b/>
          <w:bCs/>
          <w:sz w:val="28"/>
          <w:szCs w:val="28"/>
          <w:lang w:val="en-US"/>
        </w:rPr>
      </w:pPr>
    </w:p>
    <w:p w:rsidR="00C64336" w:rsidRDefault="00C64336" w:rsidP="00C64336">
      <w:pPr>
        <w:tabs>
          <w:tab w:val="left" w:pos="567"/>
        </w:tabs>
        <w:ind w:left="1134"/>
        <w:rPr>
          <w:b/>
          <w:bCs/>
          <w:sz w:val="28"/>
          <w:szCs w:val="28"/>
          <w:lang w:val="en-US"/>
        </w:rPr>
      </w:pPr>
      <w:r w:rsidRPr="00C64336">
        <w:rPr>
          <w:b/>
          <w:bCs/>
          <w:sz w:val="28"/>
          <w:szCs w:val="28"/>
          <w:lang w:val="en-US"/>
        </w:rPr>
        <w:t xml:space="preserve">Proposal for </w:t>
      </w:r>
      <w:r w:rsidR="0053188C">
        <w:rPr>
          <w:b/>
          <w:bCs/>
          <w:sz w:val="28"/>
          <w:szCs w:val="28"/>
          <w:lang w:val="en-US"/>
        </w:rPr>
        <w:t xml:space="preserve">a Supplement to the 11 </w:t>
      </w:r>
      <w:r w:rsidR="00B15543">
        <w:rPr>
          <w:b/>
          <w:bCs/>
          <w:sz w:val="28"/>
          <w:szCs w:val="28"/>
          <w:lang w:val="en-US"/>
        </w:rPr>
        <w:t>s</w:t>
      </w:r>
      <w:r w:rsidR="0053188C">
        <w:rPr>
          <w:b/>
          <w:bCs/>
          <w:sz w:val="28"/>
          <w:szCs w:val="28"/>
          <w:lang w:val="en-US"/>
        </w:rPr>
        <w:t xml:space="preserve">eries of </w:t>
      </w:r>
      <w:r w:rsidR="00B15543">
        <w:rPr>
          <w:b/>
          <w:bCs/>
          <w:sz w:val="28"/>
          <w:szCs w:val="28"/>
          <w:lang w:val="en-US"/>
        </w:rPr>
        <w:t>a</w:t>
      </w:r>
      <w:r w:rsidRPr="00C64336">
        <w:rPr>
          <w:b/>
          <w:bCs/>
          <w:sz w:val="28"/>
          <w:szCs w:val="28"/>
          <w:lang w:val="en-US"/>
        </w:rPr>
        <w:t>mendment</w:t>
      </w:r>
      <w:r w:rsidR="0053188C">
        <w:rPr>
          <w:b/>
          <w:bCs/>
          <w:sz w:val="28"/>
          <w:szCs w:val="28"/>
          <w:lang w:val="en-US"/>
        </w:rPr>
        <w:t>s</w:t>
      </w:r>
      <w:r w:rsidR="0053188C">
        <w:rPr>
          <w:b/>
          <w:bCs/>
          <w:sz w:val="28"/>
          <w:szCs w:val="28"/>
          <w:lang w:val="en-US"/>
        </w:rPr>
        <w:br/>
      </w:r>
      <w:r w:rsidRPr="00C64336">
        <w:rPr>
          <w:b/>
          <w:bCs/>
          <w:sz w:val="28"/>
          <w:szCs w:val="28"/>
          <w:lang w:val="en-US"/>
        </w:rPr>
        <w:t xml:space="preserve">to </w:t>
      </w:r>
      <w:r w:rsidR="0053188C">
        <w:rPr>
          <w:b/>
          <w:bCs/>
          <w:sz w:val="28"/>
          <w:szCs w:val="28"/>
          <w:lang w:val="en-US"/>
        </w:rPr>
        <w:t xml:space="preserve">UN </w:t>
      </w:r>
      <w:r w:rsidRPr="00C64336">
        <w:rPr>
          <w:b/>
          <w:bCs/>
          <w:sz w:val="28"/>
          <w:szCs w:val="28"/>
          <w:lang w:val="en-US"/>
        </w:rPr>
        <w:t>Regulation No. 13 (</w:t>
      </w:r>
      <w:r w:rsidR="0053188C">
        <w:rPr>
          <w:b/>
          <w:bCs/>
          <w:sz w:val="28"/>
          <w:szCs w:val="28"/>
          <w:lang w:val="en-US"/>
        </w:rPr>
        <w:t xml:space="preserve">Heavy Vehicle </w:t>
      </w:r>
      <w:r w:rsidRPr="00C64336">
        <w:rPr>
          <w:b/>
          <w:bCs/>
          <w:sz w:val="28"/>
          <w:szCs w:val="28"/>
          <w:lang w:val="en-US"/>
        </w:rPr>
        <w:t>Braking)</w:t>
      </w:r>
    </w:p>
    <w:p w:rsidR="00C64336" w:rsidRDefault="00C64336" w:rsidP="00C64336">
      <w:pPr>
        <w:tabs>
          <w:tab w:val="left" w:pos="567"/>
        </w:tabs>
        <w:ind w:left="1134"/>
        <w:rPr>
          <w:b/>
          <w:bCs/>
          <w:sz w:val="28"/>
          <w:szCs w:val="28"/>
          <w:lang w:val="en-US"/>
        </w:rPr>
      </w:pPr>
    </w:p>
    <w:p w:rsidR="0053188C" w:rsidRPr="00835EC3" w:rsidRDefault="0053188C" w:rsidP="00835EC3">
      <w:pPr>
        <w:tabs>
          <w:tab w:val="left" w:pos="567"/>
        </w:tabs>
        <w:ind w:left="1134" w:right="1133"/>
        <w:jc w:val="both"/>
        <w:rPr>
          <w:b/>
          <w:bCs/>
          <w:sz w:val="18"/>
          <w:szCs w:val="28"/>
          <w:lang w:val="en-US"/>
        </w:rPr>
      </w:pPr>
      <w:r w:rsidRPr="0053188C">
        <w:rPr>
          <w:sz w:val="20"/>
          <w:u w:val="single"/>
          <w:lang w:val="en-GB"/>
        </w:rPr>
        <w:t>Note:</w:t>
      </w:r>
      <w:r w:rsidRPr="0053188C">
        <w:rPr>
          <w:sz w:val="20"/>
          <w:lang w:val="en-GB"/>
        </w:rPr>
        <w:t xml:space="preserve"> This proposal aims at </w:t>
      </w:r>
      <w:r w:rsidR="00835EC3">
        <w:rPr>
          <w:sz w:val="20"/>
          <w:lang w:val="en-GB"/>
        </w:rPr>
        <w:t xml:space="preserve">clarification of the test method for the evaluation of performance of </w:t>
      </w:r>
      <w:r w:rsidR="00835EC3" w:rsidRPr="00835EC3">
        <w:rPr>
          <w:iCs/>
          <w:sz w:val="20"/>
          <w:szCs w:val="20"/>
          <w:lang w:val="en-US"/>
        </w:rPr>
        <w:t>energy sources and energy storage devices</w:t>
      </w:r>
      <w:r w:rsidR="00835EC3">
        <w:rPr>
          <w:sz w:val="20"/>
          <w:lang w:val="en-US"/>
        </w:rPr>
        <w:t xml:space="preserve"> reproduced in Annex 7 to the UN Regulation No. 13. </w:t>
      </w:r>
      <w:r w:rsidR="00835EC3" w:rsidRPr="00835EC3">
        <w:rPr>
          <w:sz w:val="20"/>
          <w:lang w:val="en-US"/>
        </w:rPr>
        <w:t>The modifications are marked in bold for new or strikethrough for deleted characters.</w:t>
      </w:r>
    </w:p>
    <w:p w:rsidR="00C64336" w:rsidRDefault="00C64336" w:rsidP="00C64336">
      <w:pPr>
        <w:tabs>
          <w:tab w:val="left" w:pos="567"/>
        </w:tabs>
        <w:ind w:left="1134"/>
        <w:rPr>
          <w:b/>
          <w:bCs/>
          <w:sz w:val="28"/>
          <w:szCs w:val="28"/>
          <w:lang w:val="en-US"/>
        </w:rPr>
      </w:pPr>
      <w:bookmarkStart w:id="0" w:name="_GoBack"/>
      <w:bookmarkEnd w:id="0"/>
    </w:p>
    <w:p w:rsidR="005E731C" w:rsidRPr="00C64336" w:rsidRDefault="005E731C" w:rsidP="00C64336">
      <w:pPr>
        <w:tabs>
          <w:tab w:val="left" w:pos="567"/>
        </w:tabs>
        <w:ind w:left="1134"/>
        <w:rPr>
          <w:b/>
          <w:bCs/>
          <w:sz w:val="28"/>
          <w:szCs w:val="28"/>
          <w:lang w:val="en-US"/>
        </w:rPr>
      </w:pPr>
    </w:p>
    <w:p w:rsidR="00CF0DDF" w:rsidRPr="006D16AA" w:rsidRDefault="00F24131" w:rsidP="009E66E4">
      <w:pPr>
        <w:tabs>
          <w:tab w:val="left" w:pos="1134"/>
        </w:tabs>
        <w:ind w:left="1134" w:hanging="567"/>
        <w:rPr>
          <w:i/>
          <w:lang w:val="en-US"/>
        </w:rPr>
      </w:pPr>
      <w:r w:rsidRPr="0053188C">
        <w:rPr>
          <w:b/>
          <w:bCs/>
          <w:sz w:val="28"/>
          <w:szCs w:val="28"/>
          <w:lang w:val="en-US"/>
        </w:rPr>
        <w:t>I.</w:t>
      </w:r>
      <w:r w:rsidRPr="0053188C">
        <w:rPr>
          <w:b/>
          <w:bCs/>
          <w:sz w:val="28"/>
          <w:szCs w:val="28"/>
          <w:lang w:val="en-US"/>
        </w:rPr>
        <w:tab/>
      </w:r>
      <w:r w:rsidR="00B96432">
        <w:rPr>
          <w:b/>
          <w:bCs/>
          <w:sz w:val="28"/>
          <w:szCs w:val="28"/>
          <w:lang w:val="en-US"/>
        </w:rPr>
        <w:t>P</w:t>
      </w:r>
      <w:r w:rsidRPr="0053188C">
        <w:rPr>
          <w:b/>
          <w:bCs/>
          <w:sz w:val="28"/>
          <w:szCs w:val="28"/>
          <w:lang w:val="en-US"/>
        </w:rPr>
        <w:t>r</w:t>
      </w:r>
      <w:r w:rsidR="006D16AA">
        <w:rPr>
          <w:b/>
          <w:bCs/>
          <w:sz w:val="28"/>
          <w:szCs w:val="28"/>
          <w:lang w:val="en-US"/>
        </w:rPr>
        <w:t>oposal</w:t>
      </w:r>
    </w:p>
    <w:p w:rsidR="00CF0DDF" w:rsidRPr="0053188C" w:rsidRDefault="00CF0DDF" w:rsidP="00EA2BDC">
      <w:pPr>
        <w:rPr>
          <w:i/>
          <w:lang w:val="en-US"/>
        </w:rPr>
      </w:pPr>
    </w:p>
    <w:p w:rsidR="00C61339" w:rsidRDefault="0053188C" w:rsidP="00835EC3">
      <w:pPr>
        <w:spacing w:after="120" w:line="240" w:lineRule="exact"/>
        <w:ind w:left="1134" w:right="1133"/>
        <w:jc w:val="both"/>
        <w:rPr>
          <w:i/>
          <w:iCs/>
          <w:sz w:val="20"/>
          <w:szCs w:val="20"/>
          <w:lang w:val="en-US"/>
        </w:rPr>
      </w:pPr>
      <w:r w:rsidRPr="0053188C">
        <w:rPr>
          <w:i/>
          <w:iCs/>
          <w:sz w:val="20"/>
          <w:szCs w:val="20"/>
          <w:lang w:val="en-US"/>
        </w:rPr>
        <w:t>Annex</w:t>
      </w:r>
      <w:r w:rsidR="00CF0DDF" w:rsidRPr="0053188C">
        <w:rPr>
          <w:i/>
          <w:iCs/>
          <w:sz w:val="20"/>
          <w:szCs w:val="20"/>
          <w:lang w:val="en-US"/>
        </w:rPr>
        <w:t xml:space="preserve"> 7</w:t>
      </w:r>
      <w:r w:rsidRPr="0053188C">
        <w:rPr>
          <w:i/>
          <w:iCs/>
          <w:sz w:val="20"/>
          <w:szCs w:val="20"/>
          <w:lang w:val="en-US"/>
        </w:rPr>
        <w:t xml:space="preserve"> (</w:t>
      </w:r>
      <w:bookmarkStart w:id="1" w:name="_Toc381019041"/>
      <w:bookmarkStart w:id="2" w:name="_Toc381088850"/>
      <w:r w:rsidRPr="0053188C">
        <w:rPr>
          <w:i/>
          <w:iCs/>
          <w:sz w:val="20"/>
          <w:szCs w:val="20"/>
          <w:lang w:val="en-US"/>
        </w:rPr>
        <w:t>Provisions relating to energy sources and energy storage devices (energy accumulators)</w:t>
      </w:r>
      <w:bookmarkEnd w:id="1"/>
      <w:bookmarkEnd w:id="2"/>
      <w:r w:rsidR="00CF0DDF" w:rsidRPr="0053188C">
        <w:rPr>
          <w:i/>
          <w:iCs/>
          <w:sz w:val="20"/>
          <w:szCs w:val="20"/>
          <w:lang w:val="en-US"/>
        </w:rPr>
        <w:t xml:space="preserve">, </w:t>
      </w:r>
      <w:r w:rsidRPr="0053188C">
        <w:rPr>
          <w:i/>
          <w:iCs/>
          <w:sz w:val="20"/>
          <w:szCs w:val="20"/>
          <w:lang w:val="en-US"/>
        </w:rPr>
        <w:t>Part</w:t>
      </w:r>
      <w:r w:rsidR="00CF0DDF" w:rsidRPr="0053188C">
        <w:rPr>
          <w:i/>
          <w:iCs/>
          <w:sz w:val="20"/>
          <w:szCs w:val="20"/>
          <w:lang w:val="en-US"/>
        </w:rPr>
        <w:t xml:space="preserve"> </w:t>
      </w:r>
      <w:r w:rsidR="00CF0DDF" w:rsidRPr="0053188C">
        <w:rPr>
          <w:i/>
          <w:iCs/>
          <w:sz w:val="20"/>
          <w:szCs w:val="20"/>
        </w:rPr>
        <w:t>А</w:t>
      </w:r>
      <w:r w:rsidRPr="0053188C">
        <w:rPr>
          <w:i/>
          <w:iCs/>
          <w:sz w:val="20"/>
          <w:szCs w:val="20"/>
          <w:lang w:val="en-US"/>
        </w:rPr>
        <w:t xml:space="preserve"> (Compressed-Air braking systems)</w:t>
      </w:r>
      <w:r w:rsidR="00C61339">
        <w:rPr>
          <w:i/>
          <w:iCs/>
          <w:sz w:val="20"/>
          <w:szCs w:val="20"/>
          <w:lang w:val="en-US"/>
        </w:rPr>
        <w:t>:</w:t>
      </w:r>
      <w:r w:rsidRPr="0053188C">
        <w:rPr>
          <w:i/>
          <w:iCs/>
          <w:sz w:val="20"/>
          <w:szCs w:val="20"/>
          <w:lang w:val="en-US"/>
        </w:rPr>
        <w:t xml:space="preserve"> </w:t>
      </w:r>
    </w:p>
    <w:p w:rsidR="00C61339" w:rsidRDefault="00B15543" w:rsidP="00C61339">
      <w:pPr>
        <w:pStyle w:val="SingleTxtG"/>
        <w:ind w:left="2268" w:hanging="1134"/>
      </w:pPr>
      <w:r>
        <w:t>"</w:t>
      </w:r>
      <w:r w:rsidR="00C61339">
        <w:t>…</w:t>
      </w:r>
    </w:p>
    <w:p w:rsidR="00C61339" w:rsidRDefault="00C61339" w:rsidP="00C61339">
      <w:pPr>
        <w:pStyle w:val="SingleTxtG"/>
        <w:ind w:left="2268" w:hanging="1134"/>
      </w:pPr>
      <w:r w:rsidRPr="009B02E6">
        <w:t>1.2.1.</w:t>
      </w:r>
      <w:r w:rsidRPr="009B02E6">
        <w:tab/>
        <w:t>The energy storage devices (energy reservoirs) of power-driven vehicles shall be such that after eight full-stroke actuations of the service braking system control the pressure remaining in the energy storage device(s) shall be not less than the pressure required to obtain the specified secondary braking performance.</w:t>
      </w:r>
    </w:p>
    <w:p w:rsidR="00C61339" w:rsidRPr="009B02E6" w:rsidRDefault="00C61339" w:rsidP="00C61339">
      <w:pPr>
        <w:pStyle w:val="SingleTxtG"/>
        <w:ind w:left="2268" w:hanging="1134"/>
      </w:pPr>
      <w:r>
        <w:t>…</w:t>
      </w:r>
      <w:r w:rsidR="00B15543">
        <w:t>"</w:t>
      </w:r>
    </w:p>
    <w:p w:rsidR="00C31017" w:rsidRPr="0053188C" w:rsidRDefault="00B15543" w:rsidP="00835EC3">
      <w:pPr>
        <w:spacing w:after="120" w:line="240" w:lineRule="exact"/>
        <w:ind w:left="1134" w:right="1133"/>
        <w:jc w:val="both"/>
        <w:rPr>
          <w:iCs/>
          <w:sz w:val="20"/>
          <w:szCs w:val="20"/>
          <w:lang w:val="en-US"/>
        </w:rPr>
      </w:pPr>
      <w:r>
        <w:rPr>
          <w:i/>
          <w:iCs/>
          <w:sz w:val="20"/>
          <w:szCs w:val="20"/>
          <w:lang w:val="en-US"/>
        </w:rPr>
        <w:t>P</w:t>
      </w:r>
      <w:r w:rsidR="0053188C" w:rsidRPr="0053188C">
        <w:rPr>
          <w:i/>
          <w:iCs/>
          <w:sz w:val="20"/>
          <w:szCs w:val="20"/>
          <w:lang w:val="en-US"/>
        </w:rPr>
        <w:t>aragraph 1.2.2.3</w:t>
      </w:r>
      <w:r w:rsidR="00C61339">
        <w:rPr>
          <w:i/>
          <w:iCs/>
          <w:sz w:val="20"/>
          <w:szCs w:val="20"/>
          <w:lang w:val="en-US"/>
        </w:rPr>
        <w:t>.</w:t>
      </w:r>
      <w:r w:rsidR="0053188C">
        <w:rPr>
          <w:i/>
          <w:iCs/>
          <w:sz w:val="20"/>
          <w:szCs w:val="20"/>
          <w:lang w:val="en-US"/>
        </w:rPr>
        <w:t>,</w:t>
      </w:r>
      <w:r w:rsidR="0053188C" w:rsidRPr="0053188C">
        <w:rPr>
          <w:iCs/>
          <w:sz w:val="20"/>
          <w:szCs w:val="20"/>
          <w:lang w:val="en-US"/>
        </w:rPr>
        <w:t xml:space="preserve"> </w:t>
      </w:r>
      <w:r w:rsidR="0053188C">
        <w:rPr>
          <w:iCs/>
          <w:sz w:val="20"/>
          <w:szCs w:val="20"/>
          <w:lang w:val="en-US"/>
        </w:rPr>
        <w:t>amend to read:</w:t>
      </w:r>
    </w:p>
    <w:p w:rsidR="0053188C" w:rsidRPr="009B02E6" w:rsidRDefault="00B15543" w:rsidP="0053188C">
      <w:pPr>
        <w:pStyle w:val="SingleTxtG"/>
        <w:ind w:left="2268" w:hanging="1134"/>
      </w:pPr>
      <w:r>
        <w:t>"</w:t>
      </w:r>
      <w:r w:rsidR="0053188C" w:rsidRPr="009B02E6">
        <w:t>1.2.2.3.</w:t>
      </w:r>
      <w:r w:rsidR="0053188C" w:rsidRPr="009B02E6">
        <w:tab/>
        <w:t>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w:t>
      </w:r>
      <w:r w:rsidR="0053188C">
        <w:t xml:space="preserve"> </w:t>
      </w:r>
      <w:r w:rsidR="0053188C" w:rsidRPr="009B02E6">
        <w:t>Before each braking operation, the pressure in this compressed-air reservoir shall be completely eliminated.</w:t>
      </w:r>
      <w:r w:rsidR="0053188C">
        <w:t xml:space="preserve"> </w:t>
      </w:r>
      <w:r w:rsidR="0053188C" w:rsidRPr="009B02E6">
        <w:t xml:space="preserve">After the test referred to in paragraph 1.2.1. above, </w:t>
      </w:r>
      <w:r w:rsidR="005728BF" w:rsidRPr="00C61339">
        <w:rPr>
          <w:b/>
          <w:lang w:val="en-US"/>
        </w:rPr>
        <w:t xml:space="preserve">at the consequent </w:t>
      </w:r>
      <w:r w:rsidR="00C61339" w:rsidRPr="00C61339">
        <w:rPr>
          <w:b/>
          <w:lang w:val="en-US"/>
        </w:rPr>
        <w:t xml:space="preserve">(ninth) actuation </w:t>
      </w:r>
      <w:r w:rsidR="00C61339" w:rsidRPr="00C61339">
        <w:rPr>
          <w:b/>
        </w:rPr>
        <w:t>of the service braking system control,</w:t>
      </w:r>
      <w:r w:rsidR="00C61339" w:rsidRPr="00C61339">
        <w:rPr>
          <w:b/>
          <w:lang w:val="en-US"/>
        </w:rPr>
        <w:t xml:space="preserve"> </w:t>
      </w:r>
      <w:r w:rsidR="0053188C" w:rsidRPr="009B02E6">
        <w:t>the energy level supplied to the pneumatic control line shall not fall below a level equivalent to one-half the figure obtained at the first brake application.</w:t>
      </w:r>
      <w:r>
        <w:t>"</w:t>
      </w:r>
    </w:p>
    <w:p w:rsidR="00C61339" w:rsidRDefault="00C61339" w:rsidP="00C61339">
      <w:pPr>
        <w:spacing w:after="120" w:line="240" w:lineRule="exact"/>
        <w:ind w:left="1134" w:right="1133"/>
        <w:jc w:val="both"/>
        <w:rPr>
          <w:i/>
          <w:iCs/>
          <w:sz w:val="20"/>
          <w:szCs w:val="20"/>
          <w:lang w:val="en-US"/>
        </w:rPr>
      </w:pPr>
      <w:r w:rsidRPr="0053188C">
        <w:rPr>
          <w:i/>
          <w:iCs/>
          <w:sz w:val="20"/>
          <w:szCs w:val="20"/>
          <w:lang w:val="en-US"/>
        </w:rPr>
        <w:t xml:space="preserve">Annex 7, Part </w:t>
      </w:r>
      <w:r>
        <w:rPr>
          <w:i/>
          <w:iCs/>
          <w:sz w:val="20"/>
          <w:szCs w:val="20"/>
          <w:lang w:val="en-US"/>
        </w:rPr>
        <w:t>B</w:t>
      </w:r>
      <w:r w:rsidRPr="0053188C">
        <w:rPr>
          <w:i/>
          <w:iCs/>
          <w:sz w:val="20"/>
          <w:szCs w:val="20"/>
          <w:lang w:val="en-US"/>
        </w:rPr>
        <w:t xml:space="preserve"> (</w:t>
      </w:r>
      <w:r>
        <w:rPr>
          <w:i/>
          <w:iCs/>
          <w:sz w:val="20"/>
          <w:szCs w:val="20"/>
          <w:lang w:val="en-US"/>
        </w:rPr>
        <w:t>Vacuum</w:t>
      </w:r>
      <w:r w:rsidRPr="0053188C">
        <w:rPr>
          <w:i/>
          <w:iCs/>
          <w:sz w:val="20"/>
          <w:szCs w:val="20"/>
          <w:lang w:val="en-US"/>
        </w:rPr>
        <w:t xml:space="preserve"> braking systems)</w:t>
      </w:r>
      <w:r>
        <w:rPr>
          <w:i/>
          <w:iCs/>
          <w:sz w:val="20"/>
          <w:szCs w:val="20"/>
          <w:lang w:val="en-US"/>
        </w:rPr>
        <w:t>:</w:t>
      </w:r>
    </w:p>
    <w:p w:rsidR="002A5042" w:rsidRDefault="00B15543" w:rsidP="002A5042">
      <w:pPr>
        <w:pStyle w:val="SingleTxtG"/>
        <w:ind w:left="2268" w:hanging="1134"/>
      </w:pPr>
      <w:r>
        <w:t>"</w:t>
      </w:r>
      <w:r w:rsidR="002A5042">
        <w:t>…</w:t>
      </w:r>
    </w:p>
    <w:p w:rsidR="002A5042" w:rsidRPr="009B02E6" w:rsidRDefault="002A5042" w:rsidP="002A5042">
      <w:pPr>
        <w:pStyle w:val="SingleTxtG"/>
        <w:ind w:left="2268" w:hanging="1134"/>
      </w:pPr>
      <w:r w:rsidRPr="009B02E6">
        <w:t>1.2.1.</w:t>
      </w:r>
      <w:r w:rsidRPr="009B02E6">
        <w:tab/>
        <w:t>The energy storage devices (energy reservoirs) of power-driven vehicles shall be such that it is still possible to achieve the performance prescribed for the secondary braking system:</w:t>
      </w:r>
    </w:p>
    <w:p w:rsidR="002A5042" w:rsidRPr="009B02E6" w:rsidRDefault="002A5042" w:rsidP="002A5042">
      <w:pPr>
        <w:pStyle w:val="SingleTxtG"/>
        <w:ind w:left="2268" w:hanging="1134"/>
      </w:pPr>
      <w:r w:rsidRPr="009B02E6">
        <w:t>1.2.1.1.</w:t>
      </w:r>
      <w:r w:rsidRPr="009B02E6">
        <w:tab/>
      </w:r>
      <w:r>
        <w:t>A</w:t>
      </w:r>
      <w:r w:rsidRPr="009B02E6">
        <w:t>fter eight full-stroke actuations of the service braking system control where the energy source is a vacuum pump; and</w:t>
      </w:r>
    </w:p>
    <w:p w:rsidR="002A5042" w:rsidRDefault="002A5042" w:rsidP="002A5042">
      <w:pPr>
        <w:pStyle w:val="SingleTxtG"/>
        <w:ind w:left="2268" w:hanging="1134"/>
      </w:pPr>
      <w:r w:rsidRPr="009B02E6">
        <w:t>1.2.1.2.</w:t>
      </w:r>
      <w:r w:rsidRPr="009B02E6">
        <w:tab/>
      </w:r>
      <w:r>
        <w:t>A</w:t>
      </w:r>
      <w:r w:rsidRPr="009B02E6">
        <w:t>fter four full-stroke actuations of the service brake control where the energy source is the engine.</w:t>
      </w:r>
    </w:p>
    <w:p w:rsidR="002A5042" w:rsidRPr="009B02E6" w:rsidRDefault="00B15543" w:rsidP="002A5042">
      <w:pPr>
        <w:pStyle w:val="SingleTxtG"/>
        <w:ind w:left="2268" w:hanging="1134"/>
      </w:pPr>
      <w:r>
        <w:t>…"</w:t>
      </w:r>
    </w:p>
    <w:p w:rsidR="002A5042" w:rsidRDefault="002A5042" w:rsidP="00C61339">
      <w:pPr>
        <w:spacing w:after="120" w:line="240" w:lineRule="exact"/>
        <w:ind w:left="1134" w:right="1133"/>
        <w:jc w:val="both"/>
        <w:rPr>
          <w:i/>
          <w:iCs/>
          <w:sz w:val="20"/>
          <w:szCs w:val="20"/>
          <w:lang w:val="en-US"/>
        </w:rPr>
      </w:pPr>
    </w:p>
    <w:p w:rsidR="002A5042" w:rsidRDefault="002A5042" w:rsidP="00C61339">
      <w:pPr>
        <w:spacing w:after="120" w:line="240" w:lineRule="exact"/>
        <w:ind w:left="1134" w:right="1133"/>
        <w:jc w:val="both"/>
        <w:rPr>
          <w:i/>
          <w:iCs/>
          <w:sz w:val="20"/>
          <w:szCs w:val="20"/>
          <w:lang w:val="en-US"/>
        </w:rPr>
      </w:pPr>
    </w:p>
    <w:p w:rsidR="002A5042" w:rsidRDefault="002A5042" w:rsidP="00C61339">
      <w:pPr>
        <w:spacing w:after="120" w:line="240" w:lineRule="exact"/>
        <w:ind w:left="1134" w:right="1133"/>
        <w:jc w:val="both"/>
        <w:rPr>
          <w:i/>
          <w:iCs/>
          <w:sz w:val="20"/>
          <w:szCs w:val="20"/>
          <w:lang w:val="en-US"/>
        </w:rPr>
      </w:pPr>
    </w:p>
    <w:p w:rsidR="00C61339" w:rsidRPr="0053188C" w:rsidRDefault="00B15543" w:rsidP="00C61339">
      <w:pPr>
        <w:spacing w:after="120" w:line="240" w:lineRule="exact"/>
        <w:ind w:left="1134" w:right="1133"/>
        <w:jc w:val="both"/>
        <w:rPr>
          <w:iCs/>
          <w:sz w:val="20"/>
          <w:szCs w:val="20"/>
          <w:lang w:val="en-US"/>
        </w:rPr>
      </w:pPr>
      <w:r>
        <w:rPr>
          <w:i/>
          <w:iCs/>
          <w:sz w:val="20"/>
          <w:szCs w:val="20"/>
          <w:lang w:val="en-US"/>
        </w:rPr>
        <w:t>P</w:t>
      </w:r>
      <w:r w:rsidR="00C61339" w:rsidRPr="0053188C">
        <w:rPr>
          <w:i/>
          <w:iCs/>
          <w:sz w:val="20"/>
          <w:szCs w:val="20"/>
          <w:lang w:val="en-US"/>
        </w:rPr>
        <w:t>aragraph 1.2.2.3</w:t>
      </w:r>
      <w:r w:rsidR="00C61339">
        <w:rPr>
          <w:i/>
          <w:iCs/>
          <w:sz w:val="20"/>
          <w:szCs w:val="20"/>
          <w:lang w:val="en-US"/>
        </w:rPr>
        <w:t>.,</w:t>
      </w:r>
      <w:r w:rsidR="00C61339" w:rsidRPr="0053188C">
        <w:rPr>
          <w:iCs/>
          <w:sz w:val="20"/>
          <w:szCs w:val="20"/>
          <w:lang w:val="en-US"/>
        </w:rPr>
        <w:t xml:space="preserve"> </w:t>
      </w:r>
      <w:r w:rsidR="00C61339">
        <w:rPr>
          <w:iCs/>
          <w:sz w:val="20"/>
          <w:szCs w:val="20"/>
          <w:lang w:val="en-US"/>
        </w:rPr>
        <w:t>amend to read:</w:t>
      </w:r>
    </w:p>
    <w:p w:rsidR="002A5042" w:rsidRPr="009B02E6" w:rsidRDefault="00B15543" w:rsidP="001442A4">
      <w:pPr>
        <w:pStyle w:val="SingleTxtG"/>
        <w:ind w:left="2268" w:hanging="1134"/>
      </w:pPr>
      <w:r>
        <w:t>"</w:t>
      </w:r>
      <w:r w:rsidR="002A5042" w:rsidRPr="009B02E6">
        <w:t>1.2.2.3.</w:t>
      </w:r>
      <w:r w:rsidR="002A5042" w:rsidRPr="009B02E6">
        <w:tab/>
      </w:r>
      <w:r w:rsidR="002A5042">
        <w:t>I</w:t>
      </w:r>
      <w:r w:rsidR="002A5042" w:rsidRPr="009B02E6">
        <w:t>n the case of a power-driven vehicle authorized to tow a trailer, the supply line shall be stopped and an energy storage device of 0.5 litre capacity shall be connected to the control line.</w:t>
      </w:r>
      <w:r w:rsidR="002A5042">
        <w:t xml:space="preserve"> </w:t>
      </w:r>
      <w:r w:rsidR="002A5042" w:rsidRPr="009B02E6">
        <w:t>After the test referred to in paragraph</w:t>
      </w:r>
      <w:r w:rsidR="002A5042">
        <w:t> </w:t>
      </w:r>
      <w:r w:rsidR="002A5042" w:rsidRPr="009B02E6">
        <w:t xml:space="preserve">1.2.1. above, </w:t>
      </w:r>
      <w:r w:rsidR="002A5042" w:rsidRPr="00C61339">
        <w:rPr>
          <w:b/>
          <w:lang w:val="en-US"/>
        </w:rPr>
        <w:t xml:space="preserve">at the </w:t>
      </w:r>
      <w:r w:rsidR="002A5042">
        <w:rPr>
          <w:b/>
          <w:lang w:val="en-US"/>
        </w:rPr>
        <w:t>additional</w:t>
      </w:r>
      <w:r w:rsidR="002A5042" w:rsidRPr="00C61339">
        <w:rPr>
          <w:b/>
          <w:lang w:val="en-US"/>
        </w:rPr>
        <w:t xml:space="preserve"> actuation </w:t>
      </w:r>
      <w:r w:rsidR="002A5042" w:rsidRPr="00C61339">
        <w:rPr>
          <w:b/>
        </w:rPr>
        <w:t>of the service braking system control,</w:t>
      </w:r>
      <w:r w:rsidR="002A5042" w:rsidRPr="00C61339">
        <w:rPr>
          <w:b/>
          <w:lang w:val="en-US"/>
        </w:rPr>
        <w:t xml:space="preserve"> </w:t>
      </w:r>
      <w:r w:rsidR="002A5042" w:rsidRPr="009B02E6">
        <w:t>the vacuum level provided at the control line shall not have fallen below a level equivalent to one-half of the figure obtained at the first brake application.</w:t>
      </w:r>
      <w:r w:rsidR="00DD442E">
        <w:t>”</w:t>
      </w:r>
    </w:p>
    <w:p w:rsidR="009E66E4" w:rsidRPr="00B15543" w:rsidRDefault="009E66E4" w:rsidP="00DA032B">
      <w:pPr>
        <w:ind w:left="1560" w:hanging="1560"/>
        <w:rPr>
          <w:lang w:val="en-GB"/>
        </w:rPr>
      </w:pPr>
    </w:p>
    <w:p w:rsidR="00485880" w:rsidRPr="00DD442E" w:rsidRDefault="009E66E4" w:rsidP="009E66E4">
      <w:pPr>
        <w:ind w:left="1134" w:hanging="567"/>
        <w:rPr>
          <w:lang w:val="en-US"/>
        </w:rPr>
      </w:pPr>
      <w:r w:rsidRPr="00DD442E">
        <w:rPr>
          <w:b/>
          <w:bCs/>
          <w:sz w:val="28"/>
          <w:szCs w:val="28"/>
          <w:lang w:val="en-US"/>
        </w:rPr>
        <w:t>II.</w:t>
      </w:r>
      <w:r w:rsidRPr="00DD442E">
        <w:rPr>
          <w:b/>
          <w:bCs/>
          <w:sz w:val="28"/>
          <w:szCs w:val="28"/>
          <w:lang w:val="en-US"/>
        </w:rPr>
        <w:tab/>
        <w:t>Justification</w:t>
      </w:r>
    </w:p>
    <w:p w:rsidR="00DA032B" w:rsidRPr="00DD442E" w:rsidRDefault="00DA032B" w:rsidP="00126287">
      <w:pPr>
        <w:rPr>
          <w:lang w:val="en-US"/>
        </w:rPr>
      </w:pPr>
    </w:p>
    <w:p w:rsidR="00853B31" w:rsidRDefault="00B15543" w:rsidP="00B21467">
      <w:pPr>
        <w:tabs>
          <w:tab w:val="left" w:pos="567"/>
        </w:tabs>
        <w:spacing w:after="120" w:line="240" w:lineRule="exact"/>
        <w:ind w:left="1134" w:right="1134"/>
        <w:jc w:val="both"/>
        <w:rPr>
          <w:sz w:val="20"/>
          <w:lang w:val="en-GB"/>
        </w:rPr>
      </w:pPr>
      <w:r>
        <w:rPr>
          <w:sz w:val="20"/>
          <w:lang w:val="en-GB"/>
        </w:rPr>
        <w:t>1.</w:t>
      </w:r>
      <w:r w:rsidR="00853B31">
        <w:rPr>
          <w:sz w:val="20"/>
          <w:lang w:val="en-GB"/>
        </w:rPr>
        <w:tab/>
        <w:t xml:space="preserve">The background for the development of this proposal was a </w:t>
      </w:r>
      <w:r w:rsidR="00853B31" w:rsidRPr="00853B31">
        <w:rPr>
          <w:sz w:val="20"/>
          <w:lang w:val="en-GB"/>
        </w:rPr>
        <w:t xml:space="preserve">disagreement </w:t>
      </w:r>
      <w:r w:rsidR="00853B31">
        <w:rPr>
          <w:sz w:val="20"/>
          <w:lang w:val="en-GB"/>
        </w:rPr>
        <w:t xml:space="preserve">between the technical service and </w:t>
      </w:r>
      <w:r w:rsidR="00853B31" w:rsidRPr="00853B31">
        <w:rPr>
          <w:sz w:val="20"/>
          <w:lang w:val="en-GB"/>
        </w:rPr>
        <w:t xml:space="preserve">one of the customers in the interpretation of the test methods according to the UN </w:t>
      </w:r>
      <w:r w:rsidR="00853B31">
        <w:rPr>
          <w:sz w:val="20"/>
          <w:lang w:val="en-GB"/>
        </w:rPr>
        <w:t xml:space="preserve">Regulation No. </w:t>
      </w:r>
      <w:r w:rsidR="00853B31" w:rsidRPr="00853B31">
        <w:rPr>
          <w:sz w:val="20"/>
          <w:lang w:val="en-GB"/>
        </w:rPr>
        <w:t>13</w:t>
      </w:r>
      <w:r w:rsidR="00853B31">
        <w:rPr>
          <w:sz w:val="20"/>
          <w:lang w:val="en-GB"/>
        </w:rPr>
        <w:t>, Annex 7</w:t>
      </w:r>
      <w:r w:rsidR="00853B31" w:rsidRPr="00853B31">
        <w:rPr>
          <w:sz w:val="20"/>
          <w:lang w:val="en-GB"/>
        </w:rPr>
        <w:t>.</w:t>
      </w:r>
    </w:p>
    <w:p w:rsidR="00853B31" w:rsidRDefault="00B15543" w:rsidP="00B21467">
      <w:pPr>
        <w:tabs>
          <w:tab w:val="left" w:pos="567"/>
        </w:tabs>
        <w:spacing w:after="120" w:line="240" w:lineRule="exact"/>
        <w:ind w:left="1134" w:right="1134"/>
        <w:jc w:val="both"/>
        <w:rPr>
          <w:sz w:val="20"/>
          <w:lang w:val="en-GB"/>
        </w:rPr>
      </w:pPr>
      <w:r>
        <w:rPr>
          <w:sz w:val="20"/>
          <w:lang w:val="en-GB"/>
        </w:rPr>
        <w:t>2.</w:t>
      </w:r>
      <w:r w:rsidR="00853B31">
        <w:rPr>
          <w:sz w:val="20"/>
          <w:lang w:val="en-GB"/>
        </w:rPr>
        <w:tab/>
      </w:r>
      <w:r w:rsidR="00853B31" w:rsidRPr="00853B31">
        <w:rPr>
          <w:sz w:val="20"/>
          <w:lang w:val="en-GB"/>
        </w:rPr>
        <w:t xml:space="preserve">When checking the supply of compressed air in the energy storage devices (energy reservoirs) of power-driven vehicles authorized to tow a trailer, the </w:t>
      </w:r>
      <w:r w:rsidR="001442A4">
        <w:rPr>
          <w:sz w:val="20"/>
          <w:lang w:val="en-GB"/>
        </w:rPr>
        <w:t>evaluation</w:t>
      </w:r>
      <w:r w:rsidR="00853B31" w:rsidRPr="00853B31">
        <w:rPr>
          <w:sz w:val="20"/>
          <w:lang w:val="en-GB"/>
        </w:rPr>
        <w:t xml:space="preserve"> of the energy level supplied to the control line in accordance with paragraph 1.2.2.3</w:t>
      </w:r>
      <w:r w:rsidR="001442A4">
        <w:rPr>
          <w:sz w:val="20"/>
          <w:lang w:val="en-GB"/>
        </w:rPr>
        <w:t xml:space="preserve">. of </w:t>
      </w:r>
      <w:r w:rsidR="00853B31" w:rsidRPr="00853B31">
        <w:rPr>
          <w:sz w:val="20"/>
          <w:lang w:val="en-GB"/>
        </w:rPr>
        <w:t xml:space="preserve">Annex 7, </w:t>
      </w:r>
      <w:r w:rsidR="001442A4">
        <w:rPr>
          <w:sz w:val="20"/>
          <w:lang w:val="en-GB"/>
        </w:rPr>
        <w:t>S</w:t>
      </w:r>
      <w:r w:rsidR="00853B31" w:rsidRPr="00853B31">
        <w:rPr>
          <w:sz w:val="20"/>
          <w:lang w:val="en-GB"/>
        </w:rPr>
        <w:t xml:space="preserve">ections </w:t>
      </w:r>
      <w:r w:rsidR="001442A4">
        <w:rPr>
          <w:sz w:val="20"/>
          <w:lang w:val="en-GB"/>
        </w:rPr>
        <w:t xml:space="preserve">A and </w:t>
      </w:r>
      <w:r w:rsidR="00853B31" w:rsidRPr="00853B31">
        <w:rPr>
          <w:sz w:val="20"/>
          <w:lang w:val="en-GB"/>
        </w:rPr>
        <w:t>B</w:t>
      </w:r>
      <w:r w:rsidR="001442A4">
        <w:rPr>
          <w:sz w:val="20"/>
          <w:lang w:val="en-GB"/>
        </w:rPr>
        <w:t xml:space="preserve">, </w:t>
      </w:r>
      <w:r w:rsidR="00853B31" w:rsidRPr="00853B31">
        <w:rPr>
          <w:sz w:val="20"/>
          <w:lang w:val="en-GB"/>
        </w:rPr>
        <w:t xml:space="preserve">the </w:t>
      </w:r>
      <w:r w:rsidR="001442A4">
        <w:rPr>
          <w:sz w:val="20"/>
          <w:lang w:val="en-GB"/>
        </w:rPr>
        <w:t>l</w:t>
      </w:r>
      <w:r w:rsidR="00853B31" w:rsidRPr="00853B31">
        <w:rPr>
          <w:sz w:val="20"/>
          <w:lang w:val="en-GB"/>
        </w:rPr>
        <w:t>evel of energy remaining after the test prescribed in paragraph 1.2.1</w:t>
      </w:r>
      <w:r w:rsidR="001442A4">
        <w:rPr>
          <w:sz w:val="20"/>
          <w:lang w:val="en-GB"/>
        </w:rPr>
        <w:t>. of the respective sections</w:t>
      </w:r>
      <w:r w:rsidR="00853B31" w:rsidRPr="00853B31">
        <w:rPr>
          <w:sz w:val="20"/>
          <w:lang w:val="en-GB"/>
        </w:rPr>
        <w:t xml:space="preserve"> sh</w:t>
      </w:r>
      <w:r w:rsidR="001442A4">
        <w:rPr>
          <w:sz w:val="20"/>
          <w:lang w:val="en-GB"/>
        </w:rPr>
        <w:t>all</w:t>
      </w:r>
      <w:r w:rsidR="00853B31" w:rsidRPr="00853B31">
        <w:rPr>
          <w:sz w:val="20"/>
          <w:lang w:val="en-GB"/>
        </w:rPr>
        <w:t xml:space="preserve"> not fall below half of the value achieved during </w:t>
      </w:r>
      <w:r w:rsidR="001442A4">
        <w:rPr>
          <w:sz w:val="20"/>
          <w:lang w:val="en-GB"/>
        </w:rPr>
        <w:t xml:space="preserve">the </w:t>
      </w:r>
      <w:r w:rsidR="00853B31" w:rsidRPr="00853B31">
        <w:rPr>
          <w:sz w:val="20"/>
          <w:lang w:val="en-GB"/>
        </w:rPr>
        <w:t>first activation of</w:t>
      </w:r>
      <w:r w:rsidR="001442A4">
        <w:rPr>
          <w:sz w:val="20"/>
          <w:lang w:val="en-GB"/>
        </w:rPr>
        <w:t xml:space="preserve"> the</w:t>
      </w:r>
      <w:r w:rsidR="00853B31" w:rsidRPr="00853B31">
        <w:rPr>
          <w:sz w:val="20"/>
          <w:lang w:val="en-GB"/>
        </w:rPr>
        <w:t xml:space="preserve"> brakes. However, the text of the Regulation does not clearly indicate </w:t>
      </w:r>
      <w:r w:rsidR="001442A4">
        <w:rPr>
          <w:sz w:val="20"/>
          <w:lang w:val="en-GB"/>
        </w:rPr>
        <w:t>when</w:t>
      </w:r>
      <w:r w:rsidR="00853B31" w:rsidRPr="00853B31">
        <w:rPr>
          <w:sz w:val="20"/>
          <w:lang w:val="en-GB"/>
        </w:rPr>
        <w:t xml:space="preserve"> the pressure in the control line </w:t>
      </w:r>
      <w:r w:rsidR="001442A4">
        <w:rPr>
          <w:sz w:val="20"/>
          <w:lang w:val="en-GB"/>
        </w:rPr>
        <w:t>shall be</w:t>
      </w:r>
      <w:r w:rsidR="00853B31" w:rsidRPr="00853B31">
        <w:rPr>
          <w:sz w:val="20"/>
          <w:lang w:val="en-GB"/>
        </w:rPr>
        <w:t xml:space="preserve"> measured – </w:t>
      </w:r>
      <w:r w:rsidR="00B21467">
        <w:rPr>
          <w:sz w:val="20"/>
          <w:lang w:val="en-GB"/>
        </w:rPr>
        <w:t>at</w:t>
      </w:r>
      <w:r w:rsidR="00853B31" w:rsidRPr="00853B31">
        <w:rPr>
          <w:sz w:val="20"/>
          <w:lang w:val="en-GB"/>
        </w:rPr>
        <w:t xml:space="preserve"> </w:t>
      </w:r>
      <w:r w:rsidR="001442A4">
        <w:rPr>
          <w:sz w:val="20"/>
          <w:lang w:val="en-GB"/>
        </w:rPr>
        <w:t>the last</w:t>
      </w:r>
      <w:r w:rsidR="00B21467">
        <w:rPr>
          <w:sz w:val="20"/>
          <w:lang w:val="en-GB"/>
        </w:rPr>
        <w:t xml:space="preserve"> (eighth)</w:t>
      </w:r>
      <w:r w:rsidR="001442A4">
        <w:rPr>
          <w:sz w:val="20"/>
          <w:lang w:val="en-GB"/>
        </w:rPr>
        <w:t xml:space="preserve"> </w:t>
      </w:r>
      <w:r w:rsidR="00853B31" w:rsidRPr="00853B31">
        <w:rPr>
          <w:sz w:val="20"/>
          <w:lang w:val="en-GB"/>
        </w:rPr>
        <w:t>pressing the control of the service brak</w:t>
      </w:r>
      <w:r w:rsidR="001442A4">
        <w:rPr>
          <w:sz w:val="20"/>
          <w:lang w:val="en-GB"/>
        </w:rPr>
        <w:t xml:space="preserve">ing system or </w:t>
      </w:r>
      <w:r w:rsidR="00B21467">
        <w:rPr>
          <w:sz w:val="20"/>
          <w:lang w:val="en-GB"/>
        </w:rPr>
        <w:t>at</w:t>
      </w:r>
      <w:r w:rsidR="001442A4">
        <w:rPr>
          <w:sz w:val="20"/>
          <w:lang w:val="en-GB"/>
        </w:rPr>
        <w:t xml:space="preserve"> the additional</w:t>
      </w:r>
      <w:r w:rsidR="00B21467">
        <w:rPr>
          <w:sz w:val="20"/>
          <w:lang w:val="en-GB"/>
        </w:rPr>
        <w:t xml:space="preserve"> (ninth)</w:t>
      </w:r>
      <w:r w:rsidR="001442A4">
        <w:rPr>
          <w:sz w:val="20"/>
          <w:lang w:val="en-GB"/>
        </w:rPr>
        <w:t xml:space="preserve"> actuation of the </w:t>
      </w:r>
      <w:r w:rsidR="001442A4" w:rsidRPr="001442A4">
        <w:rPr>
          <w:sz w:val="20"/>
          <w:lang w:val="en-GB"/>
        </w:rPr>
        <w:t>service braking system control</w:t>
      </w:r>
      <w:r w:rsidR="00853B31" w:rsidRPr="00853B31">
        <w:rPr>
          <w:sz w:val="20"/>
          <w:lang w:val="en-GB"/>
        </w:rPr>
        <w:t>.</w:t>
      </w:r>
    </w:p>
    <w:p w:rsidR="00B21467" w:rsidRDefault="00B15543" w:rsidP="00B21467">
      <w:pPr>
        <w:tabs>
          <w:tab w:val="left" w:pos="567"/>
        </w:tabs>
        <w:spacing w:after="120" w:line="240" w:lineRule="exact"/>
        <w:ind w:left="1134" w:right="1134"/>
        <w:jc w:val="both"/>
        <w:rPr>
          <w:sz w:val="20"/>
          <w:lang w:val="en-GB"/>
        </w:rPr>
      </w:pPr>
      <w:r>
        <w:rPr>
          <w:sz w:val="20"/>
          <w:lang w:val="en-GB"/>
        </w:rPr>
        <w:t>3.</w:t>
      </w:r>
      <w:r w:rsidR="00B21467">
        <w:rPr>
          <w:sz w:val="20"/>
          <w:lang w:val="en-GB"/>
        </w:rPr>
        <w:tab/>
        <w:t xml:space="preserve">The review of the available test reports of the different technical services shown that they have different interpretation of the afore-said provisions of the Regulation: some check the </w:t>
      </w:r>
      <w:r w:rsidR="00B21467" w:rsidRPr="00853B31">
        <w:rPr>
          <w:sz w:val="20"/>
          <w:lang w:val="en-GB"/>
        </w:rPr>
        <w:t>residual pressure in the control line</w:t>
      </w:r>
      <w:r w:rsidR="00B21467">
        <w:rPr>
          <w:sz w:val="20"/>
          <w:lang w:val="en-GB"/>
        </w:rPr>
        <w:t xml:space="preserve"> at the eighth actuation of the </w:t>
      </w:r>
      <w:r w:rsidR="00B21467" w:rsidRPr="001442A4">
        <w:rPr>
          <w:sz w:val="20"/>
          <w:lang w:val="en-GB"/>
        </w:rPr>
        <w:t>service braking system control</w:t>
      </w:r>
      <w:r w:rsidR="00B21467">
        <w:rPr>
          <w:sz w:val="20"/>
          <w:lang w:val="en-GB"/>
        </w:rPr>
        <w:t xml:space="preserve">, but </w:t>
      </w:r>
      <w:proofErr w:type="gramStart"/>
      <w:r w:rsidR="00B21467">
        <w:rPr>
          <w:sz w:val="20"/>
          <w:lang w:val="en-GB"/>
        </w:rPr>
        <w:t>other</w:t>
      </w:r>
      <w:proofErr w:type="gramEnd"/>
      <w:r w:rsidR="00B21467">
        <w:rPr>
          <w:sz w:val="20"/>
          <w:lang w:val="en-GB"/>
        </w:rPr>
        <w:t xml:space="preserve"> do that at the ninth actuation.</w:t>
      </w:r>
    </w:p>
    <w:p w:rsidR="00D936A2" w:rsidRPr="00D936A2" w:rsidRDefault="00B15543" w:rsidP="00D936A2">
      <w:pPr>
        <w:tabs>
          <w:tab w:val="left" w:pos="567"/>
        </w:tabs>
        <w:spacing w:after="120" w:line="240" w:lineRule="exact"/>
        <w:ind w:left="1134" w:right="1134"/>
        <w:jc w:val="both"/>
        <w:rPr>
          <w:sz w:val="20"/>
          <w:lang w:val="en-GB"/>
        </w:rPr>
      </w:pPr>
      <w:r>
        <w:rPr>
          <w:sz w:val="20"/>
          <w:lang w:val="en-GB"/>
        </w:rPr>
        <w:t>4.</w:t>
      </w:r>
      <w:r w:rsidR="00D936A2">
        <w:rPr>
          <w:sz w:val="20"/>
          <w:lang w:val="en-GB"/>
        </w:rPr>
        <w:tab/>
        <w:t xml:space="preserve">However, </w:t>
      </w:r>
      <w:r w:rsidR="00D936A2" w:rsidRPr="00D936A2">
        <w:rPr>
          <w:sz w:val="20"/>
          <w:lang w:val="en-GB"/>
        </w:rPr>
        <w:t xml:space="preserve">ISO 7635:2006, governing the </w:t>
      </w:r>
      <w:r w:rsidR="00D936A2">
        <w:rPr>
          <w:sz w:val="20"/>
          <w:lang w:val="en-GB"/>
        </w:rPr>
        <w:t xml:space="preserve">test </w:t>
      </w:r>
      <w:r w:rsidR="00D936A2" w:rsidRPr="00D936A2">
        <w:rPr>
          <w:sz w:val="20"/>
          <w:lang w:val="en-GB"/>
        </w:rPr>
        <w:t>method</w:t>
      </w:r>
      <w:r w:rsidR="00D936A2">
        <w:rPr>
          <w:sz w:val="20"/>
          <w:lang w:val="en-GB"/>
        </w:rPr>
        <w:t>s</w:t>
      </w:r>
      <w:r w:rsidR="00D936A2" w:rsidRPr="00D936A2">
        <w:rPr>
          <w:sz w:val="20"/>
          <w:lang w:val="en-GB"/>
        </w:rPr>
        <w:t xml:space="preserve"> of vehicles in accordance with the </w:t>
      </w:r>
      <w:r w:rsidR="00D936A2">
        <w:rPr>
          <w:sz w:val="20"/>
          <w:lang w:val="en-GB"/>
        </w:rPr>
        <w:t>UN Regulation</w:t>
      </w:r>
      <w:r w:rsidR="00D936A2" w:rsidRPr="00D936A2">
        <w:rPr>
          <w:sz w:val="20"/>
          <w:lang w:val="en-GB"/>
        </w:rPr>
        <w:t xml:space="preserve"> No. 13, describe</w:t>
      </w:r>
      <w:r w:rsidR="00F17844">
        <w:rPr>
          <w:sz w:val="20"/>
          <w:lang w:val="en-GB"/>
        </w:rPr>
        <w:t>s</w:t>
      </w:r>
      <w:r w:rsidR="00D936A2" w:rsidRPr="00D936A2">
        <w:rPr>
          <w:sz w:val="20"/>
          <w:lang w:val="en-GB"/>
        </w:rPr>
        <w:t xml:space="preserve"> in </w:t>
      </w:r>
      <w:proofErr w:type="gramStart"/>
      <w:r w:rsidR="00D936A2" w:rsidRPr="00D936A2">
        <w:rPr>
          <w:sz w:val="20"/>
          <w:lang w:val="en-GB"/>
        </w:rPr>
        <w:t>detail</w:t>
      </w:r>
      <w:r w:rsidR="00F17844">
        <w:rPr>
          <w:sz w:val="20"/>
          <w:lang w:val="en-GB"/>
        </w:rPr>
        <w:t>s</w:t>
      </w:r>
      <w:proofErr w:type="gramEnd"/>
      <w:r w:rsidR="00D936A2" w:rsidRPr="00D936A2">
        <w:rPr>
          <w:sz w:val="20"/>
          <w:lang w:val="en-GB"/>
        </w:rPr>
        <w:t xml:space="preserve"> the procedure for verification of </w:t>
      </w:r>
      <w:r w:rsidR="00F17844">
        <w:rPr>
          <w:sz w:val="20"/>
          <w:lang w:val="en-GB"/>
        </w:rPr>
        <w:t xml:space="preserve">the </w:t>
      </w:r>
      <w:r w:rsidR="00D936A2" w:rsidRPr="00D936A2">
        <w:rPr>
          <w:sz w:val="20"/>
          <w:lang w:val="en-GB"/>
        </w:rPr>
        <w:t>compressed air in the energy storage devices (energy reservoirs). According to th</w:t>
      </w:r>
      <w:r w:rsidR="00F17844">
        <w:rPr>
          <w:sz w:val="20"/>
          <w:lang w:val="en-GB"/>
        </w:rPr>
        <w:t>at</w:t>
      </w:r>
      <w:r w:rsidR="00D936A2" w:rsidRPr="00D936A2">
        <w:rPr>
          <w:sz w:val="20"/>
          <w:lang w:val="en-GB"/>
        </w:rPr>
        <w:t xml:space="preserve"> procedure (</w:t>
      </w:r>
      <w:r w:rsidR="00F17844">
        <w:rPr>
          <w:sz w:val="20"/>
          <w:lang w:val="en-GB"/>
        </w:rPr>
        <w:t>paragraph</w:t>
      </w:r>
      <w:r w:rsidR="00D936A2" w:rsidRPr="00D936A2">
        <w:rPr>
          <w:sz w:val="20"/>
          <w:lang w:val="en-GB"/>
        </w:rPr>
        <w:t xml:space="preserve"> 15.7 of </w:t>
      </w:r>
      <w:r w:rsidR="00F17844" w:rsidRPr="00D936A2">
        <w:rPr>
          <w:sz w:val="20"/>
          <w:lang w:val="en-GB"/>
        </w:rPr>
        <w:t>ISO 7635:2006</w:t>
      </w:r>
      <w:r w:rsidR="00D936A2" w:rsidRPr="00D936A2">
        <w:rPr>
          <w:sz w:val="20"/>
          <w:lang w:val="en-GB"/>
        </w:rPr>
        <w:t>), the e</w:t>
      </w:r>
      <w:r w:rsidR="00F17844">
        <w:rPr>
          <w:sz w:val="20"/>
          <w:lang w:val="en-GB"/>
        </w:rPr>
        <w:t>valu</w:t>
      </w:r>
      <w:r w:rsidR="00D936A2" w:rsidRPr="00D936A2">
        <w:rPr>
          <w:sz w:val="20"/>
          <w:lang w:val="en-GB"/>
        </w:rPr>
        <w:t xml:space="preserve">ated pressure in the pneumatic control line is measured at the ninth </w:t>
      </w:r>
      <w:r w:rsidR="00F17844">
        <w:rPr>
          <w:sz w:val="20"/>
          <w:lang w:val="en-GB"/>
        </w:rPr>
        <w:t xml:space="preserve">actuation of the </w:t>
      </w:r>
      <w:r w:rsidR="00F17844" w:rsidRPr="001442A4">
        <w:rPr>
          <w:sz w:val="20"/>
          <w:lang w:val="en-GB"/>
        </w:rPr>
        <w:t>service braking system control</w:t>
      </w:r>
      <w:r w:rsidR="00D936A2" w:rsidRPr="00D936A2">
        <w:rPr>
          <w:sz w:val="20"/>
          <w:lang w:val="en-GB"/>
        </w:rPr>
        <w:t>.</w:t>
      </w:r>
    </w:p>
    <w:p w:rsidR="00D936A2" w:rsidRDefault="00B15543" w:rsidP="00D936A2">
      <w:pPr>
        <w:tabs>
          <w:tab w:val="left" w:pos="567"/>
        </w:tabs>
        <w:spacing w:after="120" w:line="240" w:lineRule="exact"/>
        <w:ind w:left="1134" w:right="1134"/>
        <w:jc w:val="both"/>
        <w:rPr>
          <w:sz w:val="20"/>
          <w:lang w:val="en-GB"/>
        </w:rPr>
      </w:pPr>
      <w:r>
        <w:rPr>
          <w:sz w:val="20"/>
          <w:lang w:val="en-GB"/>
        </w:rPr>
        <w:t>5.</w:t>
      </w:r>
      <w:r w:rsidR="00F17844">
        <w:rPr>
          <w:sz w:val="20"/>
          <w:lang w:val="en-GB"/>
        </w:rPr>
        <w:tab/>
      </w:r>
      <w:r w:rsidR="00D936A2" w:rsidRPr="00D936A2">
        <w:rPr>
          <w:sz w:val="20"/>
          <w:lang w:val="en-GB"/>
        </w:rPr>
        <w:t xml:space="preserve">For elimination of discrepancies, it is </w:t>
      </w:r>
      <w:r w:rsidR="00F17844">
        <w:rPr>
          <w:sz w:val="20"/>
          <w:lang w:val="en-GB"/>
        </w:rPr>
        <w:t xml:space="preserve">proposed to clarify in </w:t>
      </w:r>
      <w:r w:rsidR="005E731C">
        <w:rPr>
          <w:sz w:val="20"/>
          <w:lang w:val="en-GB"/>
        </w:rPr>
        <w:t>UN Regulation No.</w:t>
      </w:r>
      <w:r w:rsidR="00D44C1E">
        <w:rPr>
          <w:sz w:val="20"/>
          <w:lang w:val="en-GB"/>
        </w:rPr>
        <w:t> </w:t>
      </w:r>
      <w:r w:rsidR="005E731C">
        <w:rPr>
          <w:sz w:val="20"/>
          <w:lang w:val="en-GB"/>
        </w:rPr>
        <w:t xml:space="preserve">13, </w:t>
      </w:r>
      <w:r w:rsidR="00F17844">
        <w:rPr>
          <w:sz w:val="20"/>
          <w:lang w:val="en-GB"/>
        </w:rPr>
        <w:t>Annex</w:t>
      </w:r>
      <w:r w:rsidR="005E731C">
        <w:rPr>
          <w:sz w:val="20"/>
          <w:lang w:val="en-GB"/>
        </w:rPr>
        <w:t> </w:t>
      </w:r>
      <w:r w:rsidR="00F17844">
        <w:rPr>
          <w:sz w:val="20"/>
          <w:lang w:val="en-GB"/>
        </w:rPr>
        <w:t xml:space="preserve">7, Sections A </w:t>
      </w:r>
      <w:r w:rsidR="005E731C">
        <w:rPr>
          <w:sz w:val="20"/>
          <w:lang w:val="en-GB"/>
        </w:rPr>
        <w:t xml:space="preserve">and </w:t>
      </w:r>
      <w:r w:rsidR="00F17844">
        <w:rPr>
          <w:sz w:val="20"/>
          <w:lang w:val="en-GB"/>
        </w:rPr>
        <w:t>B</w:t>
      </w:r>
      <w:r w:rsidR="005E731C">
        <w:rPr>
          <w:sz w:val="20"/>
          <w:lang w:val="en-GB"/>
        </w:rPr>
        <w:t xml:space="preserve">, </w:t>
      </w:r>
      <w:r w:rsidR="00F17844">
        <w:rPr>
          <w:sz w:val="20"/>
          <w:lang w:val="en-GB"/>
        </w:rPr>
        <w:t xml:space="preserve">paragraph </w:t>
      </w:r>
      <w:r w:rsidR="00D936A2" w:rsidRPr="00D936A2">
        <w:rPr>
          <w:sz w:val="20"/>
          <w:lang w:val="en-GB"/>
        </w:rPr>
        <w:t>1.2.2.3</w:t>
      </w:r>
      <w:r w:rsidR="00F17844">
        <w:rPr>
          <w:sz w:val="20"/>
          <w:lang w:val="en-GB"/>
        </w:rPr>
        <w:t>.</w:t>
      </w:r>
      <w:r w:rsidR="00D936A2" w:rsidRPr="00D936A2">
        <w:rPr>
          <w:sz w:val="20"/>
          <w:lang w:val="en-GB"/>
        </w:rPr>
        <w:t xml:space="preserve"> that the level of residual energy in the control line sh</w:t>
      </w:r>
      <w:r w:rsidR="005E731C">
        <w:rPr>
          <w:sz w:val="20"/>
          <w:lang w:val="en-GB"/>
        </w:rPr>
        <w:t>all</w:t>
      </w:r>
      <w:r w:rsidR="00D936A2" w:rsidRPr="00D936A2">
        <w:rPr>
          <w:sz w:val="20"/>
          <w:lang w:val="en-GB"/>
        </w:rPr>
        <w:t xml:space="preserve"> be measured at the additional</w:t>
      </w:r>
      <w:r w:rsidR="005E731C">
        <w:rPr>
          <w:sz w:val="20"/>
          <w:lang w:val="en-GB"/>
        </w:rPr>
        <w:t xml:space="preserve"> actuation of the </w:t>
      </w:r>
      <w:r w:rsidR="005E731C" w:rsidRPr="001442A4">
        <w:rPr>
          <w:sz w:val="20"/>
          <w:lang w:val="en-GB"/>
        </w:rPr>
        <w:t>service braking system control</w:t>
      </w:r>
      <w:r w:rsidR="00D936A2" w:rsidRPr="00D936A2">
        <w:rPr>
          <w:sz w:val="20"/>
          <w:lang w:val="en-GB"/>
        </w:rPr>
        <w:t>.</w:t>
      </w:r>
    </w:p>
    <w:p w:rsidR="001442A4" w:rsidRDefault="001442A4" w:rsidP="00B21467">
      <w:pPr>
        <w:tabs>
          <w:tab w:val="left" w:pos="567"/>
        </w:tabs>
        <w:spacing w:after="120" w:line="240" w:lineRule="exact"/>
        <w:ind w:left="1134" w:right="1134"/>
        <w:jc w:val="both"/>
        <w:rPr>
          <w:sz w:val="20"/>
          <w:lang w:val="en-GB"/>
        </w:rPr>
      </w:pPr>
    </w:p>
    <w:p w:rsidR="005E731C" w:rsidRDefault="005E731C" w:rsidP="00B21467">
      <w:pPr>
        <w:tabs>
          <w:tab w:val="left" w:pos="567"/>
        </w:tabs>
        <w:spacing w:after="120" w:line="240" w:lineRule="exact"/>
        <w:ind w:left="1134" w:right="1134"/>
        <w:jc w:val="both"/>
        <w:rPr>
          <w:sz w:val="20"/>
          <w:lang w:val="en-GB"/>
        </w:rPr>
      </w:pPr>
    </w:p>
    <w:p w:rsidR="005E731C" w:rsidRDefault="005E731C" w:rsidP="005E731C">
      <w:pPr>
        <w:tabs>
          <w:tab w:val="left" w:pos="567"/>
        </w:tabs>
        <w:spacing w:after="120" w:line="240" w:lineRule="exact"/>
        <w:ind w:left="1134" w:right="1134"/>
        <w:jc w:val="center"/>
        <w:rPr>
          <w:sz w:val="20"/>
          <w:lang w:val="en-GB"/>
        </w:rPr>
      </w:pPr>
      <w:r>
        <w:rPr>
          <w:sz w:val="20"/>
          <w:lang w:val="en-GB"/>
        </w:rPr>
        <w:t>____________</w:t>
      </w:r>
    </w:p>
    <w:sectPr w:rsidR="005E731C" w:rsidSect="002A5042">
      <w:footerReference w:type="default" r:id="rId7"/>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2E1" w:rsidRDefault="00FE62E1" w:rsidP="002A5042">
      <w:r>
        <w:separator/>
      </w:r>
    </w:p>
  </w:endnote>
  <w:endnote w:type="continuationSeparator" w:id="0">
    <w:p w:rsidR="00FE62E1" w:rsidRDefault="00FE62E1" w:rsidP="002A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42" w:rsidRPr="002D6C92" w:rsidRDefault="002A5042" w:rsidP="002A504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87</w:t>
    </w:r>
    <w:r>
      <w:rPr>
        <w:rStyle w:val="PageNumber"/>
      </w:rPr>
      <w:fldChar w:fldCharType="end"/>
    </w:r>
  </w:p>
  <w:p w:rsidR="002A5042" w:rsidRDefault="002A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2E1" w:rsidRDefault="00FE62E1" w:rsidP="002A5042">
      <w:r>
        <w:separator/>
      </w:r>
    </w:p>
  </w:footnote>
  <w:footnote w:type="continuationSeparator" w:id="0">
    <w:p w:rsidR="00FE62E1" w:rsidRDefault="00FE62E1" w:rsidP="002A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9A8"/>
    <w:multiLevelType w:val="hybridMultilevel"/>
    <w:tmpl w:val="4E86DB8A"/>
    <w:lvl w:ilvl="0" w:tplc="F08CB724">
      <w:start w:val="1"/>
      <w:numFmt w:val="upperLetter"/>
      <w:lvlText w:val="%1."/>
      <w:lvlJc w:val="left"/>
      <w:pPr>
        <w:ind w:left="2260" w:hanging="112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2646157B"/>
    <w:multiLevelType w:val="hybridMultilevel"/>
    <w:tmpl w:val="16225D88"/>
    <w:lvl w:ilvl="0" w:tplc="7648336C">
      <w:start w:val="1"/>
      <w:numFmt w:val="decimal"/>
      <w:lvlText w:val="%1."/>
      <w:lvlJc w:val="left"/>
      <w:pPr>
        <w:ind w:left="2260" w:hanging="112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2B"/>
    <w:rsid w:val="00096E85"/>
    <w:rsid w:val="000A3CF4"/>
    <w:rsid w:val="00125269"/>
    <w:rsid w:val="00126287"/>
    <w:rsid w:val="00130E15"/>
    <w:rsid w:val="001442A4"/>
    <w:rsid w:val="00144B60"/>
    <w:rsid w:val="001A3319"/>
    <w:rsid w:val="002A5042"/>
    <w:rsid w:val="00337D3C"/>
    <w:rsid w:val="00341BDB"/>
    <w:rsid w:val="003815C9"/>
    <w:rsid w:val="00485880"/>
    <w:rsid w:val="004957BE"/>
    <w:rsid w:val="004C6B0B"/>
    <w:rsid w:val="0053188C"/>
    <w:rsid w:val="005728BF"/>
    <w:rsid w:val="00590287"/>
    <w:rsid w:val="005E731C"/>
    <w:rsid w:val="005F4D53"/>
    <w:rsid w:val="00613AC2"/>
    <w:rsid w:val="00627760"/>
    <w:rsid w:val="00636996"/>
    <w:rsid w:val="006A1E12"/>
    <w:rsid w:val="006D16AA"/>
    <w:rsid w:val="006E396B"/>
    <w:rsid w:val="00762458"/>
    <w:rsid w:val="00794E6C"/>
    <w:rsid w:val="007B2E3B"/>
    <w:rsid w:val="007B3613"/>
    <w:rsid w:val="007E23C5"/>
    <w:rsid w:val="008350F4"/>
    <w:rsid w:val="00835EC3"/>
    <w:rsid w:val="00847959"/>
    <w:rsid w:val="00853B31"/>
    <w:rsid w:val="0086287D"/>
    <w:rsid w:val="008904EF"/>
    <w:rsid w:val="008E69AD"/>
    <w:rsid w:val="009E66E4"/>
    <w:rsid w:val="00A17D1E"/>
    <w:rsid w:val="00A95289"/>
    <w:rsid w:val="00B15543"/>
    <w:rsid w:val="00B21467"/>
    <w:rsid w:val="00B96432"/>
    <w:rsid w:val="00BA12B5"/>
    <w:rsid w:val="00C00235"/>
    <w:rsid w:val="00C31017"/>
    <w:rsid w:val="00C61339"/>
    <w:rsid w:val="00C64336"/>
    <w:rsid w:val="00CF0DDF"/>
    <w:rsid w:val="00D44C1E"/>
    <w:rsid w:val="00D67450"/>
    <w:rsid w:val="00D936A2"/>
    <w:rsid w:val="00DA032B"/>
    <w:rsid w:val="00DD442E"/>
    <w:rsid w:val="00DE66A6"/>
    <w:rsid w:val="00E34839"/>
    <w:rsid w:val="00EA2BDC"/>
    <w:rsid w:val="00EF3E60"/>
    <w:rsid w:val="00F17844"/>
    <w:rsid w:val="00F234A6"/>
    <w:rsid w:val="00F24131"/>
    <w:rsid w:val="00FE62E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F383"/>
  <w15:chartTrackingRefBased/>
  <w15:docId w15:val="{09EFFCAB-8568-40FF-9D71-C4660CF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235"/>
    <w:rPr>
      <w:sz w:val="24"/>
      <w:szCs w:val="24"/>
      <w:lang w:eastAsia="ru-RU"/>
    </w:rPr>
  </w:style>
  <w:style w:type="paragraph" w:styleId="Heading1">
    <w:name w:val="heading 1"/>
    <w:basedOn w:val="Normal"/>
    <w:next w:val="Normal"/>
    <w:link w:val="Heading1Char"/>
    <w:qFormat/>
    <w:rsid w:val="00C00235"/>
    <w:pPr>
      <w:keepNext/>
      <w:spacing w:before="240" w:after="60"/>
      <w:outlineLvl w:val="0"/>
    </w:pPr>
    <w:rPr>
      <w:rFonts w:ascii="Calibri Light" w:hAnsi="Calibri Light"/>
      <w:b/>
      <w:bCs/>
      <w:kern w:val="32"/>
      <w:sz w:val="32"/>
      <w:szCs w:val="32"/>
      <w:lang w:eastAsia="en-US"/>
    </w:rPr>
  </w:style>
  <w:style w:type="paragraph" w:styleId="Heading3">
    <w:name w:val="heading 3"/>
    <w:basedOn w:val="Normal"/>
    <w:link w:val="Heading3Char"/>
    <w:qFormat/>
    <w:rsid w:val="00C0023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235"/>
    <w:rPr>
      <w:rFonts w:ascii="Calibri Light" w:hAnsi="Calibri Light"/>
      <w:b/>
      <w:bCs/>
      <w:kern w:val="32"/>
      <w:sz w:val="32"/>
      <w:szCs w:val="32"/>
    </w:rPr>
  </w:style>
  <w:style w:type="character" w:customStyle="1" w:styleId="Heading3Char">
    <w:name w:val="Heading 3 Char"/>
    <w:basedOn w:val="DefaultParagraphFont"/>
    <w:link w:val="Heading3"/>
    <w:rsid w:val="00C00235"/>
    <w:rPr>
      <w:b/>
      <w:bCs/>
      <w:sz w:val="27"/>
      <w:szCs w:val="27"/>
      <w:lang w:eastAsia="ru-RU"/>
    </w:rPr>
  </w:style>
  <w:style w:type="character" w:styleId="Strong">
    <w:name w:val="Strong"/>
    <w:uiPriority w:val="22"/>
    <w:qFormat/>
    <w:rsid w:val="00C00235"/>
    <w:rPr>
      <w:b/>
      <w:bCs/>
    </w:rPr>
  </w:style>
  <w:style w:type="paragraph" w:customStyle="1" w:styleId="SingleTxtGR">
    <w:name w:val="_ Single Txt_GR"/>
    <w:basedOn w:val="Normal"/>
    <w:rsid w:val="00613AC2"/>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lang w:eastAsia="en-US"/>
    </w:rPr>
  </w:style>
  <w:style w:type="paragraph" w:customStyle="1" w:styleId="XLargeGR">
    <w:name w:val="__XLarge_GR"/>
    <w:basedOn w:val="Normal"/>
    <w:next w:val="Normal"/>
    <w:rsid w:val="00613AC2"/>
    <w:pPr>
      <w:keepNext/>
      <w:keepLines/>
      <w:suppressAutoHyphens/>
      <w:spacing w:before="240" w:after="240" w:line="420" w:lineRule="exact"/>
      <w:ind w:left="1134" w:right="1134"/>
    </w:pPr>
    <w:rPr>
      <w:b/>
      <w:spacing w:val="4"/>
      <w:w w:val="103"/>
      <w:kern w:val="14"/>
      <w:sz w:val="40"/>
      <w:szCs w:val="20"/>
    </w:rPr>
  </w:style>
  <w:style w:type="paragraph" w:styleId="BalloonText">
    <w:name w:val="Balloon Text"/>
    <w:basedOn w:val="Normal"/>
    <w:link w:val="BalloonTextChar"/>
    <w:uiPriority w:val="99"/>
    <w:semiHidden/>
    <w:unhideWhenUsed/>
    <w:rsid w:val="007B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B"/>
    <w:rPr>
      <w:rFonts w:ascii="Segoe UI" w:hAnsi="Segoe UI" w:cs="Segoe UI"/>
      <w:sz w:val="18"/>
      <w:szCs w:val="18"/>
      <w:lang w:eastAsia="ru-RU"/>
    </w:rPr>
  </w:style>
  <w:style w:type="paragraph" w:styleId="Header">
    <w:name w:val="header"/>
    <w:aliases w:val="6_G"/>
    <w:basedOn w:val="Normal"/>
    <w:link w:val="HeaderChar"/>
    <w:uiPriority w:val="99"/>
    <w:unhideWhenUsed/>
    <w:rsid w:val="00C64336"/>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HeaderChar">
    <w:name w:val="Header Char"/>
    <w:aliases w:val="6_G Char"/>
    <w:basedOn w:val="DefaultParagraphFont"/>
    <w:link w:val="Header"/>
    <w:uiPriority w:val="99"/>
    <w:rsid w:val="00C64336"/>
    <w:rPr>
      <w:rFonts w:asciiTheme="minorHAnsi" w:eastAsiaTheme="minorEastAsia" w:hAnsiTheme="minorHAnsi" w:cstheme="minorBidi"/>
      <w:sz w:val="22"/>
      <w:szCs w:val="22"/>
      <w:lang w:val="en-US" w:eastAsia="zh-CN"/>
    </w:rPr>
  </w:style>
  <w:style w:type="paragraph" w:customStyle="1" w:styleId="SingleTxtG">
    <w:name w:val="_ Single Txt_G"/>
    <w:basedOn w:val="Normal"/>
    <w:link w:val="SingleTxtGChar"/>
    <w:rsid w:val="0053188C"/>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53188C"/>
    <w:rPr>
      <w:lang w:val="en-GB"/>
    </w:rPr>
  </w:style>
  <w:style w:type="paragraph" w:styleId="Footer">
    <w:name w:val="footer"/>
    <w:aliases w:val="3_G"/>
    <w:basedOn w:val="Normal"/>
    <w:link w:val="FooterChar"/>
    <w:unhideWhenUsed/>
    <w:rsid w:val="002A5042"/>
    <w:pPr>
      <w:tabs>
        <w:tab w:val="center" w:pos="4677"/>
        <w:tab w:val="right" w:pos="9355"/>
      </w:tabs>
    </w:pPr>
  </w:style>
  <w:style w:type="character" w:customStyle="1" w:styleId="FooterChar">
    <w:name w:val="Footer Char"/>
    <w:aliases w:val="3_G Char"/>
    <w:basedOn w:val="DefaultParagraphFont"/>
    <w:link w:val="Footer"/>
    <w:uiPriority w:val="99"/>
    <w:rsid w:val="002A5042"/>
    <w:rPr>
      <w:sz w:val="24"/>
      <w:szCs w:val="24"/>
      <w:lang w:eastAsia="ru-RU"/>
    </w:rPr>
  </w:style>
  <w:style w:type="character" w:styleId="PageNumber">
    <w:name w:val="page number"/>
    <w:aliases w:val="7_G"/>
    <w:rsid w:val="002A5042"/>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Прокофьев</dc:creator>
  <cp:keywords/>
  <dc:description/>
  <cp:lastModifiedBy>Francois Guichard</cp:lastModifiedBy>
  <cp:revision>2</cp:revision>
  <cp:lastPrinted>2018-12-28T09:55:00Z</cp:lastPrinted>
  <dcterms:created xsi:type="dcterms:W3CDTF">2019-01-23T09:38:00Z</dcterms:created>
  <dcterms:modified xsi:type="dcterms:W3CDTF">2019-01-23T09:38:00Z</dcterms:modified>
</cp:coreProperties>
</file>