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B9BFC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0DB79A" w14:textId="77777777" w:rsidR="002D5AAC" w:rsidRDefault="002D5AAC" w:rsidP="00205C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949724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1B2C844" w14:textId="77777777" w:rsidR="002D5AAC" w:rsidRDefault="00205C57" w:rsidP="00205C57">
            <w:pPr>
              <w:jc w:val="right"/>
            </w:pPr>
            <w:r w:rsidRPr="00205C57">
              <w:rPr>
                <w:sz w:val="40"/>
              </w:rPr>
              <w:t>ECE</w:t>
            </w:r>
            <w:r>
              <w:t>/TRANS/WP.29/GRSP/2019/31</w:t>
            </w:r>
          </w:p>
        </w:tc>
      </w:tr>
      <w:tr w:rsidR="002D5AAC" w:rsidRPr="00205C57" w14:paraId="30C3F75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B00194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249E98" wp14:editId="24E510F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D691A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B9EDB35" w14:textId="77777777" w:rsidR="002D5AAC" w:rsidRDefault="00205C5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84C5FCA" w14:textId="77777777" w:rsidR="00205C57" w:rsidRDefault="00205C57" w:rsidP="00205C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14:paraId="350392A3" w14:textId="77777777" w:rsidR="00205C57" w:rsidRDefault="00205C57" w:rsidP="00205C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1D5147" w14:textId="77777777" w:rsidR="00205C57" w:rsidRPr="008D53B6" w:rsidRDefault="00205C57" w:rsidP="00205C5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8F5C489" w14:textId="77777777" w:rsidR="00205C5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</w:t>
      </w:r>
      <w:bookmarkStart w:id="0" w:name="_GoBack"/>
      <w:bookmarkEnd w:id="0"/>
      <w:r w:rsidRPr="00245892">
        <w:rPr>
          <w:b/>
          <w:sz w:val="28"/>
          <w:szCs w:val="28"/>
        </w:rPr>
        <w:t>йская экономическая комиссия</w:t>
      </w:r>
    </w:p>
    <w:p w14:paraId="3781B17C" w14:textId="77777777" w:rsidR="00205C57" w:rsidRPr="00205C57" w:rsidRDefault="00205C57" w:rsidP="00205C57">
      <w:pPr>
        <w:spacing w:before="120"/>
        <w:rPr>
          <w:sz w:val="28"/>
          <w:szCs w:val="28"/>
        </w:rPr>
      </w:pPr>
      <w:r w:rsidRPr="00205C57">
        <w:rPr>
          <w:sz w:val="28"/>
          <w:szCs w:val="28"/>
        </w:rPr>
        <w:t>Комитет по внутреннему транспорту</w:t>
      </w:r>
    </w:p>
    <w:p w14:paraId="0582A33D" w14:textId="77777777" w:rsidR="00205C57" w:rsidRPr="00205C57" w:rsidRDefault="00205C57" w:rsidP="00205C57">
      <w:pPr>
        <w:spacing w:before="120"/>
        <w:rPr>
          <w:b/>
          <w:sz w:val="24"/>
          <w:szCs w:val="24"/>
        </w:rPr>
      </w:pPr>
      <w:r w:rsidRPr="00205C57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205C57">
        <w:rPr>
          <w:b/>
          <w:bCs/>
          <w:sz w:val="24"/>
          <w:szCs w:val="24"/>
        </w:rPr>
        <w:t>в области транспортных средств</w:t>
      </w:r>
    </w:p>
    <w:p w14:paraId="7FBD0FAE" w14:textId="77777777" w:rsidR="00205C57" w:rsidRPr="004E28F5" w:rsidRDefault="00205C57" w:rsidP="00205C57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130F9314" w14:textId="77777777" w:rsidR="00205C57" w:rsidRPr="004E28F5" w:rsidRDefault="00205C57" w:rsidP="00205C57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14:paraId="578A2C53" w14:textId="77777777" w:rsidR="00205C57" w:rsidRPr="004E28F5" w:rsidRDefault="00205C57" w:rsidP="00205C57">
      <w:r>
        <w:t>Женева, 10–13 декабря 2019 года</w:t>
      </w:r>
    </w:p>
    <w:p w14:paraId="6AD33F9F" w14:textId="77777777" w:rsidR="00205C57" w:rsidRPr="004E28F5" w:rsidRDefault="00205C57" w:rsidP="00205C57">
      <w:r>
        <w:t>Пункт 12 предварительной повестки дня</w:t>
      </w:r>
    </w:p>
    <w:p w14:paraId="453C9DF0" w14:textId="77777777" w:rsidR="00205C57" w:rsidRPr="004E28F5" w:rsidRDefault="00205C57" w:rsidP="00205C57">
      <w:r>
        <w:rPr>
          <w:b/>
          <w:bCs/>
        </w:rPr>
        <w:t>Правила № 42 ООН (передние и задние защитные устройства)</w:t>
      </w:r>
    </w:p>
    <w:p w14:paraId="4183DEAC" w14:textId="77777777" w:rsidR="00205C57" w:rsidRPr="004E28F5" w:rsidRDefault="00205C57" w:rsidP="00205C57">
      <w:pPr>
        <w:pStyle w:val="HChG"/>
        <w:rPr>
          <w:rFonts w:eastAsia="MS Mincho"/>
        </w:rPr>
      </w:pPr>
      <w:r>
        <w:tab/>
      </w:r>
      <w:r>
        <w:tab/>
        <w:t>Предложение по дополнению 2 к первоначальному тексту Правил № 42 ООН (передние и задние защитные устройства)</w:t>
      </w:r>
    </w:p>
    <w:p w14:paraId="7B024831" w14:textId="77777777" w:rsidR="00205C57" w:rsidRPr="004E28F5" w:rsidRDefault="00205C57" w:rsidP="00205C57">
      <w:pPr>
        <w:pStyle w:val="H1G"/>
        <w:rPr>
          <w:rFonts w:eastAsia="MS Mincho"/>
        </w:rPr>
      </w:pPr>
      <w:r>
        <w:tab/>
      </w:r>
      <w:r>
        <w:tab/>
        <w:t>Представлено экспертом от Нидерландов</w:t>
      </w:r>
      <w:r w:rsidRPr="00205C57">
        <w:rPr>
          <w:rFonts w:eastAsia="MS Mincho"/>
          <w:b w:val="0"/>
          <w:sz w:val="20"/>
        </w:rPr>
        <w:footnoteReference w:customMarkFollows="1" w:id="1"/>
        <w:t>*</w:t>
      </w:r>
    </w:p>
    <w:p w14:paraId="21988C98" w14:textId="77777777" w:rsidR="00205C57" w:rsidRDefault="00205C57" w:rsidP="00205C57">
      <w:pPr>
        <w:pStyle w:val="SingleTxtG"/>
        <w:ind w:firstLine="567"/>
      </w:pPr>
      <w:r>
        <w:tab/>
        <w:t>Воспроизведенный ниже текст был подготовлен экспертом от Нидерландов для разъяснения, какие положения следует применять к автоматическим системам помощи водителю, влияющим на требования к торможению и управлению.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</w:p>
    <w:p w14:paraId="74566261" w14:textId="77777777" w:rsidR="00205C57" w:rsidRPr="004E28F5" w:rsidRDefault="00205C57" w:rsidP="00205C57">
      <w:pPr>
        <w:ind w:left="1134" w:right="1134" w:hanging="1134"/>
        <w:jc w:val="both"/>
        <w:rPr>
          <w:sz w:val="24"/>
          <w:szCs w:val="24"/>
        </w:rPr>
      </w:pPr>
      <w:r w:rsidRPr="004E28F5">
        <w:br w:type="page"/>
      </w:r>
      <w:bookmarkStart w:id="1" w:name="_Hlk520287618"/>
    </w:p>
    <w:bookmarkEnd w:id="1"/>
    <w:p w14:paraId="3109282A" w14:textId="77777777" w:rsidR="00205C57" w:rsidRPr="004E28F5" w:rsidRDefault="00205C57" w:rsidP="00205C57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7568FBA" w14:textId="77777777" w:rsidR="00205C57" w:rsidRPr="004E28F5" w:rsidRDefault="00205C57" w:rsidP="00205C57">
      <w:pPr>
        <w:pStyle w:val="SingleTxtG"/>
      </w:pPr>
      <w:r>
        <w:rPr>
          <w:i/>
          <w:iCs/>
        </w:rPr>
        <w:t>Пункт 6.1.5</w:t>
      </w:r>
      <w:r>
        <w:t xml:space="preserve"> изменить следующим образом:</w:t>
      </w:r>
    </w:p>
    <w:p w14:paraId="5ED49C73" w14:textId="77777777" w:rsidR="00205C57" w:rsidRPr="004E28F5" w:rsidRDefault="00806F10" w:rsidP="00205C57">
      <w:pPr>
        <w:pStyle w:val="SingleTxtG"/>
        <w:ind w:left="2268" w:hanging="1134"/>
        <w:rPr>
          <w:sz w:val="22"/>
          <w:szCs w:val="22"/>
        </w:rPr>
      </w:pPr>
      <w:r>
        <w:t>«</w:t>
      </w:r>
      <w:r w:rsidR="00205C57">
        <w:t>6.1.5</w:t>
      </w:r>
      <w:r w:rsidR="00205C57">
        <w:tab/>
        <w:t>Двигатель, система подвески (с шинами), система рулевого управления и тормозная система</w:t>
      </w:r>
      <w:r w:rsidR="00205C57" w:rsidRPr="00642D52">
        <w:t xml:space="preserve"> </w:t>
      </w:r>
      <w:r w:rsidR="00205C57">
        <w:t>транспортного средства должны оставаться в хорошем состоянии и функционировать нормально.</w:t>
      </w:r>
    </w:p>
    <w:p w14:paraId="1D82C55D" w14:textId="77777777" w:rsidR="00205C57" w:rsidRPr="004E28F5" w:rsidRDefault="00205C57" w:rsidP="00205C57">
      <w:pPr>
        <w:pStyle w:val="SingleTxtG"/>
        <w:ind w:left="2268"/>
        <w:rPr>
          <w:b/>
        </w:rPr>
      </w:pPr>
      <w:r>
        <w:rPr>
          <w:b/>
          <w:bCs/>
        </w:rPr>
        <w:t>Это требование не распространяется на датчики, камеры, радиолокационное оборудование и проч</w:t>
      </w:r>
      <w:r w:rsidR="00806F10">
        <w:rPr>
          <w:b/>
          <w:bCs/>
        </w:rPr>
        <w:t>ие</w:t>
      </w:r>
      <w:r>
        <w:rPr>
          <w:b/>
          <w:bCs/>
        </w:rPr>
        <w:t xml:space="preserve"> устройства, являющиеся элементами систем помощи водителю, официально утвержденных на основании Правил № 13-Н ООН, Правил № 13 ООН</w:t>
      </w:r>
      <w:r w:rsidR="00806F10">
        <w:rPr>
          <w:b/>
          <w:bCs/>
        </w:rPr>
        <w:br/>
      </w:r>
      <w:r>
        <w:rPr>
          <w:b/>
          <w:bCs/>
        </w:rPr>
        <w:t>и/или Правил № 79 ООН.</w:t>
      </w:r>
      <w:r>
        <w:t xml:space="preserve"> </w:t>
      </w:r>
      <w:r>
        <w:rPr>
          <w:b/>
          <w:bCs/>
        </w:rPr>
        <w:t>Допускаются повреждение, дезориентация или поломка этих элементов в результате испытания на удар, проводимого в соответствии с приложением 3, при условии, что основные функции торможения и рулевого управления остаются неизменными</w:t>
      </w:r>
      <w:r w:rsidR="00806F10">
        <w:rPr>
          <w:bCs/>
        </w:rPr>
        <w:t>».</w:t>
      </w:r>
    </w:p>
    <w:p w14:paraId="3CDA559B" w14:textId="77777777" w:rsidR="00205C57" w:rsidRPr="004E28F5" w:rsidRDefault="00205C57" w:rsidP="00205C57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1F12E677" w14:textId="77777777" w:rsidR="00205C57" w:rsidRPr="004E28F5" w:rsidRDefault="00205C57" w:rsidP="00205C57">
      <w:pPr>
        <w:pStyle w:val="SingleTxtG"/>
      </w:pPr>
      <w:r>
        <w:t>1.</w:t>
      </w:r>
      <w:r>
        <w:tab/>
        <w:t>Правила № 42 ООН появились задолго до внедрения автоматических систем помощи водителю. Требование в пункте 6.1.5 предусматривает, что система рулевого управления и тормозная система транспортного средства должны оставаться в хорошем состоянии и функционировать нормально. Повреждение, дезориентация и поломка датчиков, являющихся частью систем помощи водителю, охвачены требованиями приложения 8 к Правилам № 13-Н ООН, приложения 18</w:t>
      </w:r>
      <w:r w:rsidR="00806F10">
        <w:br/>
      </w:r>
      <w:r>
        <w:t>к Правилам № 13 ООН и приложения 6 к Правилам № 79 ООН, основное внимание в которых уделяется обеспечению того, чтобы любые возможные ошибки в системе не приводили к опасному или непредсказуемому поведению транспортного средства.</w:t>
      </w:r>
    </w:p>
    <w:p w14:paraId="33201DD3" w14:textId="77777777" w:rsidR="00205C57" w:rsidRPr="004E28F5" w:rsidRDefault="00205C57" w:rsidP="00205C57">
      <w:pPr>
        <w:pStyle w:val="SingleTxtG"/>
      </w:pPr>
      <w:r>
        <w:t>2.</w:t>
      </w:r>
      <w:r>
        <w:tab/>
        <w:t>Требования по пункту 6.1.5 считаются выполненными при условии, что</w:t>
      </w:r>
      <w:r w:rsidR="00806F10">
        <w:br/>
      </w:r>
      <w:r>
        <w:t>по-прежнему обеспечивается нормальная работа основных функций тормозных систем и систем рулевого управления, таких как антиблокировочная тормозная система, электронный контроль устойчивости и, например, выравнивание колес.</w:t>
      </w:r>
    </w:p>
    <w:p w14:paraId="72250323" w14:textId="77777777" w:rsidR="00205C57" w:rsidRPr="004E28F5" w:rsidRDefault="00205C57" w:rsidP="00205C57">
      <w:pPr>
        <w:pStyle w:val="SingleTxtG"/>
      </w:pPr>
      <w:r>
        <w:t>3.</w:t>
      </w:r>
      <w:r>
        <w:tab/>
        <w:t>Поэтому из требований Правил № 42 ООН следует исключить, например, отказ датчика, в результате которого может перестать функционировать система помощи при парковке.</w:t>
      </w:r>
    </w:p>
    <w:p w14:paraId="10F64D9A" w14:textId="77777777" w:rsidR="00205C57" w:rsidRPr="004E28F5" w:rsidRDefault="00205C57" w:rsidP="00205C57">
      <w:pPr>
        <w:pStyle w:val="SingleTxtG"/>
      </w:pPr>
      <w:r>
        <w:t>4.</w:t>
      </w:r>
      <w:r>
        <w:tab/>
        <w:t>Этот вопрос обсуждался на совещании голландского органа по официальному утверждению типа, состоявшемся в Утрехте (Нидерланды) в июне 2018 года. Участники совещания пришли к общему консенсусу в отношении изложенного выше обоснования.</w:t>
      </w:r>
    </w:p>
    <w:p w14:paraId="540BD866" w14:textId="77777777" w:rsidR="00205C57" w:rsidRDefault="00205C57" w:rsidP="00205C57">
      <w:pPr>
        <w:spacing w:before="240"/>
        <w:jc w:val="center"/>
        <w:rPr>
          <w:w w:val="105"/>
          <w:u w:val="single"/>
        </w:rPr>
      </w:pPr>
      <w:r w:rsidRPr="004E28F5">
        <w:rPr>
          <w:w w:val="105"/>
          <w:u w:val="single"/>
        </w:rPr>
        <w:tab/>
      </w:r>
      <w:r w:rsidRPr="004E28F5">
        <w:rPr>
          <w:w w:val="105"/>
          <w:u w:val="single"/>
        </w:rPr>
        <w:tab/>
      </w:r>
      <w:r w:rsidRPr="004E28F5">
        <w:rPr>
          <w:w w:val="105"/>
          <w:u w:val="single"/>
        </w:rPr>
        <w:tab/>
      </w:r>
    </w:p>
    <w:p w14:paraId="65799785" w14:textId="77777777" w:rsidR="00205C57" w:rsidRPr="004E28F5" w:rsidRDefault="00205C57" w:rsidP="00205C57"/>
    <w:p w14:paraId="04B6BAB0" w14:textId="77777777" w:rsidR="00E12C5F" w:rsidRPr="008D53B6" w:rsidRDefault="00E12C5F" w:rsidP="00D9145B"/>
    <w:sectPr w:rsidR="00E12C5F" w:rsidRPr="008D53B6" w:rsidSect="00205C5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E03D" w14:textId="77777777" w:rsidR="0018311C" w:rsidRPr="00A312BC" w:rsidRDefault="0018311C" w:rsidP="00A312BC"/>
  </w:endnote>
  <w:endnote w:type="continuationSeparator" w:id="0">
    <w:p w14:paraId="15D10D58" w14:textId="77777777" w:rsidR="0018311C" w:rsidRPr="00A312BC" w:rsidRDefault="001831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7031" w14:textId="77777777" w:rsidR="00205C57" w:rsidRPr="00205C57" w:rsidRDefault="00205C57">
    <w:pPr>
      <w:pStyle w:val="a8"/>
    </w:pPr>
    <w:r w:rsidRPr="00205C57">
      <w:rPr>
        <w:b/>
        <w:sz w:val="18"/>
      </w:rPr>
      <w:fldChar w:fldCharType="begin"/>
    </w:r>
    <w:r w:rsidRPr="00205C57">
      <w:rPr>
        <w:b/>
        <w:sz w:val="18"/>
      </w:rPr>
      <w:instrText xml:space="preserve"> PAGE  \* MERGEFORMAT </w:instrText>
    </w:r>
    <w:r w:rsidRPr="00205C57">
      <w:rPr>
        <w:b/>
        <w:sz w:val="18"/>
      </w:rPr>
      <w:fldChar w:fldCharType="separate"/>
    </w:r>
    <w:r w:rsidRPr="00205C57">
      <w:rPr>
        <w:b/>
        <w:noProof/>
        <w:sz w:val="18"/>
      </w:rPr>
      <w:t>2</w:t>
    </w:r>
    <w:r w:rsidRPr="00205C57">
      <w:rPr>
        <w:b/>
        <w:sz w:val="18"/>
      </w:rPr>
      <w:fldChar w:fldCharType="end"/>
    </w:r>
    <w:r>
      <w:rPr>
        <w:b/>
        <w:sz w:val="18"/>
      </w:rPr>
      <w:tab/>
    </w:r>
    <w:r>
      <w:t>GE.19-16623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1196" w14:textId="77777777" w:rsidR="00205C57" w:rsidRPr="00205C57" w:rsidRDefault="00205C57" w:rsidP="00205C57">
    <w:pPr>
      <w:pStyle w:val="a8"/>
      <w:tabs>
        <w:tab w:val="clear" w:pos="9639"/>
        <w:tab w:val="right" w:pos="9638"/>
      </w:tabs>
      <w:rPr>
        <w:b/>
        <w:sz w:val="18"/>
      </w:rPr>
    </w:pPr>
    <w:r>
      <w:t>GE.19-16623</w:t>
    </w:r>
    <w:r>
      <w:tab/>
    </w:r>
    <w:r w:rsidRPr="00205C57">
      <w:rPr>
        <w:b/>
        <w:sz w:val="18"/>
      </w:rPr>
      <w:fldChar w:fldCharType="begin"/>
    </w:r>
    <w:r w:rsidRPr="00205C57">
      <w:rPr>
        <w:b/>
        <w:sz w:val="18"/>
      </w:rPr>
      <w:instrText xml:space="preserve"> PAGE  \* MERGEFORMAT </w:instrText>
    </w:r>
    <w:r w:rsidRPr="00205C57">
      <w:rPr>
        <w:b/>
        <w:sz w:val="18"/>
      </w:rPr>
      <w:fldChar w:fldCharType="separate"/>
    </w:r>
    <w:r w:rsidRPr="00205C57">
      <w:rPr>
        <w:b/>
        <w:noProof/>
        <w:sz w:val="18"/>
      </w:rPr>
      <w:t>3</w:t>
    </w:r>
    <w:r w:rsidRPr="00205C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927F8" w14:textId="77777777" w:rsidR="00042B72" w:rsidRPr="00205C57" w:rsidRDefault="00205C57" w:rsidP="00205C5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01C3B3" wp14:editId="25BDA12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19-16623  (R)  161019  211019</w:t>
    </w:r>
    <w:r>
      <w:br/>
    </w:r>
    <w:r w:rsidRPr="00205C57">
      <w:rPr>
        <w:rFonts w:ascii="C39T30Lfz" w:hAnsi="C39T30Lfz"/>
        <w:kern w:val="14"/>
        <w:sz w:val="56"/>
      </w:rPr>
      <w:t></w:t>
    </w:r>
    <w:r w:rsidRPr="00205C57">
      <w:rPr>
        <w:rFonts w:ascii="C39T30Lfz" w:hAnsi="C39T30Lfz"/>
        <w:kern w:val="14"/>
        <w:sz w:val="56"/>
      </w:rPr>
      <w:t></w:t>
    </w:r>
    <w:r w:rsidRPr="00205C57">
      <w:rPr>
        <w:rFonts w:ascii="C39T30Lfz" w:hAnsi="C39T30Lfz"/>
        <w:kern w:val="14"/>
        <w:sz w:val="56"/>
      </w:rPr>
      <w:t></w:t>
    </w:r>
    <w:r w:rsidRPr="00205C57">
      <w:rPr>
        <w:rFonts w:ascii="C39T30Lfz" w:hAnsi="C39T30Lfz"/>
        <w:kern w:val="14"/>
        <w:sz w:val="56"/>
      </w:rPr>
      <w:t></w:t>
    </w:r>
    <w:r w:rsidRPr="00205C57">
      <w:rPr>
        <w:rFonts w:ascii="C39T30Lfz" w:hAnsi="C39T30Lfz"/>
        <w:kern w:val="14"/>
        <w:sz w:val="56"/>
      </w:rPr>
      <w:t></w:t>
    </w:r>
    <w:r w:rsidRPr="00205C57">
      <w:rPr>
        <w:rFonts w:ascii="C39T30Lfz" w:hAnsi="C39T30Lfz"/>
        <w:kern w:val="14"/>
        <w:sz w:val="56"/>
      </w:rPr>
      <w:t></w:t>
    </w:r>
    <w:r w:rsidRPr="00205C57">
      <w:rPr>
        <w:rFonts w:ascii="C39T30Lfz" w:hAnsi="C39T30Lfz"/>
        <w:kern w:val="14"/>
        <w:sz w:val="56"/>
      </w:rPr>
      <w:t></w:t>
    </w:r>
    <w:r w:rsidRPr="00205C57">
      <w:rPr>
        <w:rFonts w:ascii="C39T30Lfz" w:hAnsi="C39T30Lfz"/>
        <w:kern w:val="14"/>
        <w:sz w:val="56"/>
      </w:rPr>
      <w:t></w:t>
    </w:r>
    <w:r w:rsidRPr="00205C5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3F0882" wp14:editId="0C3608B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E68A9" w14:textId="77777777" w:rsidR="0018311C" w:rsidRPr="001075E9" w:rsidRDefault="001831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E585F0" w14:textId="77777777" w:rsidR="0018311C" w:rsidRDefault="001831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FF84140" w14:textId="77777777" w:rsidR="00205C57" w:rsidRPr="002232AF" w:rsidRDefault="00205C57" w:rsidP="00205C57">
      <w:pPr>
        <w:pStyle w:val="ad"/>
      </w:pPr>
      <w:r>
        <w:tab/>
      </w:r>
      <w:r w:rsidRPr="00205C57">
        <w:rPr>
          <w:sz w:val="20"/>
        </w:rPr>
        <w:t>*</w:t>
      </w:r>
      <w:r>
        <w:tab/>
        <w:t>В соответствии с программой работы Комитета по внутреннему транспорту на 2014−2018 годы (ECE/TRANS/240, пункт 105, и ECE/TRANS/2014/26, направление работы 02.4) Всемирный форум будет разрабатывать, согласовывать и 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0D73" w14:textId="769DFF16" w:rsidR="00205C57" w:rsidRPr="00205C57" w:rsidRDefault="00205C57">
    <w:pPr>
      <w:pStyle w:val="a5"/>
    </w:pPr>
    <w:fldSimple w:instr=" TITLE  \* MERGEFORMAT ">
      <w:r w:rsidR="0089287A">
        <w:t>ECE/TRANS/WP.29/GRSP/2019/31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84D5" w14:textId="6347A688" w:rsidR="00205C57" w:rsidRPr="00205C57" w:rsidRDefault="00205C57" w:rsidP="00205C57">
    <w:pPr>
      <w:pStyle w:val="a5"/>
      <w:jc w:val="right"/>
    </w:pPr>
    <w:fldSimple w:instr=" TITLE  \* MERGEFORMAT ">
      <w:r w:rsidR="0089287A">
        <w:t>ECE/TRANS/WP.29/GRSP/2019/31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311C"/>
    <w:rsid w:val="0018649F"/>
    <w:rsid w:val="00196389"/>
    <w:rsid w:val="001B3EF6"/>
    <w:rsid w:val="001C7A89"/>
    <w:rsid w:val="00205C5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06F10"/>
    <w:rsid w:val="00825F8D"/>
    <w:rsid w:val="00834B71"/>
    <w:rsid w:val="0086445C"/>
    <w:rsid w:val="0089287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E5EB89"/>
  <w15:docId w15:val="{32D72634-C9D0-4A8F-8AE0-7869FEC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205C57"/>
    <w:rPr>
      <w:lang w:val="ru-RU" w:eastAsia="en-US"/>
    </w:rPr>
  </w:style>
  <w:style w:type="character" w:customStyle="1" w:styleId="HChGChar">
    <w:name w:val="_ H _Ch_G Char"/>
    <w:link w:val="HChG"/>
    <w:rsid w:val="00205C5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398</Words>
  <Characters>2691</Characters>
  <Application>Microsoft Office Word</Application>
  <DocSecurity>0</DocSecurity>
  <Lines>66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ECE/TRANS/WP.29/GRSP/2019/31</vt:lpstr>
      <vt:lpstr>A/</vt:lpstr>
      <vt:lpstr>A/</vt:lpstr>
    </vt:vector>
  </TitlesOfParts>
  <Company>DCM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ECE/TRANS/WP.29/GRSP/2019/31</dc:title>
  <dc:subject/>
  <dc:creator>Uliana ANTIPOVA</dc:creator>
  <cp:keywords/>
  <cp:lastModifiedBy>Uliana ANTIPOVA</cp:lastModifiedBy>
  <cp:revision>3</cp:revision>
  <cp:lastPrinted>2019-10-21T06:50:00Z</cp:lastPrinted>
  <dcterms:created xsi:type="dcterms:W3CDTF">2019-10-21T06:50:00Z</dcterms:created>
  <dcterms:modified xsi:type="dcterms:W3CDTF">2019-10-21T06:50:00Z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