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27BFDE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CB042A0" w14:textId="77777777" w:rsidR="002D5AAC" w:rsidRDefault="002D5AAC" w:rsidP="003343B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0F8DD7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65553C8" w14:textId="77777777" w:rsidR="002D5AAC" w:rsidRDefault="003343B2" w:rsidP="003343B2">
            <w:pPr>
              <w:jc w:val="right"/>
            </w:pPr>
            <w:r w:rsidRPr="003343B2">
              <w:rPr>
                <w:sz w:val="40"/>
              </w:rPr>
              <w:t>ECE</w:t>
            </w:r>
            <w:r>
              <w:t>/TRANS/WP.29/GRSP/2019/7</w:t>
            </w:r>
          </w:p>
        </w:tc>
      </w:tr>
      <w:tr w:rsidR="002D5AAC" w:rsidRPr="003343B2" w14:paraId="2618F6A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9C8E72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F274BF0" wp14:editId="31991BC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599C2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7C7E60D" w14:textId="77777777" w:rsidR="002D5AAC" w:rsidRDefault="003343B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D13372" w14:textId="77777777" w:rsidR="003343B2" w:rsidRDefault="003343B2" w:rsidP="00334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2019</w:t>
            </w:r>
          </w:p>
          <w:p w14:paraId="76AF9B7D" w14:textId="77777777" w:rsidR="003343B2" w:rsidRDefault="003343B2" w:rsidP="00334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9ED0D03" w14:textId="77777777" w:rsidR="003343B2" w:rsidRPr="008D53B6" w:rsidRDefault="003343B2" w:rsidP="003343B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6BAE78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B50890B" w14:textId="77777777" w:rsidR="003343B2" w:rsidRPr="00AD4C5E" w:rsidRDefault="003343B2" w:rsidP="003343B2">
      <w:pPr>
        <w:spacing w:before="120"/>
        <w:rPr>
          <w:sz w:val="28"/>
          <w:szCs w:val="28"/>
        </w:rPr>
      </w:pPr>
      <w:r w:rsidRPr="00AD4C5E">
        <w:rPr>
          <w:sz w:val="28"/>
          <w:szCs w:val="28"/>
        </w:rPr>
        <w:t>Комитет по внутреннему транспорту</w:t>
      </w:r>
    </w:p>
    <w:p w14:paraId="0BA65FE3" w14:textId="77777777" w:rsidR="003343B2" w:rsidRPr="00AD4C5E" w:rsidRDefault="003343B2" w:rsidP="003343B2">
      <w:pPr>
        <w:spacing w:before="120"/>
        <w:rPr>
          <w:b/>
          <w:sz w:val="24"/>
          <w:szCs w:val="24"/>
        </w:rPr>
      </w:pPr>
      <w:r w:rsidRPr="00AD4C5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D4C5E">
        <w:rPr>
          <w:b/>
          <w:bCs/>
          <w:sz w:val="24"/>
          <w:szCs w:val="24"/>
        </w:rPr>
        <w:t>в области транспортных средств</w:t>
      </w:r>
    </w:p>
    <w:p w14:paraId="08B948BB" w14:textId="77777777" w:rsidR="003343B2" w:rsidRPr="00AD4C5E" w:rsidRDefault="003343B2" w:rsidP="003343B2">
      <w:pPr>
        <w:spacing w:before="120"/>
        <w:rPr>
          <w:b/>
        </w:rPr>
      </w:pPr>
      <w:r w:rsidRPr="00AD4C5E">
        <w:rPr>
          <w:b/>
          <w:bCs/>
        </w:rPr>
        <w:t>Рабочая группа по пассивной безопасности</w:t>
      </w:r>
    </w:p>
    <w:p w14:paraId="4727E96D" w14:textId="77777777" w:rsidR="003343B2" w:rsidRPr="00AD4C5E" w:rsidRDefault="003343B2" w:rsidP="003343B2">
      <w:pPr>
        <w:spacing w:before="120"/>
        <w:rPr>
          <w:b/>
          <w:bCs/>
        </w:rPr>
      </w:pPr>
      <w:r w:rsidRPr="00AD4C5E">
        <w:rPr>
          <w:b/>
          <w:bCs/>
        </w:rPr>
        <w:t>Шестьдесят пятая сессия</w:t>
      </w:r>
    </w:p>
    <w:p w14:paraId="6132DCFA" w14:textId="77777777" w:rsidR="003343B2" w:rsidRPr="00AD4C5E" w:rsidRDefault="003343B2" w:rsidP="003343B2">
      <w:r w:rsidRPr="00AD4C5E">
        <w:t>Женева, 13–17 мая 2019 года</w:t>
      </w:r>
    </w:p>
    <w:p w14:paraId="77544F9D" w14:textId="77777777" w:rsidR="003343B2" w:rsidRPr="00AD4C5E" w:rsidRDefault="003343B2" w:rsidP="003343B2">
      <w:r w:rsidRPr="00AD4C5E">
        <w:t>Пункт 9 предварительной повестки дня</w:t>
      </w:r>
    </w:p>
    <w:p w14:paraId="787F3058" w14:textId="77777777" w:rsidR="003343B2" w:rsidRPr="00AD4C5E" w:rsidRDefault="003343B2" w:rsidP="003343B2">
      <w:r w:rsidRPr="00AD4C5E">
        <w:rPr>
          <w:b/>
          <w:bCs/>
        </w:rPr>
        <w:t>Правил № 17 ООН (прочность сидений)</w:t>
      </w:r>
    </w:p>
    <w:p w14:paraId="426E98FA" w14:textId="77777777" w:rsidR="003343B2" w:rsidRPr="00AD4C5E" w:rsidRDefault="003343B2" w:rsidP="003343B2">
      <w:pPr>
        <w:pStyle w:val="HChG"/>
      </w:pPr>
      <w:r w:rsidRPr="00AD4C5E">
        <w:tab/>
      </w:r>
      <w:r w:rsidRPr="00AD4C5E">
        <w:tab/>
        <w:t>Предложение по поправкам серии 10 к Правилам № 17 ООН (прочность сидений)</w:t>
      </w:r>
    </w:p>
    <w:p w14:paraId="27EF9626" w14:textId="77777777" w:rsidR="003343B2" w:rsidRPr="00AD4C5E" w:rsidRDefault="003343B2" w:rsidP="003343B2">
      <w:pPr>
        <w:pStyle w:val="H1G"/>
      </w:pPr>
      <w:r w:rsidRPr="00AD4C5E">
        <w:tab/>
      </w:r>
      <w:r w:rsidRPr="00AD4C5E">
        <w:tab/>
        <w:t>Представлено экспертом от Европейской ассоциации поставщиков автомобильных деталей</w:t>
      </w:r>
      <w:r w:rsidRPr="003343B2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D4C5E">
        <w:t xml:space="preserve"> </w:t>
      </w:r>
    </w:p>
    <w:p w14:paraId="2D5FF5CA" w14:textId="77777777" w:rsidR="003343B2" w:rsidRPr="00AD4C5E" w:rsidRDefault="003343B2" w:rsidP="003343B2">
      <w:pPr>
        <w:pStyle w:val="SingleTxtG"/>
        <w:ind w:firstLine="567"/>
        <w:rPr>
          <w:rFonts w:eastAsia="MS Mincho"/>
        </w:rPr>
      </w:pPr>
      <w:r w:rsidRPr="00AD4C5E">
        <w:t>Воспроизведенный ниже текст был подготовлен экспертом от Европейской ассоциации поставщиков автомобильных деталей (КСАОД) в целях внесения изменений в динамический вариант проекта поправок серии 10, представленный экспертами от Японии и Европейской комиссии (ECE/TRANS/GRSP/2018/34). В его основу положен неофициальный документ</w:t>
      </w:r>
      <w:r w:rsidRPr="003343B2">
        <w:t xml:space="preserve"> </w:t>
      </w:r>
      <w:r w:rsidRPr="00AD4C5E">
        <w:t>GRSP-64-44, представленный в ходе шестьдесят четвертой сессии Рабочей группы по пассивной безопасности (GRSP). Изменения к документу ECE/TRANS/GRSP/2018/34 выделены жирным шрифтом или зачеркиванием.</w:t>
      </w:r>
    </w:p>
    <w:p w14:paraId="556512E2" w14:textId="77777777" w:rsidR="003343B2" w:rsidRPr="00AD4C5E" w:rsidRDefault="003343B2" w:rsidP="003343B2">
      <w:pPr>
        <w:suppressAutoHyphens w:val="0"/>
        <w:spacing w:line="240" w:lineRule="auto"/>
      </w:pPr>
      <w:r w:rsidRPr="00AD4C5E">
        <w:br w:type="page"/>
      </w:r>
    </w:p>
    <w:p w14:paraId="21925367" w14:textId="77777777" w:rsidR="003343B2" w:rsidRPr="00AD4C5E" w:rsidRDefault="003343B2" w:rsidP="003343B2">
      <w:pPr>
        <w:pStyle w:val="HChG"/>
        <w:rPr>
          <w:b w:val="0"/>
        </w:rPr>
      </w:pPr>
      <w:r w:rsidRPr="00AD4C5E">
        <w:lastRenderedPageBreak/>
        <w:tab/>
        <w:t>I.</w:t>
      </w:r>
      <w:r w:rsidRPr="00AD4C5E">
        <w:tab/>
      </w:r>
      <w:r w:rsidRPr="00AD4C5E">
        <w:rPr>
          <w:bCs/>
        </w:rPr>
        <w:t>Предложение</w:t>
      </w:r>
    </w:p>
    <w:p w14:paraId="05964E18" w14:textId="77777777" w:rsidR="003343B2" w:rsidRPr="00AD4C5E" w:rsidRDefault="003343B2" w:rsidP="003343B2">
      <w:pPr>
        <w:pStyle w:val="SingleTxtG"/>
        <w:rPr>
          <w:iCs/>
        </w:rPr>
      </w:pPr>
      <w:r w:rsidRPr="00AD4C5E">
        <w:rPr>
          <w:i/>
          <w:iCs/>
        </w:rPr>
        <w:t>Пункт 2.28</w:t>
      </w:r>
      <w:r w:rsidRPr="00AD4C5E">
        <w:t xml:space="preserve"> изменить следующим образом:</w:t>
      </w:r>
    </w:p>
    <w:p w14:paraId="723EA09E" w14:textId="77777777" w:rsidR="003343B2" w:rsidRPr="00AD4C5E" w:rsidRDefault="003343B2" w:rsidP="003343B2">
      <w:pPr>
        <w:pStyle w:val="SingleTxtG"/>
        <w:ind w:left="2268" w:hanging="1134"/>
        <w:rPr>
          <w:b/>
          <w:bCs/>
        </w:rPr>
      </w:pPr>
      <w:r w:rsidRPr="00AD4C5E">
        <w:rPr>
          <w:rFonts w:eastAsiaTheme="minorEastAsia"/>
          <w:lang w:eastAsia="zh-CN"/>
        </w:rPr>
        <w:t>«</w:t>
      </w:r>
      <w:r w:rsidRPr="00AD4C5E">
        <w:t>2.28</w:t>
      </w:r>
      <w:r w:rsidRPr="00AD4C5E">
        <w:tab/>
        <w:t xml:space="preserve">"Отскок" означает </w:t>
      </w:r>
      <w:r w:rsidRPr="00AD4C5E">
        <w:rPr>
          <w:strike/>
        </w:rPr>
        <w:t>возвращение головы назад в исходное положение после соприкосновения с подголовником.</w:t>
      </w:r>
      <w:r w:rsidRPr="00AD4C5E">
        <w:t xml:space="preserve"> </w:t>
      </w:r>
      <w:r w:rsidRPr="00AD4C5E">
        <w:rPr>
          <w:b/>
          <w:bCs/>
        </w:rPr>
        <w:t xml:space="preserve">движение головы после выхода из контакта с подголовником, временами превышающее </w:t>
      </w:r>
      <w:r>
        <w:rPr>
          <w:b/>
          <w:bCs/>
        </w:rPr>
        <w:br/>
      </w:r>
      <w:r w:rsidRPr="00AD4C5E">
        <w:rPr>
          <w:b/>
          <w:bCs/>
        </w:rPr>
        <w:t>T-HRC(end)</w:t>
      </w:r>
      <w:r w:rsidRPr="00200618">
        <w:rPr>
          <w:bCs/>
        </w:rPr>
        <w:t>».</w:t>
      </w:r>
    </w:p>
    <w:p w14:paraId="67A4CC8D" w14:textId="77777777" w:rsidR="003343B2" w:rsidRPr="00AD4C5E" w:rsidRDefault="003343B2" w:rsidP="003343B2">
      <w:pPr>
        <w:pStyle w:val="SingleTxtG"/>
        <w:rPr>
          <w:i/>
        </w:rPr>
      </w:pPr>
      <w:r w:rsidRPr="00AD4C5E">
        <w:rPr>
          <w:i/>
          <w:iCs/>
        </w:rPr>
        <w:t>Включить новый пункт 2.30</w:t>
      </w:r>
      <w:r w:rsidRPr="00AD4C5E">
        <w:t xml:space="preserve"> следующего содержания:</w:t>
      </w:r>
    </w:p>
    <w:p w14:paraId="38482081" w14:textId="77777777" w:rsidR="003343B2" w:rsidRPr="00AD4C5E" w:rsidRDefault="003343B2" w:rsidP="003343B2">
      <w:pPr>
        <w:pStyle w:val="SingleTxtG"/>
        <w:ind w:left="2268" w:hanging="1134"/>
        <w:rPr>
          <w:b/>
          <w:bCs/>
        </w:rPr>
      </w:pPr>
      <w:r w:rsidRPr="00AD4C5E">
        <w:t>«2.30</w:t>
      </w:r>
      <w:r w:rsidRPr="00AD4C5E">
        <w:tab/>
      </w:r>
      <w:r w:rsidRPr="00AD4C5E">
        <w:rPr>
          <w:b/>
          <w:bCs/>
        </w:rPr>
        <w:t>"боковой выступ-поддержка" означает регулируемые элементы сиденья по бокам подушки сиденья и/или спинки сиденья для ограничения бокового перемещения водителя и пассажиров</w:t>
      </w:r>
      <w:r w:rsidRPr="00200618">
        <w:rPr>
          <w:bCs/>
        </w:rPr>
        <w:t>».</w:t>
      </w:r>
    </w:p>
    <w:p w14:paraId="4213C231" w14:textId="77777777" w:rsidR="003343B2" w:rsidRPr="00AD4C5E" w:rsidRDefault="003343B2" w:rsidP="003343B2">
      <w:pPr>
        <w:pStyle w:val="SingleTxtG"/>
        <w:rPr>
          <w:i/>
        </w:rPr>
      </w:pPr>
      <w:r w:rsidRPr="00AD4C5E">
        <w:rPr>
          <w:i/>
          <w:iCs/>
        </w:rPr>
        <w:t>Пункт 5.9.2</w:t>
      </w:r>
      <w:r w:rsidRPr="00AD4C5E">
        <w:t xml:space="preserve"> изменить следующим образом:</w:t>
      </w:r>
    </w:p>
    <w:p w14:paraId="0B0D96AA" w14:textId="77777777" w:rsidR="003343B2" w:rsidRPr="00AD4C5E" w:rsidRDefault="003343B2" w:rsidP="003343B2">
      <w:pPr>
        <w:pStyle w:val="SingleTxtG"/>
        <w:spacing w:before="120"/>
        <w:rPr>
          <w:rFonts w:eastAsia="MS Gothic"/>
        </w:rPr>
      </w:pPr>
      <w:r w:rsidRPr="00200618">
        <w:rPr>
          <w:bCs/>
        </w:rPr>
        <w:t>«</w:t>
      </w:r>
      <w:r w:rsidRPr="00AD4C5E">
        <w:rPr>
          <w:b/>
          <w:bCs/>
        </w:rPr>
        <w:t>5.9.2</w:t>
      </w:r>
      <w:r w:rsidRPr="00AD4C5E">
        <w:rPr>
          <w:b/>
          <w:bCs/>
        </w:rPr>
        <w:tab/>
      </w:r>
      <w:r w:rsidRPr="00AD4C5E">
        <w:rPr>
          <w:b/>
          <w:bCs/>
        </w:rPr>
        <w:tab/>
        <w:t>Критерии оценки</w:t>
      </w:r>
    </w:p>
    <w:p w14:paraId="2359A877" w14:textId="77777777" w:rsidR="003343B2" w:rsidRPr="00AD4C5E" w:rsidRDefault="003343B2" w:rsidP="003343B2">
      <w:pPr>
        <w:pStyle w:val="SingleTxtG"/>
        <w:ind w:left="2268"/>
        <w:rPr>
          <w:rFonts w:eastAsia="MS Gothic"/>
          <w:b/>
          <w:bCs/>
        </w:rPr>
      </w:pPr>
      <w:r w:rsidRPr="00AD4C5E">
        <w:rPr>
          <w:b/>
          <w:bCs/>
        </w:rPr>
        <w:t xml:space="preserve">Каждый подголовник должен ограничивать перемещение головы и шеи в следующих пределах. </w:t>
      </w:r>
    </w:p>
    <w:p w14:paraId="41A09341" w14:textId="77777777" w:rsidR="003343B2" w:rsidRPr="00AD4C5E" w:rsidRDefault="003343B2" w:rsidP="003343B2">
      <w:pPr>
        <w:pStyle w:val="H23G"/>
        <w:rPr>
          <w:rFonts w:eastAsia="MS Gothic"/>
        </w:rPr>
      </w:pPr>
      <w:r>
        <w:tab/>
      </w:r>
      <w:r>
        <w:tab/>
      </w:r>
      <w:r w:rsidRPr="00AD4C5E">
        <w:t>Таблица 1</w:t>
      </w:r>
      <w:r>
        <w:br/>
      </w:r>
      <w:r w:rsidRPr="00AD4C5E">
        <w:t>Критерии травмирования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10"/>
        <w:gridCol w:w="2410"/>
        <w:gridCol w:w="2550"/>
      </w:tblGrid>
      <w:tr w:rsidR="003343B2" w:rsidRPr="00F46B38" w14:paraId="76E1BB63" w14:textId="77777777" w:rsidTr="003343B2">
        <w:trPr>
          <w:cantSplit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FD07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0DC46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i/>
                <w:strike/>
                <w:sz w:val="18"/>
                <w:szCs w:val="18"/>
              </w:rPr>
            </w:pPr>
            <w:r w:rsidRPr="00AD4C5E">
              <w:rPr>
                <w:i/>
                <w:iCs/>
                <w:strike/>
                <w:sz w:val="18"/>
                <w:szCs w:val="18"/>
              </w:rPr>
              <w:t>AIS1+: значение 50%</w:t>
            </w:r>
          </w:p>
          <w:p w14:paraId="40AF1E08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i/>
                <w:strike/>
                <w:sz w:val="18"/>
                <w:szCs w:val="18"/>
              </w:rPr>
            </w:pPr>
            <w:r w:rsidRPr="00AD4C5E">
              <w:rPr>
                <w:i/>
                <w:iCs/>
                <w:strike/>
                <w:sz w:val="18"/>
                <w:szCs w:val="18"/>
              </w:rPr>
              <w:t>&lt;Эквивалентность&gt;</w:t>
            </w:r>
          </w:p>
          <w:p w14:paraId="191FE004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i/>
                <w:strike/>
                <w:sz w:val="18"/>
                <w:szCs w:val="18"/>
              </w:rPr>
            </w:pPr>
            <w:r w:rsidRPr="00AD4C5E">
              <w:rPr>
                <w:i/>
                <w:iCs/>
                <w:strike/>
                <w:sz w:val="18"/>
                <w:szCs w:val="18"/>
              </w:rPr>
              <w:t>WAD2+: значение 82,9%</w:t>
            </w:r>
          </w:p>
        </w:tc>
      </w:tr>
      <w:tr w:rsidR="003343B2" w:rsidRPr="00AD4C5E" w14:paraId="2464E341" w14:textId="77777777" w:rsidTr="003343B2">
        <w:trPr>
          <w:cantSplit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EBF2C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rPr>
                <w:i/>
                <w:sz w:val="16"/>
                <w:szCs w:val="36"/>
                <w:lang w:eastAsia="en-GB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8DEB7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trike/>
                <w:szCs w:val="36"/>
              </w:rPr>
            </w:pPr>
            <w:r w:rsidRPr="00AD4C5E">
              <w:rPr>
                <w:b/>
                <w:bCs/>
                <w:strike/>
              </w:rPr>
              <w:t>IV-КТШ=1,1</w:t>
            </w:r>
          </w:p>
        </w:tc>
      </w:tr>
      <w:tr w:rsidR="003343B2" w:rsidRPr="00AD4C5E" w14:paraId="754A00AA" w14:textId="77777777" w:rsidTr="003343B2">
        <w:trPr>
          <w:cantSplit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F071C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zCs w:val="36"/>
              </w:rPr>
            </w:pPr>
            <w:r w:rsidRPr="00AD4C5E">
              <w:t>КШТ макс.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70967D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zCs w:val="36"/>
              </w:rPr>
            </w:pPr>
            <w:r w:rsidRPr="00AD4C5E">
              <w:rPr>
                <w:b/>
                <w:bCs/>
              </w:rPr>
              <w:t>28 м²/с²</w:t>
            </w:r>
          </w:p>
        </w:tc>
      </w:tr>
      <w:tr w:rsidR="003343B2" w:rsidRPr="00AD4C5E" w14:paraId="121A96DE" w14:textId="77777777" w:rsidTr="003343B2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86FFF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zCs w:val="36"/>
              </w:rPr>
            </w:pPr>
            <w:r w:rsidRPr="00AD4C5E">
              <w:t>Верхний шейный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BD5563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trike/>
              </w:rPr>
            </w:pPr>
            <w:r w:rsidRPr="00AD4C5E">
              <w:rPr>
                <w:strike/>
              </w:rPr>
              <w:t>FX (назад)</w:t>
            </w:r>
          </w:p>
          <w:p w14:paraId="2B81A94F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trike/>
                <w:szCs w:val="36"/>
              </w:rPr>
            </w:pPr>
            <w:r w:rsidRPr="00AD4C5E">
              <w:rPr>
                <w:b/>
                <w:bCs/>
              </w:rPr>
              <w:t>FX+ верхний отдел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48F638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zCs w:val="48"/>
              </w:rPr>
            </w:pPr>
            <w:r w:rsidRPr="00AD4C5E">
              <w:rPr>
                <w:b/>
                <w:bCs/>
              </w:rPr>
              <w:t>790 Н</w:t>
            </w:r>
          </w:p>
        </w:tc>
      </w:tr>
      <w:tr w:rsidR="003343B2" w:rsidRPr="00AD4C5E" w14:paraId="4BA8FEDF" w14:textId="77777777" w:rsidTr="003343B2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71EE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rPr>
                <w:szCs w:val="3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1828B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zCs w:val="36"/>
              </w:rPr>
            </w:pPr>
            <w:r w:rsidRPr="00AD4C5E">
              <w:rPr>
                <w:b/>
                <w:bCs/>
              </w:rPr>
              <w:t xml:space="preserve">MY +/- верхний отдел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49C21E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zCs w:val="36"/>
              </w:rPr>
            </w:pPr>
            <w:r w:rsidRPr="00AD4C5E">
              <w:rPr>
                <w:b/>
                <w:bCs/>
              </w:rPr>
              <w:t>37,8 Нм</w:t>
            </w:r>
          </w:p>
        </w:tc>
      </w:tr>
      <w:tr w:rsidR="003343B2" w:rsidRPr="00AD4C5E" w14:paraId="3027C9DF" w14:textId="77777777" w:rsidTr="003343B2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468229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zCs w:val="36"/>
              </w:rPr>
            </w:pPr>
            <w:r w:rsidRPr="00AD4C5E">
              <w:t>Нижний шейный отдел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FC2DDF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trike/>
              </w:rPr>
            </w:pPr>
            <w:r w:rsidRPr="00AD4C5E">
              <w:rPr>
                <w:strike/>
              </w:rPr>
              <w:t>FX (назад)</w:t>
            </w:r>
          </w:p>
          <w:p w14:paraId="597888B8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trike/>
                <w:szCs w:val="36"/>
              </w:rPr>
            </w:pPr>
            <w:r w:rsidRPr="00AD4C5E">
              <w:rPr>
                <w:b/>
                <w:bCs/>
              </w:rPr>
              <w:t>FX - нижний отдел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1EA57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zCs w:val="36"/>
              </w:rPr>
            </w:pPr>
            <w:r w:rsidRPr="00AD4C5E">
              <w:rPr>
                <w:b/>
                <w:bCs/>
              </w:rPr>
              <w:t>790 Н</w:t>
            </w:r>
          </w:p>
        </w:tc>
      </w:tr>
      <w:tr w:rsidR="003343B2" w:rsidRPr="00AD4C5E" w14:paraId="43115D86" w14:textId="77777777" w:rsidTr="003343B2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47AF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rPr>
                <w:szCs w:val="36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62B400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szCs w:val="36"/>
              </w:rPr>
            </w:pPr>
            <w:r w:rsidRPr="00AD4C5E">
              <w:rPr>
                <w:b/>
                <w:bCs/>
              </w:rPr>
              <w:t>MY+/- нижний отдел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A06361" w14:textId="77777777" w:rsidR="003343B2" w:rsidRPr="00AD4C5E" w:rsidRDefault="003343B2" w:rsidP="003343B2">
            <w:pPr>
              <w:suppressAutoHyphens w:val="0"/>
              <w:spacing w:before="40" w:after="40" w:line="220" w:lineRule="atLeast"/>
              <w:textAlignment w:val="center"/>
              <w:rPr>
                <w:b/>
                <w:bCs/>
                <w:szCs w:val="36"/>
              </w:rPr>
            </w:pPr>
            <w:r w:rsidRPr="00AD4C5E">
              <w:rPr>
                <w:b/>
                <w:bCs/>
              </w:rPr>
              <w:t>37,8 Нм</w:t>
            </w:r>
          </w:p>
        </w:tc>
      </w:tr>
    </w:tbl>
    <w:p w14:paraId="0C3DBCFE" w14:textId="77777777" w:rsidR="003343B2" w:rsidRPr="003343B2" w:rsidRDefault="003343B2" w:rsidP="003343B2">
      <w:pPr>
        <w:pStyle w:val="SingleTxtG"/>
        <w:spacing w:before="120" w:after="240"/>
        <w:ind w:firstLine="142"/>
        <w:jc w:val="left"/>
        <w:rPr>
          <w:rFonts w:eastAsia="MS Gothic"/>
          <w:bCs/>
          <w:sz w:val="18"/>
          <w:szCs w:val="18"/>
        </w:rPr>
      </w:pPr>
      <w:r w:rsidRPr="003343B2">
        <w:rPr>
          <w:i/>
          <w:iCs/>
          <w:sz w:val="18"/>
          <w:szCs w:val="18"/>
        </w:rPr>
        <w:t>Примечание</w:t>
      </w:r>
      <w:r w:rsidRPr="003343B2">
        <w:rPr>
          <w:sz w:val="18"/>
          <w:szCs w:val="18"/>
        </w:rPr>
        <w:t>: Без учета замера значений FX на этапе отскока (исключается), которые могут быть как отрицательными, так и положительными</w:t>
      </w:r>
      <w:r>
        <w:rPr>
          <w:sz w:val="18"/>
          <w:szCs w:val="18"/>
        </w:rPr>
        <w:t>»</w:t>
      </w:r>
      <w:r w:rsidRPr="003343B2">
        <w:rPr>
          <w:sz w:val="18"/>
          <w:szCs w:val="18"/>
        </w:rPr>
        <w:t>.</w:t>
      </w:r>
    </w:p>
    <w:p w14:paraId="3788118C" w14:textId="77777777" w:rsidR="003343B2" w:rsidRPr="00AD4C5E" w:rsidRDefault="003343B2" w:rsidP="003343B2">
      <w:pPr>
        <w:pStyle w:val="SingleTxtG"/>
        <w:rPr>
          <w:i/>
        </w:rPr>
      </w:pPr>
      <w:r w:rsidRPr="00AD4C5E">
        <w:rPr>
          <w:i/>
          <w:iCs/>
        </w:rPr>
        <w:t>Пункты 4.2.1.3 и 4.2.1.4 приложения 14</w:t>
      </w:r>
      <w:r w:rsidRPr="00AD4C5E">
        <w:t xml:space="preserve"> изменить следующим образом:</w:t>
      </w:r>
    </w:p>
    <w:p w14:paraId="7A160751" w14:textId="77777777" w:rsidR="003343B2" w:rsidRPr="00AD4C5E" w:rsidRDefault="003343B2" w:rsidP="003343B2">
      <w:pPr>
        <w:pStyle w:val="SingleTxtG"/>
        <w:ind w:left="2268" w:right="850" w:hanging="1134"/>
        <w:rPr>
          <w:b/>
          <w:bCs/>
        </w:rPr>
      </w:pPr>
      <w:r w:rsidRPr="00AD4C5E">
        <w:t>«4.2.1.3</w:t>
      </w:r>
      <w:r w:rsidRPr="00AD4C5E">
        <w:tab/>
      </w:r>
      <w:r w:rsidRPr="00AD4C5E">
        <w:rPr>
          <w:strike/>
        </w:rPr>
        <w:t>T-[HRC]</w:t>
      </w:r>
      <w:r w:rsidRPr="00AD4C5E">
        <w:rPr>
          <w:strike/>
          <w:vertAlign w:val="subscript"/>
        </w:rPr>
        <w:t>(end)</w:t>
      </w:r>
      <w:r w:rsidRPr="00AD4C5E">
        <w:t xml:space="preserve"> Определение</w:t>
      </w:r>
      <w:r w:rsidRPr="00AD4C5E">
        <w:rPr>
          <w:b/>
          <w:bCs/>
        </w:rPr>
        <w:t xml:space="preserve"> T(end)</w:t>
      </w:r>
    </w:p>
    <w:p w14:paraId="3A239800" w14:textId="77777777" w:rsidR="003343B2" w:rsidRPr="00AD4C5E" w:rsidRDefault="003343B2" w:rsidP="003343B2">
      <w:pPr>
        <w:pStyle w:val="SingleTxtG"/>
        <w:ind w:left="2268" w:hanging="1134"/>
        <w:rPr>
          <w:rFonts w:eastAsia="MS Gothic"/>
          <w:bCs/>
        </w:rPr>
      </w:pPr>
      <w:r w:rsidRPr="00AD4C5E">
        <w:tab/>
        <w:t xml:space="preserve">Под </w:t>
      </w:r>
      <w:r w:rsidRPr="00AD4C5E">
        <w:rPr>
          <w:strike/>
        </w:rPr>
        <w:t>T-[HRC]</w:t>
      </w:r>
      <w:r w:rsidRPr="00AD4C5E">
        <w:rPr>
          <w:strike/>
          <w:vertAlign w:val="subscript"/>
        </w:rPr>
        <w:t>(end)</w:t>
      </w:r>
      <w:r w:rsidRPr="003343B2">
        <w:t xml:space="preserve"> </w:t>
      </w:r>
      <w:r w:rsidRPr="00AD4C5E">
        <w:rPr>
          <w:b/>
          <w:bCs/>
        </w:rPr>
        <w:t>T(end)</w:t>
      </w:r>
      <w:r w:rsidRPr="00AD4C5E">
        <w:t xml:space="preserve"> понимают момент времени, когда сигнал ускорения салазок после его фильтрации по КЧХ60 впервые составляет &lt; 0 g.</w:t>
      </w:r>
    </w:p>
    <w:p w14:paraId="028B0F4C" w14:textId="77777777" w:rsidR="003343B2" w:rsidRPr="00AD4C5E" w:rsidRDefault="003343B2" w:rsidP="003343B2">
      <w:pPr>
        <w:pStyle w:val="SingleTxtG"/>
        <w:ind w:left="2268" w:right="850" w:hanging="1134"/>
        <w:rPr>
          <w:bCs/>
        </w:rPr>
      </w:pPr>
      <w:r w:rsidRPr="00AD4C5E">
        <w:t>4.2.1.4</w:t>
      </w:r>
      <w:r w:rsidRPr="00AD4C5E">
        <w:tab/>
        <w:t>Определение временно́го интервала</w:t>
      </w:r>
    </w:p>
    <w:p w14:paraId="2BD67B2D" w14:textId="77777777" w:rsidR="003343B2" w:rsidRPr="00AD4C5E" w:rsidRDefault="003343B2" w:rsidP="003343B2">
      <w:pPr>
        <w:pStyle w:val="SingleTxtG"/>
        <w:ind w:left="2268" w:hanging="1134"/>
        <w:rPr>
          <w:rFonts w:eastAsia="MS Gothic"/>
          <w:bCs/>
        </w:rPr>
      </w:pPr>
      <w:r w:rsidRPr="00AD4C5E">
        <w:tab/>
        <w:t xml:space="preserve">Применительно к полосе импульсного ускорения салазок временно́й интервал записывают как dT = </w:t>
      </w:r>
      <w:r w:rsidRPr="00AD4C5E">
        <w:rPr>
          <w:strike/>
        </w:rPr>
        <w:t>T-[HRC]</w:t>
      </w:r>
      <w:r w:rsidRPr="00AD4C5E">
        <w:rPr>
          <w:strike/>
          <w:vertAlign w:val="subscript"/>
        </w:rPr>
        <w:t>(end)</w:t>
      </w:r>
      <w:r w:rsidRPr="00AD4C5E">
        <w:t xml:space="preserve"> </w:t>
      </w:r>
      <w:r w:rsidRPr="00AD4C5E">
        <w:rPr>
          <w:b/>
          <w:bCs/>
        </w:rPr>
        <w:t>T(end)</w:t>
      </w:r>
      <w:r w:rsidRPr="00AD4C5E">
        <w:t xml:space="preserve"> </w:t>
      </w:r>
      <w:r>
        <w:t>−</w:t>
      </w:r>
      <w:r w:rsidRPr="00AD4C5E">
        <w:t xml:space="preserve"> T</w:t>
      </w:r>
      <w:r w:rsidRPr="00AD4C5E">
        <w:rPr>
          <w:vertAlign w:val="subscript"/>
        </w:rPr>
        <w:t>0</w:t>
      </w:r>
      <w:r w:rsidRPr="003343B2">
        <w:t>»</w:t>
      </w:r>
      <w:r w:rsidRPr="00AD4C5E">
        <w:t>.</w:t>
      </w:r>
    </w:p>
    <w:p w14:paraId="5E403967" w14:textId="77777777" w:rsidR="003343B2" w:rsidRPr="00AD4C5E" w:rsidRDefault="003343B2" w:rsidP="003343B2">
      <w:pPr>
        <w:pStyle w:val="HChG"/>
        <w:rPr>
          <w:snapToGrid w:val="0"/>
        </w:rPr>
      </w:pPr>
      <w:r w:rsidRPr="00AD4C5E">
        <w:tab/>
        <w:t>II.</w:t>
      </w:r>
      <w:r w:rsidRPr="00AD4C5E">
        <w:tab/>
        <w:t>Обоснование</w:t>
      </w:r>
    </w:p>
    <w:p w14:paraId="60E6FCE8" w14:textId="77777777" w:rsidR="003343B2" w:rsidRPr="00AD4C5E" w:rsidRDefault="003343B2" w:rsidP="003343B2">
      <w:pPr>
        <w:pStyle w:val="SingleTxtG"/>
        <w:rPr>
          <w:rFonts w:eastAsia="MS Mincho"/>
        </w:rPr>
      </w:pPr>
      <w:r w:rsidRPr="00AD4C5E">
        <w:rPr>
          <w:rFonts w:eastAsia="MS Mincho"/>
        </w:rPr>
        <w:t>1.</w:t>
      </w:r>
      <w:r w:rsidRPr="00AD4C5E">
        <w:rPr>
          <w:rFonts w:eastAsia="MS Mincho"/>
        </w:rPr>
        <w:tab/>
      </w:r>
      <w:r w:rsidRPr="00AD4C5E">
        <w:t>КСАОД считает, что GRSP следует выбирать пределы риска травматизма не только на основе представленных кривых риска травматизма, но рассмотреть также техническую осуществимость с учетом вариативности измерений, выполненных при помощи инструмента, которым служит биомеханический манекен для испытания на удар сзади (BioRID).</w:t>
      </w:r>
    </w:p>
    <w:p w14:paraId="18813DFB" w14:textId="77777777" w:rsidR="003343B2" w:rsidRPr="00AD4C5E" w:rsidRDefault="003343B2" w:rsidP="003343B2">
      <w:pPr>
        <w:pStyle w:val="SingleTxtG"/>
        <w:rPr>
          <w:rFonts w:eastAsia="MS Mincho"/>
        </w:rPr>
      </w:pPr>
      <w:r w:rsidRPr="00AD4C5E">
        <w:rPr>
          <w:rFonts w:eastAsia="MS Mincho"/>
        </w:rPr>
        <w:lastRenderedPageBreak/>
        <w:t>2.</w:t>
      </w:r>
      <w:r w:rsidRPr="00AD4C5E">
        <w:rPr>
          <w:rFonts w:eastAsia="MS Mincho"/>
        </w:rPr>
        <w:tab/>
      </w:r>
      <w:r w:rsidRPr="00AD4C5E">
        <w:t xml:space="preserve">Обоснование КСАОД было представлено в неофициальном документе </w:t>
      </w:r>
      <w:r>
        <w:br/>
      </w:r>
      <w:r w:rsidRPr="00AD4C5E">
        <w:t>GRSP-64-44 на сессии GRSP в декабре 2018 года с использованием результатов испытания манекена BioRID II на повторяемость и воспроизводимость, представленных в документе неофициальной рабочей группы GTR-16-02 HIS.</w:t>
      </w:r>
    </w:p>
    <w:p w14:paraId="313376AA" w14:textId="77777777" w:rsidR="003343B2" w:rsidRPr="00AD4C5E" w:rsidRDefault="003343B2" w:rsidP="003343B2">
      <w:pPr>
        <w:pStyle w:val="SingleTxtG"/>
      </w:pPr>
      <w:r w:rsidRPr="00AD4C5E">
        <w:t>3.</w:t>
      </w:r>
      <w:r w:rsidRPr="00AD4C5E">
        <w:tab/>
        <w:t xml:space="preserve">КСАОД также внесла изменения в определение T(end), который отличается от Т-HRC(end).  </w:t>
      </w:r>
    </w:p>
    <w:p w14:paraId="1E5C1F3E" w14:textId="77777777" w:rsidR="00E12C5F" w:rsidRPr="003343B2" w:rsidRDefault="003343B2" w:rsidP="003343B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343B2" w:rsidSect="003343B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A906" w14:textId="77777777" w:rsidR="00D0166A" w:rsidRPr="00A312BC" w:rsidRDefault="00D0166A" w:rsidP="00A312BC"/>
  </w:endnote>
  <w:endnote w:type="continuationSeparator" w:id="0">
    <w:p w14:paraId="05EB95B0" w14:textId="77777777" w:rsidR="00D0166A" w:rsidRPr="00A312BC" w:rsidRDefault="00D0166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88126" w14:textId="77777777" w:rsidR="003343B2" w:rsidRPr="003343B2" w:rsidRDefault="003343B2">
    <w:pPr>
      <w:pStyle w:val="Footer"/>
    </w:pPr>
    <w:r w:rsidRPr="003343B2">
      <w:rPr>
        <w:b/>
        <w:sz w:val="18"/>
      </w:rPr>
      <w:fldChar w:fldCharType="begin"/>
    </w:r>
    <w:r w:rsidRPr="003343B2">
      <w:rPr>
        <w:b/>
        <w:sz w:val="18"/>
      </w:rPr>
      <w:instrText xml:space="preserve"> PAGE  \* MERGEFORMAT </w:instrText>
    </w:r>
    <w:r w:rsidRPr="003343B2">
      <w:rPr>
        <w:b/>
        <w:sz w:val="18"/>
      </w:rPr>
      <w:fldChar w:fldCharType="separate"/>
    </w:r>
    <w:r w:rsidRPr="003343B2">
      <w:rPr>
        <w:b/>
        <w:noProof/>
        <w:sz w:val="18"/>
      </w:rPr>
      <w:t>2</w:t>
    </w:r>
    <w:r w:rsidRPr="003343B2">
      <w:rPr>
        <w:b/>
        <w:sz w:val="18"/>
      </w:rPr>
      <w:fldChar w:fldCharType="end"/>
    </w:r>
    <w:r>
      <w:rPr>
        <w:b/>
        <w:sz w:val="18"/>
      </w:rPr>
      <w:tab/>
    </w:r>
    <w:r>
      <w:t>GE.19-03058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B2D47" w14:textId="77777777" w:rsidR="003343B2" w:rsidRPr="003343B2" w:rsidRDefault="003343B2" w:rsidP="003343B2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GE.19-03058</w:t>
    </w:r>
    <w:r>
      <w:tab/>
    </w:r>
    <w:r w:rsidRPr="003343B2">
      <w:rPr>
        <w:b/>
        <w:sz w:val="18"/>
      </w:rPr>
      <w:fldChar w:fldCharType="begin"/>
    </w:r>
    <w:r w:rsidRPr="003343B2">
      <w:rPr>
        <w:b/>
        <w:sz w:val="18"/>
      </w:rPr>
      <w:instrText xml:space="preserve"> PAGE  \* MERGEFORMAT </w:instrText>
    </w:r>
    <w:r w:rsidRPr="003343B2">
      <w:rPr>
        <w:b/>
        <w:sz w:val="18"/>
      </w:rPr>
      <w:fldChar w:fldCharType="separate"/>
    </w:r>
    <w:r w:rsidRPr="003343B2">
      <w:rPr>
        <w:b/>
        <w:noProof/>
        <w:sz w:val="18"/>
      </w:rPr>
      <w:t>3</w:t>
    </w:r>
    <w:r w:rsidRPr="003343B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588C2" w14:textId="77777777" w:rsidR="00042B72" w:rsidRPr="003343B2" w:rsidRDefault="003343B2" w:rsidP="003343B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851774" wp14:editId="37E1964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19-03058  (R)</w:t>
    </w:r>
    <w:r>
      <w:rPr>
        <w:lang w:val="en-US"/>
      </w:rPr>
      <w:t xml:space="preserve">   130319   140319</w:t>
    </w:r>
    <w:r>
      <w:br/>
    </w:r>
    <w:r w:rsidRPr="003343B2">
      <w:rPr>
        <w:rFonts w:ascii="C39T30Lfz" w:hAnsi="C39T30Lfz"/>
        <w:kern w:val="14"/>
        <w:sz w:val="56"/>
      </w:rPr>
      <w:t></w:t>
    </w:r>
    <w:r w:rsidRPr="003343B2">
      <w:rPr>
        <w:rFonts w:ascii="C39T30Lfz" w:hAnsi="C39T30Lfz"/>
        <w:kern w:val="14"/>
        <w:sz w:val="56"/>
      </w:rPr>
      <w:t></w:t>
    </w:r>
    <w:r w:rsidRPr="003343B2">
      <w:rPr>
        <w:rFonts w:ascii="C39T30Lfz" w:hAnsi="C39T30Lfz"/>
        <w:kern w:val="14"/>
        <w:sz w:val="56"/>
      </w:rPr>
      <w:t></w:t>
    </w:r>
    <w:r w:rsidRPr="003343B2">
      <w:rPr>
        <w:rFonts w:ascii="C39T30Lfz" w:hAnsi="C39T30Lfz"/>
        <w:kern w:val="14"/>
        <w:sz w:val="56"/>
      </w:rPr>
      <w:t></w:t>
    </w:r>
    <w:r w:rsidRPr="003343B2">
      <w:rPr>
        <w:rFonts w:ascii="C39T30Lfz" w:hAnsi="C39T30Lfz"/>
        <w:kern w:val="14"/>
        <w:sz w:val="56"/>
      </w:rPr>
      <w:t></w:t>
    </w:r>
    <w:r w:rsidRPr="003343B2">
      <w:rPr>
        <w:rFonts w:ascii="C39T30Lfz" w:hAnsi="C39T30Lfz"/>
        <w:kern w:val="14"/>
        <w:sz w:val="56"/>
      </w:rPr>
      <w:t></w:t>
    </w:r>
    <w:r w:rsidRPr="003343B2">
      <w:rPr>
        <w:rFonts w:ascii="C39T30Lfz" w:hAnsi="C39T30Lfz"/>
        <w:kern w:val="14"/>
        <w:sz w:val="56"/>
      </w:rPr>
      <w:t></w:t>
    </w:r>
    <w:r w:rsidRPr="003343B2">
      <w:rPr>
        <w:rFonts w:ascii="C39T30Lfz" w:hAnsi="C39T30Lfz"/>
        <w:kern w:val="14"/>
        <w:sz w:val="56"/>
      </w:rPr>
      <w:t></w:t>
    </w:r>
    <w:r w:rsidRPr="003343B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FDBC84A" wp14:editId="7D9F88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9/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9/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F2227" w14:textId="77777777" w:rsidR="00D0166A" w:rsidRPr="001075E9" w:rsidRDefault="00D0166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C3CF67" w14:textId="77777777" w:rsidR="00D0166A" w:rsidRDefault="00D0166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45DED0" w14:textId="77777777" w:rsidR="003343B2" w:rsidRPr="00EC4B12" w:rsidRDefault="003343B2" w:rsidP="003343B2">
      <w:pPr>
        <w:pStyle w:val="FootnoteText"/>
      </w:pPr>
      <w:r>
        <w:tab/>
      </w:r>
      <w:r w:rsidRPr="003343B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1E0C7" w14:textId="0A9F27DE" w:rsidR="003343B2" w:rsidRPr="003343B2" w:rsidRDefault="003343B2">
    <w:pPr>
      <w:pStyle w:val="Header"/>
    </w:pPr>
    <w:fldSimple w:instr=" TITLE  \* MERGEFORMAT ">
      <w:r w:rsidR="00781D48">
        <w:t>ECE/TRANS/WP.29/GRSP/2019/7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C65E" w14:textId="3BABE770" w:rsidR="003343B2" w:rsidRPr="003343B2" w:rsidRDefault="003343B2" w:rsidP="003343B2">
    <w:pPr>
      <w:pStyle w:val="Header"/>
      <w:jc w:val="right"/>
    </w:pPr>
    <w:fldSimple w:instr=" TITLE  \* MERGEFORMAT ">
      <w:r w:rsidR="00781D48">
        <w:t>ECE/TRANS/WP.29/GRSP/2019/7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6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0618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43B2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673F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81D48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52E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66A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620B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99517"/>
  <w15:docId w15:val="{FD5CB215-F3E4-420D-8C50-A1FCD731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3343B2"/>
    <w:rPr>
      <w:lang w:val="ru-RU" w:eastAsia="en-US"/>
    </w:rPr>
  </w:style>
  <w:style w:type="character" w:customStyle="1" w:styleId="HChGChar">
    <w:name w:val="_ H _Ch_G Char"/>
    <w:link w:val="HChG"/>
    <w:rsid w:val="003343B2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2856</Characters>
  <Application>Microsoft Office Word</Application>
  <DocSecurity>4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ECE/TRANS/WP.29/GRSP/2019/7</vt:lpstr>
      <vt:lpstr>ECE/TRANS/WP.29/GRSP/2019/7</vt:lpstr>
      <vt:lpstr>A/</vt:lpstr>
    </vt:vector>
  </TitlesOfParts>
  <Company>DCM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ECE/TRANS/WP.29/GRSP/2019/7</dc:title>
  <dc:subject/>
  <dc:creator>Larisa MAYKOVSKAYA</dc:creator>
  <cp:keywords/>
  <cp:lastModifiedBy>Benedicte Boudol</cp:lastModifiedBy>
  <cp:revision>2</cp:revision>
  <cp:lastPrinted>2019-03-14T09:41:00Z</cp:lastPrinted>
  <dcterms:created xsi:type="dcterms:W3CDTF">2019-03-22T15:01:00Z</dcterms:created>
  <dcterms:modified xsi:type="dcterms:W3CDTF">2019-03-22T15:01:00Z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