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2B4A02" w14:paraId="568A102C" w14:textId="77777777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3C989" w14:textId="77777777" w:rsidR="00B56E9C" w:rsidRPr="002B4A02" w:rsidRDefault="00B56E9C" w:rsidP="003F64D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74737" w14:textId="77777777" w:rsidR="00B56E9C" w:rsidRPr="002B4A02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B4A0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3D689" w14:textId="77777777" w:rsidR="00B56E9C" w:rsidRPr="002B4A02" w:rsidRDefault="005030D4" w:rsidP="0055336D">
            <w:pPr>
              <w:jc w:val="right"/>
            </w:pPr>
            <w:r w:rsidRPr="002B4A02">
              <w:rPr>
                <w:sz w:val="40"/>
              </w:rPr>
              <w:t>ECE</w:t>
            </w:r>
            <w:r w:rsidR="00146CA7" w:rsidRPr="002B4A02">
              <w:t>/TRANS/WP.29/GRSP/201</w:t>
            </w:r>
            <w:r w:rsidR="0055336D" w:rsidRPr="002B4A02">
              <w:t>9</w:t>
            </w:r>
            <w:r w:rsidR="00146CA7" w:rsidRPr="002B4A02">
              <w:t>/</w:t>
            </w:r>
            <w:r w:rsidR="00252A02" w:rsidRPr="002B4A02">
              <w:t>7</w:t>
            </w:r>
          </w:p>
        </w:tc>
      </w:tr>
      <w:tr w:rsidR="00B56E9C" w:rsidRPr="002B4A02" w14:paraId="7668C30A" w14:textId="77777777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9B4FFD" w14:textId="77777777" w:rsidR="00B56E9C" w:rsidRPr="002B4A02" w:rsidRDefault="005024E1" w:rsidP="003F64DC">
            <w:pPr>
              <w:spacing w:before="120"/>
            </w:pPr>
            <w:r w:rsidRPr="001723D7">
              <w:rPr>
                <w:noProof/>
                <w:lang w:val="en-US" w:eastAsia="zh-CN"/>
              </w:rPr>
              <w:drawing>
                <wp:inline distT="0" distB="0" distL="0" distR="0" wp14:anchorId="06EF4386" wp14:editId="23FE126B">
                  <wp:extent cx="715645" cy="596265"/>
                  <wp:effectExtent l="0" t="0" r="8255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5854E2" w14:textId="77777777" w:rsidR="00B56E9C" w:rsidRPr="002B4A02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2B4A0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BD2FE1" w14:textId="77777777" w:rsidR="00EC23F0" w:rsidRPr="002B4A02" w:rsidRDefault="00EC23F0" w:rsidP="00EC23F0">
            <w:pPr>
              <w:spacing w:before="240" w:line="240" w:lineRule="exact"/>
            </w:pPr>
            <w:r w:rsidRPr="002B4A02">
              <w:t>Distr.: General</w:t>
            </w:r>
          </w:p>
          <w:p w14:paraId="65E2930B" w14:textId="4FCEE71C" w:rsidR="00EC23F0" w:rsidRPr="002B4A02" w:rsidRDefault="00C66019" w:rsidP="00EC23F0">
            <w:pPr>
              <w:spacing w:line="240" w:lineRule="exact"/>
            </w:pPr>
            <w:r w:rsidRPr="002B4A02">
              <w:t>2</w:t>
            </w:r>
            <w:r w:rsidR="00E821E6">
              <w:t>2</w:t>
            </w:r>
            <w:r w:rsidR="00EC23F0" w:rsidRPr="002B4A02">
              <w:t xml:space="preserve"> February 2019 </w:t>
            </w:r>
          </w:p>
          <w:p w14:paraId="402FF1B3" w14:textId="77777777" w:rsidR="00EC23F0" w:rsidRPr="002B4A02" w:rsidRDefault="00EC23F0" w:rsidP="00EC23F0">
            <w:pPr>
              <w:spacing w:line="240" w:lineRule="exact"/>
            </w:pPr>
          </w:p>
          <w:p w14:paraId="0A583EAA" w14:textId="77777777" w:rsidR="005030D4" w:rsidRPr="002B4A02" w:rsidRDefault="00EC23F0" w:rsidP="00EC23F0">
            <w:pPr>
              <w:spacing w:line="240" w:lineRule="exact"/>
            </w:pPr>
            <w:r w:rsidRPr="002B4A02">
              <w:t>Original: English</w:t>
            </w:r>
          </w:p>
        </w:tc>
      </w:tr>
    </w:tbl>
    <w:p w14:paraId="2C0F5B2F" w14:textId="77777777" w:rsidR="00442A83" w:rsidRPr="002B4A02" w:rsidRDefault="00C96DF2" w:rsidP="00C96DF2">
      <w:pPr>
        <w:spacing w:before="120"/>
        <w:rPr>
          <w:b/>
          <w:sz w:val="28"/>
          <w:szCs w:val="28"/>
        </w:rPr>
      </w:pPr>
      <w:r w:rsidRPr="002B4A02">
        <w:rPr>
          <w:b/>
          <w:sz w:val="28"/>
          <w:szCs w:val="28"/>
        </w:rPr>
        <w:t>Economic Commission for Europe</w:t>
      </w:r>
    </w:p>
    <w:p w14:paraId="6429D9FC" w14:textId="77777777" w:rsidR="00C96DF2" w:rsidRPr="002B4A02" w:rsidRDefault="008F31D2" w:rsidP="00C96DF2">
      <w:pPr>
        <w:spacing w:before="120"/>
        <w:rPr>
          <w:sz w:val="28"/>
          <w:szCs w:val="28"/>
        </w:rPr>
      </w:pPr>
      <w:r w:rsidRPr="002B4A02">
        <w:rPr>
          <w:sz w:val="28"/>
          <w:szCs w:val="28"/>
        </w:rPr>
        <w:t>Inland Transport Committee</w:t>
      </w:r>
    </w:p>
    <w:p w14:paraId="349C966D" w14:textId="77777777" w:rsidR="00EA2A77" w:rsidRPr="002B4A02" w:rsidRDefault="00EA2A77" w:rsidP="00EA2A77">
      <w:pPr>
        <w:spacing w:before="120"/>
        <w:rPr>
          <w:b/>
          <w:sz w:val="24"/>
          <w:szCs w:val="24"/>
        </w:rPr>
      </w:pPr>
      <w:r w:rsidRPr="002B4A02">
        <w:rPr>
          <w:b/>
          <w:sz w:val="24"/>
          <w:szCs w:val="24"/>
        </w:rPr>
        <w:t xml:space="preserve">World Forum for Harmonization of Vehicle </w:t>
      </w:r>
      <w:r w:rsidR="00D26E07" w:rsidRPr="002B4A02">
        <w:rPr>
          <w:b/>
          <w:sz w:val="24"/>
          <w:szCs w:val="24"/>
        </w:rPr>
        <w:t>Regulation</w:t>
      </w:r>
      <w:r w:rsidRPr="002B4A02">
        <w:rPr>
          <w:b/>
          <w:sz w:val="24"/>
          <w:szCs w:val="24"/>
        </w:rPr>
        <w:t>s</w:t>
      </w:r>
    </w:p>
    <w:p w14:paraId="7643B36E" w14:textId="77777777" w:rsidR="005030D4" w:rsidRPr="002B4A02" w:rsidRDefault="005030D4" w:rsidP="00C96DF2">
      <w:pPr>
        <w:spacing w:before="120"/>
        <w:rPr>
          <w:b/>
        </w:rPr>
      </w:pPr>
      <w:r w:rsidRPr="002B4A02">
        <w:rPr>
          <w:b/>
        </w:rPr>
        <w:t>Working Party on Passive Safety</w:t>
      </w:r>
    </w:p>
    <w:p w14:paraId="1E476904" w14:textId="77777777" w:rsidR="00C82B10" w:rsidRPr="002B4A02" w:rsidRDefault="004B585F" w:rsidP="00C82B10">
      <w:pPr>
        <w:spacing w:before="120"/>
        <w:rPr>
          <w:b/>
        </w:rPr>
      </w:pPr>
      <w:r w:rsidRPr="002B4A02">
        <w:rPr>
          <w:b/>
        </w:rPr>
        <w:t>Sixty-</w:t>
      </w:r>
      <w:r w:rsidR="000B5122" w:rsidRPr="002B4A02">
        <w:rPr>
          <w:b/>
        </w:rPr>
        <w:t>f</w:t>
      </w:r>
      <w:r w:rsidR="00FA2159" w:rsidRPr="002B4A02">
        <w:rPr>
          <w:b/>
        </w:rPr>
        <w:t>ifth</w:t>
      </w:r>
      <w:r w:rsidR="00C82B10" w:rsidRPr="002B4A02">
        <w:rPr>
          <w:b/>
        </w:rPr>
        <w:t xml:space="preserve"> session</w:t>
      </w:r>
    </w:p>
    <w:p w14:paraId="34948137" w14:textId="54714099" w:rsidR="0067362F" w:rsidRPr="002B4A02" w:rsidRDefault="00C82B10" w:rsidP="00C82B10">
      <w:r w:rsidRPr="002B4A02">
        <w:t xml:space="preserve">Geneva, </w:t>
      </w:r>
      <w:r w:rsidR="00B936EB" w:rsidRPr="002B4A02">
        <w:t>1</w:t>
      </w:r>
      <w:r w:rsidR="0055336D" w:rsidRPr="002B4A02">
        <w:t>3</w:t>
      </w:r>
      <w:r w:rsidR="0098621A">
        <w:t>-</w:t>
      </w:r>
      <w:r w:rsidRPr="002B4A02">
        <w:t>1</w:t>
      </w:r>
      <w:r w:rsidR="0055336D" w:rsidRPr="002B4A02">
        <w:t>7</w:t>
      </w:r>
      <w:r w:rsidRPr="002B4A02">
        <w:t xml:space="preserve"> </w:t>
      </w:r>
      <w:r w:rsidR="0055336D" w:rsidRPr="002B4A02">
        <w:t>May</w:t>
      </w:r>
      <w:r w:rsidRPr="002B4A02">
        <w:t xml:space="preserve"> 201</w:t>
      </w:r>
      <w:r w:rsidR="0055336D" w:rsidRPr="002B4A02">
        <w:t>9</w:t>
      </w:r>
    </w:p>
    <w:p w14:paraId="402DEEC0" w14:textId="77777777" w:rsidR="00B53C21" w:rsidRPr="002B4A02" w:rsidRDefault="005030D4" w:rsidP="00C96DF2">
      <w:r w:rsidRPr="002B4A02">
        <w:t xml:space="preserve">Item </w:t>
      </w:r>
      <w:r w:rsidR="00252A02" w:rsidRPr="002B4A02">
        <w:t>9</w:t>
      </w:r>
      <w:r w:rsidR="00915EF6" w:rsidRPr="002B4A02">
        <w:t xml:space="preserve"> of the provisional agenda</w:t>
      </w:r>
    </w:p>
    <w:p w14:paraId="3D2D1870" w14:textId="77777777" w:rsidR="005030D4" w:rsidRPr="002B4A02" w:rsidRDefault="00FF3040" w:rsidP="005030D4">
      <w:r w:rsidRPr="002B4A02">
        <w:rPr>
          <w:b/>
        </w:rPr>
        <w:t xml:space="preserve">UN </w:t>
      </w:r>
      <w:r w:rsidR="005030D4" w:rsidRPr="002B4A02">
        <w:rPr>
          <w:b/>
        </w:rPr>
        <w:t xml:space="preserve">Regulation No. </w:t>
      </w:r>
      <w:r w:rsidR="00FC4C40" w:rsidRPr="002B4A02">
        <w:rPr>
          <w:b/>
        </w:rPr>
        <w:t>1</w:t>
      </w:r>
      <w:r w:rsidR="00252A02" w:rsidRPr="002B4A02">
        <w:rPr>
          <w:b/>
        </w:rPr>
        <w:t>7</w:t>
      </w:r>
      <w:r w:rsidR="005030D4" w:rsidRPr="002B4A02">
        <w:rPr>
          <w:b/>
        </w:rPr>
        <w:t xml:space="preserve"> (</w:t>
      </w:r>
      <w:r w:rsidR="00FC4C40" w:rsidRPr="002B4A02">
        <w:rPr>
          <w:b/>
        </w:rPr>
        <w:t>S</w:t>
      </w:r>
      <w:r w:rsidR="00252A02" w:rsidRPr="002B4A02">
        <w:rPr>
          <w:b/>
        </w:rPr>
        <w:t>trength of seats</w:t>
      </w:r>
      <w:r w:rsidR="005030D4" w:rsidRPr="002B4A02">
        <w:rPr>
          <w:b/>
        </w:rPr>
        <w:t>)</w:t>
      </w:r>
    </w:p>
    <w:p w14:paraId="060F4E9E" w14:textId="77777777" w:rsidR="005030D4" w:rsidRPr="002B4A02" w:rsidRDefault="0096103D" w:rsidP="00AB2F3D">
      <w:pPr>
        <w:pStyle w:val="HChG"/>
        <w:jc w:val="both"/>
      </w:pPr>
      <w:r w:rsidRPr="002B4A02">
        <w:tab/>
      </w:r>
      <w:r w:rsidRPr="002B4A02">
        <w:tab/>
        <w:t xml:space="preserve">Proposal for </w:t>
      </w:r>
      <w:r w:rsidR="00EE15C8" w:rsidRPr="002B4A02">
        <w:rPr>
          <w:rFonts w:eastAsia="MS Mincho"/>
          <w:bCs/>
        </w:rPr>
        <w:t xml:space="preserve">the 10 series of amendments to UN Regulation No. 17 </w:t>
      </w:r>
      <w:r w:rsidR="00EE15C8" w:rsidRPr="002B4A02">
        <w:rPr>
          <w:rFonts w:eastAsia="MS Mincho"/>
        </w:rPr>
        <w:t>(Strength of seats)</w:t>
      </w:r>
    </w:p>
    <w:p w14:paraId="1447B348" w14:textId="77777777" w:rsidR="005030D4" w:rsidRPr="002B4A02" w:rsidRDefault="00AF37FD" w:rsidP="00AF37FD">
      <w:pPr>
        <w:pStyle w:val="H1G"/>
      </w:pPr>
      <w:r w:rsidRPr="002B4A02">
        <w:tab/>
      </w:r>
      <w:r w:rsidRPr="002B4A02">
        <w:tab/>
      </w:r>
      <w:r w:rsidR="00072674" w:rsidRPr="002B4A02">
        <w:t>Submitted by the expert from the European Association of Automotive Suppliers</w:t>
      </w:r>
      <w:r w:rsidR="00072674" w:rsidRPr="002B4A02">
        <w:rPr>
          <w:rStyle w:val="FootnoteReference"/>
          <w:sz w:val="20"/>
          <w:vertAlign w:val="baseline"/>
        </w:rPr>
        <w:t xml:space="preserve"> </w:t>
      </w:r>
      <w:r w:rsidR="00F02310" w:rsidRPr="002B4A02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1DB58742" w14:textId="77777777" w:rsidR="00252A02" w:rsidRPr="002B4A02" w:rsidRDefault="00072674" w:rsidP="00252A02">
      <w:pPr>
        <w:pStyle w:val="SingleTxtG"/>
        <w:ind w:firstLine="567"/>
        <w:rPr>
          <w:rFonts w:eastAsia="MS Mincho"/>
        </w:rPr>
      </w:pPr>
      <w:r w:rsidRPr="002B4A02">
        <w:rPr>
          <w:snapToGrid w:val="0"/>
        </w:rPr>
        <w:t xml:space="preserve">The text </w:t>
      </w:r>
      <w:r w:rsidRPr="002B4A02">
        <w:rPr>
          <w:snapToGrid w:val="0"/>
          <w:color w:val="000000" w:themeColor="text1"/>
        </w:rPr>
        <w:t>reproduced below was prepared by the expert from the European Association of Automotive Suppliers (CLEPA) to</w:t>
      </w:r>
      <w:r w:rsidR="00252A02" w:rsidRPr="002B4A02">
        <w:rPr>
          <w:rFonts w:eastAsia="MS Mincho"/>
        </w:rPr>
        <w:t xml:space="preserve"> amend the dynamic option of the draft 10 series of amendments submitted by the experts from Japan and the European Commission (ECE/TRANS/GRSP/2018/34). It is based on informal document GRSP-64-44</w:t>
      </w:r>
      <w:r w:rsidR="00252A02" w:rsidRPr="002B4A02">
        <w:t xml:space="preserve"> presented during the sixty-fourth session of the Working Party on General Safety (GRSP)</w:t>
      </w:r>
      <w:r w:rsidR="00252A02" w:rsidRPr="002B4A02">
        <w:rPr>
          <w:rFonts w:eastAsia="MS Mincho"/>
        </w:rPr>
        <w:t>. The modifications to ECE/TRANS/GRSP/2018/34, are marked in bold or strikethrough characters.</w:t>
      </w:r>
    </w:p>
    <w:p w14:paraId="5812A7FF" w14:textId="77777777" w:rsidR="00252A02" w:rsidRPr="002B4A02" w:rsidRDefault="00252A02" w:rsidP="005030D4">
      <w:pPr>
        <w:pStyle w:val="SingleTxtG"/>
        <w:ind w:firstLine="567"/>
      </w:pPr>
    </w:p>
    <w:p w14:paraId="5EC3C43E" w14:textId="77777777" w:rsidR="00FA6656" w:rsidRPr="002B4A02" w:rsidRDefault="005030D4" w:rsidP="00FA6656">
      <w:pPr>
        <w:pStyle w:val="HChG"/>
        <w:rPr>
          <w:b w:val="0"/>
        </w:rPr>
      </w:pPr>
      <w:r w:rsidRPr="002B4A02">
        <w:br w:type="page"/>
      </w:r>
      <w:r w:rsidR="0095173D" w:rsidRPr="002B4A02">
        <w:lastRenderedPageBreak/>
        <w:tab/>
      </w:r>
      <w:r w:rsidR="00EA18DF" w:rsidRPr="002B4A02">
        <w:rPr>
          <w:snapToGrid w:val="0"/>
          <w:lang w:eastAsia="ja-JP"/>
        </w:rPr>
        <w:t>I.</w:t>
      </w:r>
      <w:r w:rsidR="00EA18DF" w:rsidRPr="002B4A02">
        <w:rPr>
          <w:snapToGrid w:val="0"/>
          <w:lang w:eastAsia="ja-JP"/>
        </w:rPr>
        <w:tab/>
      </w:r>
      <w:r w:rsidR="00EA18DF" w:rsidRPr="002B4A02">
        <w:t>Proposal</w:t>
      </w:r>
    </w:p>
    <w:p w14:paraId="174C59DD" w14:textId="77777777" w:rsidR="00252A02" w:rsidRPr="002B4A02" w:rsidRDefault="00252A02" w:rsidP="00252A02">
      <w:pPr>
        <w:pStyle w:val="SingleTxtG"/>
        <w:rPr>
          <w:iCs/>
        </w:rPr>
      </w:pPr>
      <w:r w:rsidRPr="002B4A02">
        <w:rPr>
          <w:i/>
        </w:rPr>
        <w:t xml:space="preserve">Paragraph 2.28., </w:t>
      </w:r>
      <w:r w:rsidRPr="002B4A02">
        <w:rPr>
          <w:iCs/>
        </w:rPr>
        <w:t>amend to read:</w:t>
      </w:r>
    </w:p>
    <w:p w14:paraId="672036DE" w14:textId="77777777" w:rsidR="00252A02" w:rsidRPr="002B4A02" w:rsidRDefault="00CA7C6A" w:rsidP="00CA7C6A">
      <w:pPr>
        <w:pStyle w:val="SingleTxtG"/>
        <w:ind w:left="2268" w:hanging="1134"/>
        <w:rPr>
          <w:bCs/>
        </w:rPr>
      </w:pPr>
      <w:r w:rsidRPr="002B4A02">
        <w:rPr>
          <w:bCs/>
        </w:rPr>
        <w:t>"</w:t>
      </w:r>
      <w:r w:rsidR="00252A02" w:rsidRPr="002B4A02">
        <w:rPr>
          <w:bCs/>
        </w:rPr>
        <w:t>2.28.</w:t>
      </w:r>
      <w:r w:rsidR="00252A02" w:rsidRPr="002B4A02">
        <w:rPr>
          <w:bCs/>
        </w:rPr>
        <w:tab/>
        <w:t xml:space="preserve">"Rebound" </w:t>
      </w:r>
      <w:r w:rsidR="00252A02" w:rsidRPr="002B4A02">
        <w:rPr>
          <w:rFonts w:eastAsia="Meiryo UI"/>
          <w:bCs/>
        </w:rPr>
        <w:t>means</w:t>
      </w:r>
      <w:r w:rsidR="00252A02" w:rsidRPr="00E340ED">
        <w:rPr>
          <w:rStyle w:val="shorttext"/>
          <w:rFonts w:eastAsia="Meiryo UI"/>
          <w:bCs/>
        </w:rPr>
        <w:t xml:space="preserve"> </w:t>
      </w:r>
      <w:r w:rsidR="00252A02" w:rsidRPr="00E340ED">
        <w:rPr>
          <w:rStyle w:val="shorttext"/>
          <w:rFonts w:eastAsia="Meiryo UI"/>
          <w:bCs/>
          <w:strike/>
        </w:rPr>
        <w:t xml:space="preserve">that the head bounced back after contacting the head restraint. </w:t>
      </w:r>
      <w:r w:rsidR="00252A02" w:rsidRPr="00E340ED">
        <w:rPr>
          <w:rStyle w:val="shorttext"/>
          <w:rFonts w:eastAsia="Meiryo UI"/>
          <w:b/>
        </w:rPr>
        <w:t>the movement of the head after leaving contact with the head restraint at times greater than T-</w:t>
      </w:r>
      <w:proofErr w:type="gramStart"/>
      <w:r w:rsidR="00252A02" w:rsidRPr="00E340ED">
        <w:rPr>
          <w:rStyle w:val="shorttext"/>
          <w:rFonts w:eastAsia="Meiryo UI"/>
          <w:b/>
        </w:rPr>
        <w:t>HRC(</w:t>
      </w:r>
      <w:proofErr w:type="gramEnd"/>
      <w:r w:rsidR="00252A02" w:rsidRPr="00E340ED">
        <w:rPr>
          <w:rStyle w:val="shorttext"/>
          <w:rFonts w:eastAsia="Meiryo UI"/>
          <w:b/>
        </w:rPr>
        <w:t>end).</w:t>
      </w:r>
      <w:r w:rsidRPr="002B4A02">
        <w:rPr>
          <w:bCs/>
        </w:rPr>
        <w:t>"</w:t>
      </w:r>
    </w:p>
    <w:p w14:paraId="59E5DCB5" w14:textId="77777777" w:rsidR="00252A02" w:rsidRPr="00E340ED" w:rsidRDefault="00252A02" w:rsidP="00252A02">
      <w:pPr>
        <w:pStyle w:val="SingleTxtG"/>
        <w:rPr>
          <w:i/>
        </w:rPr>
      </w:pPr>
      <w:r w:rsidRPr="00E340ED">
        <w:rPr>
          <w:i/>
        </w:rPr>
        <w:t>Insert a new paragraph 2.30.</w:t>
      </w:r>
      <w:r w:rsidR="00CA7C6A" w:rsidRPr="00E340ED">
        <w:rPr>
          <w:i/>
        </w:rPr>
        <w:t xml:space="preserve">, </w:t>
      </w:r>
      <w:r w:rsidR="00CA7C6A" w:rsidRPr="00E340ED">
        <w:rPr>
          <w:iCs/>
        </w:rPr>
        <w:t>to read:</w:t>
      </w:r>
    </w:p>
    <w:p w14:paraId="6250E178" w14:textId="77777777" w:rsidR="00252A02" w:rsidRPr="00E340ED" w:rsidRDefault="00CA7C6A" w:rsidP="00CA7C6A">
      <w:pPr>
        <w:pStyle w:val="SingleTxtG"/>
        <w:ind w:left="2268" w:hanging="1134"/>
        <w:rPr>
          <w:b/>
        </w:rPr>
      </w:pPr>
      <w:r w:rsidRPr="002B4A02">
        <w:rPr>
          <w:bCs/>
        </w:rPr>
        <w:t>"</w:t>
      </w:r>
      <w:r w:rsidR="00252A02" w:rsidRPr="002B4A02">
        <w:rPr>
          <w:bCs/>
        </w:rPr>
        <w:t>2.30.</w:t>
      </w:r>
      <w:r w:rsidR="00252A02" w:rsidRPr="002B4A02">
        <w:rPr>
          <w:bCs/>
        </w:rPr>
        <w:tab/>
      </w:r>
      <w:r w:rsidR="00252A02" w:rsidRPr="002B4A02">
        <w:rPr>
          <w:b/>
        </w:rPr>
        <w:t xml:space="preserve">"Side bolster" </w:t>
      </w:r>
      <w:r w:rsidR="00252A02" w:rsidRPr="002B4A02">
        <w:rPr>
          <w:rFonts w:eastAsia="Meiryo UI"/>
          <w:b/>
        </w:rPr>
        <w:t>means</w:t>
      </w:r>
      <w:r w:rsidR="00252A02" w:rsidRPr="00E340ED">
        <w:rPr>
          <w:rStyle w:val="shorttext"/>
          <w:rFonts w:eastAsia="Meiryo UI"/>
          <w:b/>
        </w:rPr>
        <w:t xml:space="preserve"> adjustable seat elements on the sides of the seat cushion and / or of the seat back </w:t>
      </w:r>
      <w:proofErr w:type="gramStart"/>
      <w:r w:rsidR="00252A02" w:rsidRPr="00E340ED">
        <w:rPr>
          <w:rStyle w:val="shorttext"/>
          <w:rFonts w:eastAsia="Meiryo UI"/>
          <w:b/>
        </w:rPr>
        <w:t>in order to</w:t>
      </w:r>
      <w:proofErr w:type="gramEnd"/>
      <w:r w:rsidR="00252A02" w:rsidRPr="00E340ED">
        <w:rPr>
          <w:rStyle w:val="shorttext"/>
          <w:rFonts w:eastAsia="Meiryo UI"/>
          <w:b/>
        </w:rPr>
        <w:t xml:space="preserve"> allow a lateral retention of the occupant.</w:t>
      </w:r>
      <w:r w:rsidRPr="00E340ED">
        <w:rPr>
          <w:rStyle w:val="shorttext"/>
          <w:rFonts w:eastAsia="Meiryo UI"/>
          <w:b/>
        </w:rPr>
        <w:t>"</w:t>
      </w:r>
    </w:p>
    <w:p w14:paraId="53E6B101" w14:textId="77777777" w:rsidR="00252A02" w:rsidRPr="002B4A02" w:rsidRDefault="00252A02" w:rsidP="00252A02">
      <w:pPr>
        <w:pStyle w:val="SingleTxtG"/>
        <w:rPr>
          <w:i/>
        </w:rPr>
      </w:pPr>
      <w:r w:rsidRPr="002B4A02">
        <w:rPr>
          <w:i/>
        </w:rPr>
        <w:t xml:space="preserve">Paragraph 5.9.2., </w:t>
      </w:r>
      <w:r w:rsidRPr="002B4A02">
        <w:rPr>
          <w:iCs/>
        </w:rPr>
        <w:t>amend to read:</w:t>
      </w:r>
    </w:p>
    <w:p w14:paraId="5421493B" w14:textId="77777777" w:rsidR="00252A02" w:rsidRPr="002B4A02" w:rsidRDefault="00CA7C6A" w:rsidP="00252A02">
      <w:pPr>
        <w:pStyle w:val="SingleTxtG"/>
        <w:spacing w:before="120"/>
        <w:rPr>
          <w:rFonts w:eastAsia="MS Gothic"/>
        </w:rPr>
      </w:pPr>
      <w:r w:rsidRPr="002B4A02">
        <w:rPr>
          <w:rFonts w:eastAsia="MS Gothic"/>
          <w:bCs/>
        </w:rPr>
        <w:t>"</w:t>
      </w:r>
      <w:r w:rsidR="00252A02" w:rsidRPr="002B4A02">
        <w:rPr>
          <w:rFonts w:eastAsia="MS Gothic"/>
          <w:b/>
        </w:rPr>
        <w:t>5.9.2.</w:t>
      </w:r>
      <w:r w:rsidRPr="002B4A02">
        <w:rPr>
          <w:rFonts w:eastAsia="MS Gothic"/>
          <w:b/>
        </w:rPr>
        <w:tab/>
      </w:r>
      <w:r w:rsidR="00252A02" w:rsidRPr="002B4A02">
        <w:rPr>
          <w:rFonts w:eastAsia="MS Gothic"/>
          <w:b/>
        </w:rPr>
        <w:tab/>
        <w:t>Evaluation Criteria</w:t>
      </w:r>
    </w:p>
    <w:p w14:paraId="1C033C6B" w14:textId="77777777" w:rsidR="00252A02" w:rsidRPr="002B4A02" w:rsidRDefault="00252A02" w:rsidP="00252A02">
      <w:pPr>
        <w:pStyle w:val="SingleTxtG"/>
        <w:ind w:left="2268"/>
        <w:rPr>
          <w:rFonts w:eastAsia="MS Gothic"/>
          <w:b/>
        </w:rPr>
      </w:pPr>
      <w:r w:rsidRPr="002B4A02">
        <w:rPr>
          <w:rFonts w:eastAsia="MS Gothic"/>
          <w:b/>
        </w:rPr>
        <w:t xml:space="preserve">Each head restraint shall control the movement of the head and neck within the following limits: </w:t>
      </w:r>
    </w:p>
    <w:p w14:paraId="4331A27F" w14:textId="77777777" w:rsidR="00CA7C6A" w:rsidRPr="002B4A02" w:rsidRDefault="00CA7C6A" w:rsidP="00CA7C6A">
      <w:pPr>
        <w:pStyle w:val="SingleTxtG"/>
        <w:ind w:left="1170"/>
        <w:jc w:val="left"/>
        <w:rPr>
          <w:rFonts w:eastAsia="MS Gothic"/>
          <w:b/>
        </w:rPr>
      </w:pPr>
      <w:r w:rsidRPr="002B4A02">
        <w:rPr>
          <w:rFonts w:eastAsia="MS Gothic"/>
          <w:b/>
        </w:rPr>
        <w:t>Table 1</w:t>
      </w:r>
      <w:r w:rsidRPr="002B4A02">
        <w:rPr>
          <w:rFonts w:eastAsia="MS Gothic"/>
          <w:b/>
        </w:rPr>
        <w:br/>
        <w:t>Injury criteria</w:t>
      </w:r>
    </w:p>
    <w:tbl>
      <w:tblPr>
        <w:tblW w:w="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7"/>
        <w:gridCol w:w="2000"/>
        <w:gridCol w:w="3103"/>
      </w:tblGrid>
      <w:tr w:rsidR="00252A02" w:rsidRPr="002B4A02" w14:paraId="6B42A19E" w14:textId="77777777" w:rsidTr="00E340ED">
        <w:trPr>
          <w:cantSplit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3C2DE" w14:textId="77777777" w:rsidR="00252A02" w:rsidRPr="002B4A02" w:rsidRDefault="00252A02" w:rsidP="00C87357">
            <w:pPr>
              <w:suppressAutoHyphens w:val="0"/>
              <w:spacing w:before="80" w:after="80" w:line="200" w:lineRule="exact"/>
              <w:ind w:right="113"/>
              <w:textAlignment w:val="center"/>
              <w:rPr>
                <w:i/>
                <w:sz w:val="24"/>
                <w:szCs w:val="24"/>
                <w:lang w:eastAsia="en-GB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AB97" w14:textId="77777777" w:rsidR="00252A02" w:rsidRPr="002B4A02" w:rsidRDefault="00252A02" w:rsidP="00C87357">
            <w:pPr>
              <w:suppressAutoHyphens w:val="0"/>
              <w:spacing w:before="80" w:after="80" w:line="200" w:lineRule="exact"/>
              <w:ind w:right="113"/>
              <w:textAlignment w:val="center"/>
              <w:rPr>
                <w:i/>
                <w:strike/>
                <w:sz w:val="16"/>
                <w:szCs w:val="36"/>
                <w:lang w:eastAsia="en-GB"/>
              </w:rPr>
            </w:pPr>
            <w:r w:rsidRPr="002B4A02">
              <w:rPr>
                <w:bCs/>
                <w:i/>
                <w:strike/>
                <w:sz w:val="16"/>
                <w:szCs w:val="48"/>
                <w:lang w:eastAsia="en-GB"/>
              </w:rPr>
              <w:t>AIS1+: 50%</w:t>
            </w:r>
            <w:r w:rsidRPr="002B4A02">
              <w:rPr>
                <w:bCs/>
                <w:i/>
                <w:strike/>
                <w:sz w:val="16"/>
                <w:szCs w:val="48"/>
                <w:lang w:eastAsia="ja-JP"/>
              </w:rPr>
              <w:t xml:space="preserve"> </w:t>
            </w:r>
            <w:r w:rsidRPr="002B4A02">
              <w:rPr>
                <w:bCs/>
                <w:i/>
                <w:strike/>
                <w:sz w:val="16"/>
                <w:szCs w:val="48"/>
                <w:lang w:eastAsia="en-GB"/>
              </w:rPr>
              <w:t>Value</w:t>
            </w:r>
          </w:p>
          <w:p w14:paraId="650EC41A" w14:textId="77777777" w:rsidR="00252A02" w:rsidRPr="002B4A02" w:rsidRDefault="00252A02" w:rsidP="00C87357">
            <w:pPr>
              <w:suppressAutoHyphens w:val="0"/>
              <w:spacing w:before="80" w:after="80" w:line="200" w:lineRule="exact"/>
              <w:ind w:right="113"/>
              <w:textAlignment w:val="center"/>
              <w:rPr>
                <w:i/>
                <w:strike/>
                <w:sz w:val="16"/>
                <w:szCs w:val="36"/>
                <w:lang w:eastAsia="en-GB"/>
              </w:rPr>
            </w:pPr>
            <w:r w:rsidRPr="002B4A02">
              <w:rPr>
                <w:bCs/>
                <w:i/>
                <w:strike/>
                <w:sz w:val="16"/>
                <w:szCs w:val="48"/>
                <w:lang w:eastAsia="en-GB"/>
              </w:rPr>
              <w:t>&lt;Equivalence&gt;</w:t>
            </w:r>
          </w:p>
          <w:p w14:paraId="02860A37" w14:textId="77777777" w:rsidR="00252A02" w:rsidRPr="002B4A02" w:rsidRDefault="00252A02" w:rsidP="00C87357">
            <w:pPr>
              <w:suppressAutoHyphens w:val="0"/>
              <w:spacing w:before="80" w:after="80" w:line="200" w:lineRule="exact"/>
              <w:ind w:right="113"/>
              <w:textAlignment w:val="center"/>
              <w:rPr>
                <w:i/>
                <w:strike/>
                <w:sz w:val="16"/>
                <w:szCs w:val="36"/>
                <w:lang w:eastAsia="en-GB"/>
              </w:rPr>
            </w:pPr>
            <w:r w:rsidRPr="002B4A02">
              <w:rPr>
                <w:bCs/>
                <w:i/>
                <w:strike/>
                <w:sz w:val="16"/>
                <w:szCs w:val="48"/>
                <w:lang w:eastAsia="en-GB"/>
              </w:rPr>
              <w:t>WAD2+: 82.9% Value</w:t>
            </w:r>
          </w:p>
        </w:tc>
      </w:tr>
      <w:tr w:rsidR="00252A02" w:rsidRPr="002B4A02" w14:paraId="69E63394" w14:textId="77777777" w:rsidTr="00E340ED">
        <w:trPr>
          <w:cantSplit/>
        </w:trPr>
        <w:tc>
          <w:tcPr>
            <w:tcW w:w="62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F08BC" w14:textId="77777777" w:rsidR="00252A02" w:rsidRPr="002B4A02" w:rsidRDefault="00252A02" w:rsidP="00C87357">
            <w:pPr>
              <w:suppressAutoHyphens w:val="0"/>
              <w:spacing w:line="240" w:lineRule="auto"/>
              <w:rPr>
                <w:i/>
                <w:sz w:val="16"/>
                <w:szCs w:val="36"/>
                <w:lang w:eastAsia="en-GB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EF913" w14:textId="77777777" w:rsidR="00252A02" w:rsidRPr="002B4A02" w:rsidRDefault="00252A02" w:rsidP="00C87357">
            <w:pPr>
              <w:suppressAutoHyphens w:val="0"/>
              <w:spacing w:before="40" w:after="120" w:line="220" w:lineRule="exact"/>
              <w:ind w:right="113"/>
              <w:textAlignment w:val="center"/>
              <w:rPr>
                <w:strike/>
                <w:szCs w:val="36"/>
                <w:lang w:eastAsia="en-GB"/>
              </w:rPr>
            </w:pPr>
            <w:r w:rsidRPr="002B4A02">
              <w:rPr>
                <w:b/>
                <w:bCs/>
                <w:strike/>
                <w:szCs w:val="48"/>
                <w:lang w:eastAsia="en-GB"/>
              </w:rPr>
              <w:t>IV-NIC=1.1</w:t>
            </w:r>
          </w:p>
        </w:tc>
      </w:tr>
      <w:tr w:rsidR="00252A02" w:rsidRPr="002B4A02" w14:paraId="57B25C3D" w14:textId="77777777" w:rsidTr="00E340ED">
        <w:trPr>
          <w:cantSplit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5A156" w14:textId="77777777" w:rsidR="00252A02" w:rsidRPr="002B4A02" w:rsidRDefault="00252A02" w:rsidP="00C87357">
            <w:pPr>
              <w:suppressAutoHyphens w:val="0"/>
              <w:spacing w:before="40" w:after="120" w:line="220" w:lineRule="exact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szCs w:val="48"/>
                <w:lang w:eastAsia="en-GB"/>
              </w:rPr>
              <w:t>NIC Max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B41A6" w14:textId="77777777" w:rsidR="00252A02" w:rsidRPr="002B4A02" w:rsidRDefault="00252A02" w:rsidP="00C87357">
            <w:pPr>
              <w:suppressAutoHyphens w:val="0"/>
              <w:spacing w:before="40" w:after="120" w:line="220" w:lineRule="exact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28 m²/s²</w:t>
            </w:r>
          </w:p>
        </w:tc>
      </w:tr>
      <w:tr w:rsidR="00252A02" w:rsidRPr="002B4A02" w14:paraId="2BD96BDE" w14:textId="77777777" w:rsidTr="00E340ED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96F51" w14:textId="77777777" w:rsidR="00252A02" w:rsidRPr="002B4A02" w:rsidRDefault="00252A02" w:rsidP="00C87357">
            <w:pPr>
              <w:suppressAutoHyphens w:val="0"/>
              <w:spacing w:before="40" w:after="120" w:line="220" w:lineRule="exact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szCs w:val="48"/>
                <w:lang w:eastAsia="en-GB"/>
              </w:rPr>
              <w:t>Upper Neck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06A7D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jc w:val="center"/>
              <w:textAlignment w:val="center"/>
              <w:rPr>
                <w:strike/>
                <w:szCs w:val="36"/>
                <w:lang w:eastAsia="en-GB"/>
              </w:rPr>
            </w:pPr>
            <w:r w:rsidRPr="002B4A02">
              <w:rPr>
                <w:strike/>
                <w:lang w:eastAsia="en-GB"/>
              </w:rPr>
              <w:t>FX (Backward)</w:t>
            </w:r>
            <w:r w:rsidRPr="002B4A02">
              <w:rPr>
                <w:b/>
                <w:bCs/>
                <w:strike/>
                <w:szCs w:val="48"/>
                <w:lang w:eastAsia="en-GB"/>
              </w:rPr>
              <w:br/>
            </w:r>
            <w:r w:rsidRPr="002B4A02">
              <w:rPr>
                <w:b/>
                <w:bCs/>
                <w:szCs w:val="48"/>
                <w:lang w:eastAsia="en-GB"/>
              </w:rPr>
              <w:t>FX+ upper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2252F" w14:textId="77777777" w:rsidR="00252A02" w:rsidRPr="002B4A02" w:rsidRDefault="00252A02" w:rsidP="00C87357">
            <w:pPr>
              <w:suppressAutoHyphens w:val="0"/>
              <w:spacing w:before="40" w:after="120" w:line="220" w:lineRule="exact"/>
              <w:ind w:right="113"/>
              <w:textAlignment w:val="center"/>
              <w:rPr>
                <w:b/>
                <w:bCs/>
                <w:szCs w:val="48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790 N</w:t>
            </w:r>
          </w:p>
        </w:tc>
      </w:tr>
      <w:tr w:rsidR="00252A02" w:rsidRPr="002B4A02" w14:paraId="16AB17DB" w14:textId="77777777" w:rsidTr="00E340ED">
        <w:trPr>
          <w:cantSplit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FDC9" w14:textId="77777777" w:rsidR="00252A02" w:rsidRPr="002B4A02" w:rsidRDefault="00252A02" w:rsidP="00C87357">
            <w:pPr>
              <w:suppressAutoHyphens w:val="0"/>
              <w:spacing w:line="240" w:lineRule="auto"/>
              <w:rPr>
                <w:szCs w:val="36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3F591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MY+/- upper</w:t>
            </w:r>
            <w:r w:rsidRPr="002B4A02">
              <w:rPr>
                <w:b/>
                <w:bCs/>
                <w:szCs w:val="48"/>
                <w:lang w:eastAsia="en-GB"/>
              </w:rPr>
              <w:br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08496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37.8 Nm</w:t>
            </w:r>
          </w:p>
        </w:tc>
      </w:tr>
      <w:tr w:rsidR="00252A02" w:rsidRPr="002B4A02" w14:paraId="78E43F5A" w14:textId="77777777" w:rsidTr="00E340ED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EEA3A" w14:textId="77777777" w:rsidR="00252A02" w:rsidRPr="002B4A02" w:rsidRDefault="00252A02" w:rsidP="00C87357">
            <w:pPr>
              <w:suppressAutoHyphens w:val="0"/>
              <w:spacing w:before="40" w:after="120" w:line="220" w:lineRule="exact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szCs w:val="48"/>
                <w:lang w:eastAsia="en-GB"/>
              </w:rPr>
              <w:t>Lower Neck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C795B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textAlignment w:val="center"/>
              <w:rPr>
                <w:strike/>
                <w:szCs w:val="36"/>
                <w:lang w:eastAsia="en-GB"/>
              </w:rPr>
            </w:pPr>
            <w:r w:rsidRPr="002B4A02">
              <w:rPr>
                <w:strike/>
                <w:szCs w:val="48"/>
                <w:lang w:eastAsia="en-GB"/>
              </w:rPr>
              <w:t>FX (Backward)</w:t>
            </w:r>
            <w:r w:rsidRPr="002B4A02">
              <w:rPr>
                <w:b/>
                <w:bCs/>
                <w:strike/>
                <w:szCs w:val="48"/>
                <w:lang w:eastAsia="en-GB"/>
              </w:rPr>
              <w:br/>
            </w:r>
            <w:r w:rsidRPr="002B4A02">
              <w:rPr>
                <w:b/>
                <w:bCs/>
                <w:szCs w:val="48"/>
                <w:lang w:eastAsia="en-GB"/>
              </w:rPr>
              <w:t>FX- lower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85A12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790 N</w:t>
            </w:r>
          </w:p>
        </w:tc>
      </w:tr>
      <w:tr w:rsidR="00252A02" w:rsidRPr="002B4A02" w14:paraId="63A034B7" w14:textId="77777777" w:rsidTr="00E340ED">
        <w:trPr>
          <w:cantSplit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63B" w14:textId="77777777" w:rsidR="00252A02" w:rsidRPr="002B4A02" w:rsidRDefault="00252A02" w:rsidP="00C87357">
            <w:pPr>
              <w:suppressAutoHyphens w:val="0"/>
              <w:spacing w:line="240" w:lineRule="auto"/>
              <w:rPr>
                <w:szCs w:val="36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BFD0F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MY+/- lower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80A4E" w14:textId="77777777" w:rsidR="00252A02" w:rsidRPr="002B4A02" w:rsidRDefault="00252A02" w:rsidP="00C87357">
            <w:pPr>
              <w:suppressAutoHyphens w:val="0"/>
              <w:spacing w:before="40" w:after="120" w:line="360" w:lineRule="auto"/>
              <w:ind w:right="113"/>
              <w:textAlignment w:val="center"/>
              <w:rPr>
                <w:szCs w:val="36"/>
                <w:lang w:eastAsia="en-GB"/>
              </w:rPr>
            </w:pPr>
            <w:r w:rsidRPr="002B4A02">
              <w:rPr>
                <w:b/>
                <w:bCs/>
                <w:szCs w:val="48"/>
                <w:lang w:eastAsia="en-GB"/>
              </w:rPr>
              <w:t>37.8 Nm</w:t>
            </w:r>
          </w:p>
        </w:tc>
      </w:tr>
    </w:tbl>
    <w:p w14:paraId="41229CBE" w14:textId="6C797130" w:rsidR="00252A02" w:rsidRPr="002B4A02" w:rsidRDefault="00252A02" w:rsidP="00E340ED">
      <w:pPr>
        <w:pStyle w:val="SingleTxtG"/>
        <w:ind w:firstLine="45"/>
        <w:rPr>
          <w:rFonts w:eastAsia="MS Gothic"/>
          <w:bCs/>
        </w:rPr>
      </w:pPr>
      <w:r w:rsidRPr="00E340ED">
        <w:rPr>
          <w:rFonts w:eastAsia="MS Gothic"/>
          <w:bCs/>
          <w:i/>
        </w:rPr>
        <w:t>Note</w:t>
      </w:r>
      <w:r w:rsidRPr="002B4A02">
        <w:rPr>
          <w:rFonts w:eastAsia="MS Gothic"/>
          <w:bCs/>
        </w:rPr>
        <w:t>:  Does not include rebound phase (excluded) measures both negative and positive FX figures.</w:t>
      </w:r>
    </w:p>
    <w:p w14:paraId="2F9E6281" w14:textId="77777777" w:rsidR="00252A02" w:rsidRPr="002B4A02" w:rsidRDefault="00252A02" w:rsidP="00252A02">
      <w:pPr>
        <w:pStyle w:val="SingleTxtG"/>
        <w:rPr>
          <w:i/>
        </w:rPr>
      </w:pPr>
      <w:r w:rsidRPr="002B4A02">
        <w:rPr>
          <w:i/>
        </w:rPr>
        <w:t xml:space="preserve">Annex 14, </w:t>
      </w:r>
      <w:r w:rsidR="00CA7C6A" w:rsidRPr="002B4A02">
        <w:rPr>
          <w:i/>
        </w:rPr>
        <w:t>p</w:t>
      </w:r>
      <w:r w:rsidRPr="002B4A02">
        <w:rPr>
          <w:i/>
        </w:rPr>
        <w:t>aragraph</w:t>
      </w:r>
      <w:r w:rsidR="00CA7C6A" w:rsidRPr="002B4A02">
        <w:rPr>
          <w:i/>
        </w:rPr>
        <w:t>s</w:t>
      </w:r>
      <w:r w:rsidRPr="002B4A02">
        <w:rPr>
          <w:i/>
        </w:rPr>
        <w:t xml:space="preserve"> 4.2.1.3 </w:t>
      </w:r>
      <w:r w:rsidR="00EE15C8" w:rsidRPr="002B4A02">
        <w:rPr>
          <w:i/>
        </w:rPr>
        <w:t>and</w:t>
      </w:r>
      <w:r w:rsidRPr="002B4A02">
        <w:rPr>
          <w:i/>
        </w:rPr>
        <w:t xml:space="preserve"> 4.2.1.4</w:t>
      </w:r>
      <w:r w:rsidRPr="002B4A02">
        <w:rPr>
          <w:iCs/>
        </w:rPr>
        <w:t>., amend to read:</w:t>
      </w:r>
    </w:p>
    <w:p w14:paraId="6A35B1FF" w14:textId="77777777" w:rsidR="00252A02" w:rsidRPr="002B4A02" w:rsidRDefault="00CA7C6A" w:rsidP="00252A02">
      <w:pPr>
        <w:pStyle w:val="SingleTxtG"/>
        <w:ind w:left="2268" w:right="850" w:hanging="1134"/>
        <w:rPr>
          <w:bCs/>
        </w:rPr>
      </w:pPr>
      <w:r w:rsidRPr="002B4A02">
        <w:rPr>
          <w:rFonts w:eastAsia="MS Gothic"/>
          <w:bCs/>
        </w:rPr>
        <w:t>"</w:t>
      </w:r>
      <w:r w:rsidR="00252A02" w:rsidRPr="002B4A02">
        <w:rPr>
          <w:rFonts w:eastAsia="MS Gothic"/>
          <w:bCs/>
        </w:rPr>
        <w:t>4.2.1.3.</w:t>
      </w:r>
      <w:r w:rsidR="00252A02" w:rsidRPr="002B4A02">
        <w:rPr>
          <w:rFonts w:eastAsia="MS Gothic"/>
          <w:bCs/>
        </w:rPr>
        <w:tab/>
      </w:r>
      <w:r w:rsidR="00252A02" w:rsidRPr="002B4A02">
        <w:rPr>
          <w:rFonts w:eastAsia="MS Gothic"/>
          <w:bCs/>
          <w:strike/>
        </w:rPr>
        <w:t>T-[HRC]</w:t>
      </w:r>
      <w:r w:rsidR="00252A02" w:rsidRPr="002B4A02">
        <w:rPr>
          <w:rFonts w:eastAsia="MS Gothic"/>
          <w:bCs/>
          <w:strike/>
          <w:vertAlign w:val="subscript"/>
        </w:rPr>
        <w:t>(</w:t>
      </w:r>
      <w:proofErr w:type="gramStart"/>
      <w:r w:rsidR="00252A02" w:rsidRPr="002B4A02">
        <w:rPr>
          <w:rFonts w:eastAsia="MS Gothic"/>
          <w:bCs/>
          <w:strike/>
          <w:vertAlign w:val="subscript"/>
        </w:rPr>
        <w:t>end)</w:t>
      </w:r>
      <w:r w:rsidR="00252A02" w:rsidRPr="002B4A02">
        <w:rPr>
          <w:rFonts w:eastAsia="MS Gothic"/>
          <w:bCs/>
        </w:rPr>
        <w:t xml:space="preserve">  </w:t>
      </w:r>
      <w:r w:rsidR="00252A02" w:rsidRPr="002B4A02">
        <w:rPr>
          <w:rFonts w:eastAsia="MS Gothic"/>
          <w:b/>
        </w:rPr>
        <w:t>T</w:t>
      </w:r>
      <w:proofErr w:type="gramEnd"/>
      <w:r w:rsidR="00252A02" w:rsidRPr="002B4A02">
        <w:rPr>
          <w:rFonts w:eastAsia="MS Gothic"/>
          <w:b/>
        </w:rPr>
        <w:t>(end)</w:t>
      </w:r>
      <w:r w:rsidR="00252A02" w:rsidRPr="002B4A02">
        <w:rPr>
          <w:rFonts w:eastAsia="MS Gothic"/>
          <w:bCs/>
        </w:rPr>
        <w:t xml:space="preserve"> definition</w:t>
      </w:r>
    </w:p>
    <w:p w14:paraId="28FA7A40" w14:textId="77777777" w:rsidR="00252A02" w:rsidRPr="002B4A02" w:rsidRDefault="00252A02" w:rsidP="00E340ED">
      <w:pPr>
        <w:pStyle w:val="SingleTxtG"/>
        <w:ind w:left="2268" w:hanging="1134"/>
        <w:rPr>
          <w:rFonts w:eastAsia="MS Gothic"/>
          <w:bCs/>
        </w:rPr>
      </w:pPr>
      <w:r w:rsidRPr="002B4A02">
        <w:rPr>
          <w:rFonts w:eastAsia="MS Gothic"/>
          <w:bCs/>
        </w:rPr>
        <w:tab/>
        <w:t xml:space="preserve">The time when the CFC60 filtered sled acceleration for the first time is &lt; 0g shall be called </w:t>
      </w:r>
      <w:r w:rsidRPr="002B4A02">
        <w:rPr>
          <w:rFonts w:eastAsia="MS Gothic"/>
          <w:bCs/>
          <w:strike/>
        </w:rPr>
        <w:t>T-[HRC]</w:t>
      </w:r>
      <w:r w:rsidRPr="002B4A02">
        <w:rPr>
          <w:rFonts w:eastAsia="MS Gothic"/>
          <w:bCs/>
          <w:strike/>
          <w:vertAlign w:val="subscript"/>
        </w:rPr>
        <w:t>(</w:t>
      </w:r>
      <w:proofErr w:type="gramStart"/>
      <w:r w:rsidRPr="002B4A02">
        <w:rPr>
          <w:rFonts w:eastAsia="MS Gothic"/>
          <w:bCs/>
          <w:strike/>
          <w:vertAlign w:val="subscript"/>
        </w:rPr>
        <w:t>end)</w:t>
      </w:r>
      <w:r w:rsidRPr="002B4A02">
        <w:rPr>
          <w:rFonts w:eastAsia="MS Gothic"/>
          <w:bCs/>
          <w:strike/>
        </w:rPr>
        <w:t xml:space="preserve"> </w:t>
      </w:r>
      <w:r w:rsidRPr="002B4A02">
        <w:rPr>
          <w:rFonts w:eastAsia="MS Gothic"/>
          <w:bCs/>
        </w:rPr>
        <w:t xml:space="preserve"> </w:t>
      </w:r>
      <w:r w:rsidRPr="002B4A02">
        <w:rPr>
          <w:rFonts w:eastAsia="MS Gothic"/>
          <w:b/>
        </w:rPr>
        <w:t>T</w:t>
      </w:r>
      <w:proofErr w:type="gramEnd"/>
      <w:r w:rsidRPr="002B4A02">
        <w:rPr>
          <w:rFonts w:eastAsia="MS Gothic"/>
          <w:b/>
        </w:rPr>
        <w:t>(end).</w:t>
      </w:r>
    </w:p>
    <w:p w14:paraId="2C30B155" w14:textId="77777777" w:rsidR="00252A02" w:rsidRPr="002B4A02" w:rsidRDefault="00252A02" w:rsidP="00252A02">
      <w:pPr>
        <w:pStyle w:val="SingleTxtG"/>
        <w:ind w:left="2268" w:right="850" w:hanging="1134"/>
        <w:rPr>
          <w:bCs/>
        </w:rPr>
      </w:pPr>
      <w:r w:rsidRPr="002B4A02">
        <w:rPr>
          <w:rFonts w:eastAsia="MS Gothic"/>
          <w:bCs/>
        </w:rPr>
        <w:t>4.2.1.4.</w:t>
      </w:r>
      <w:r w:rsidRPr="002B4A02">
        <w:rPr>
          <w:rFonts w:eastAsia="MS Gothic"/>
          <w:bCs/>
        </w:rPr>
        <w:tab/>
        <w:t>Time span definition</w:t>
      </w:r>
    </w:p>
    <w:p w14:paraId="630FD9AD" w14:textId="77777777" w:rsidR="00252A02" w:rsidRPr="002B4A02" w:rsidRDefault="00252A02" w:rsidP="00E340ED">
      <w:pPr>
        <w:pStyle w:val="SingleTxtG"/>
        <w:ind w:left="2268" w:hanging="1134"/>
        <w:rPr>
          <w:rFonts w:eastAsia="MS Gothic"/>
          <w:bCs/>
        </w:rPr>
      </w:pPr>
      <w:r w:rsidRPr="002B4A02">
        <w:rPr>
          <w:rFonts w:eastAsia="MS Gothic"/>
          <w:bCs/>
        </w:rPr>
        <w:tab/>
        <w:t xml:space="preserve">The time span for sled pulse corridor shall be defined as dT = </w:t>
      </w:r>
      <w:r w:rsidRPr="002B4A02">
        <w:rPr>
          <w:rFonts w:eastAsia="MS Gothic"/>
          <w:bCs/>
          <w:strike/>
        </w:rPr>
        <w:t>T-[HRC]</w:t>
      </w:r>
      <w:r w:rsidRPr="002B4A02">
        <w:rPr>
          <w:rFonts w:eastAsia="MS Gothic"/>
          <w:bCs/>
          <w:strike/>
          <w:vertAlign w:val="subscript"/>
        </w:rPr>
        <w:t>(</w:t>
      </w:r>
      <w:proofErr w:type="gramStart"/>
      <w:r w:rsidRPr="002B4A02">
        <w:rPr>
          <w:rFonts w:eastAsia="MS Gothic"/>
          <w:bCs/>
          <w:strike/>
          <w:vertAlign w:val="subscript"/>
        </w:rPr>
        <w:t>end)</w:t>
      </w:r>
      <w:r w:rsidRPr="002B4A02">
        <w:rPr>
          <w:rFonts w:eastAsia="MS Gothic"/>
          <w:bCs/>
        </w:rPr>
        <w:t xml:space="preserve">  </w:t>
      </w:r>
      <w:r w:rsidRPr="002B4A02">
        <w:rPr>
          <w:rFonts w:eastAsia="MS Gothic"/>
          <w:b/>
        </w:rPr>
        <w:t>T</w:t>
      </w:r>
      <w:proofErr w:type="gramEnd"/>
      <w:r w:rsidRPr="002B4A02">
        <w:rPr>
          <w:rFonts w:eastAsia="MS Gothic"/>
          <w:b/>
        </w:rPr>
        <w:t>(end)</w:t>
      </w:r>
      <w:r w:rsidRPr="002B4A02">
        <w:rPr>
          <w:rFonts w:eastAsia="MS Gothic"/>
          <w:bCs/>
        </w:rPr>
        <w:t xml:space="preserve"> - T</w:t>
      </w:r>
      <w:r w:rsidRPr="002B4A02">
        <w:rPr>
          <w:rFonts w:eastAsia="MS Gothic"/>
          <w:bCs/>
          <w:vertAlign w:val="subscript"/>
        </w:rPr>
        <w:t>0</w:t>
      </w:r>
      <w:r w:rsidRPr="002B4A02">
        <w:rPr>
          <w:rFonts w:eastAsia="MS Gothic"/>
          <w:bCs/>
        </w:rPr>
        <w:t>.</w:t>
      </w:r>
      <w:r w:rsidR="00CA7C6A" w:rsidRPr="002B4A02">
        <w:rPr>
          <w:rFonts w:eastAsia="MS Gothic"/>
          <w:bCs/>
        </w:rPr>
        <w:t>"</w:t>
      </w:r>
    </w:p>
    <w:p w14:paraId="721EACD8" w14:textId="77777777" w:rsidR="00527149" w:rsidRPr="002B4A02" w:rsidRDefault="00FA6656" w:rsidP="0052714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 w:val="0"/>
          <w:sz w:val="28"/>
          <w:lang w:eastAsia="ja-JP"/>
        </w:rPr>
      </w:pPr>
      <w:bookmarkStart w:id="0" w:name="_GoBack"/>
      <w:bookmarkEnd w:id="0"/>
      <w:r w:rsidRPr="002B4A02">
        <w:rPr>
          <w:b/>
          <w:snapToGrid w:val="0"/>
          <w:sz w:val="28"/>
          <w:lang w:eastAsia="ja-JP"/>
        </w:rPr>
        <w:lastRenderedPageBreak/>
        <w:tab/>
      </w:r>
      <w:r w:rsidR="00527149" w:rsidRPr="002B4A02">
        <w:rPr>
          <w:b/>
          <w:snapToGrid w:val="0"/>
          <w:sz w:val="28"/>
          <w:lang w:eastAsia="ja-JP"/>
        </w:rPr>
        <w:t>II.</w:t>
      </w:r>
      <w:r w:rsidR="00527149" w:rsidRPr="002B4A02">
        <w:rPr>
          <w:b/>
          <w:snapToGrid w:val="0"/>
          <w:sz w:val="28"/>
          <w:lang w:eastAsia="ja-JP"/>
        </w:rPr>
        <w:tab/>
      </w:r>
      <w:r w:rsidR="00527149" w:rsidRPr="002B4A02">
        <w:rPr>
          <w:b/>
          <w:sz w:val="28"/>
        </w:rPr>
        <w:t>Justification</w:t>
      </w:r>
    </w:p>
    <w:p w14:paraId="1DD9C2FF" w14:textId="58ED48A3" w:rsidR="00252A02" w:rsidRPr="002B4A02" w:rsidRDefault="00625C0B" w:rsidP="00625C0B">
      <w:pPr>
        <w:pStyle w:val="SingleTxtG"/>
        <w:rPr>
          <w:rFonts w:eastAsia="MS Mincho"/>
        </w:rPr>
      </w:pPr>
      <w:r w:rsidRPr="002B4A02">
        <w:rPr>
          <w:rFonts w:eastAsia="MS Mincho"/>
        </w:rPr>
        <w:t>1.</w:t>
      </w:r>
      <w:r w:rsidRPr="002B4A02">
        <w:rPr>
          <w:rFonts w:eastAsia="MS Mincho"/>
        </w:rPr>
        <w:tab/>
      </w:r>
      <w:r w:rsidR="00CA7C6A" w:rsidRPr="002B4A02">
        <w:rPr>
          <w:rFonts w:eastAsia="MS Mincho"/>
        </w:rPr>
        <w:t>CLEPA</w:t>
      </w:r>
      <w:r w:rsidR="00252A02" w:rsidRPr="002B4A02">
        <w:rPr>
          <w:rFonts w:eastAsia="MS Mincho"/>
        </w:rPr>
        <w:t xml:space="preserve"> believes that GRSP </w:t>
      </w:r>
      <w:r w:rsidR="002B4A02" w:rsidRPr="002B4A02">
        <w:rPr>
          <w:rFonts w:eastAsia="MS Mincho"/>
        </w:rPr>
        <w:t>sh</w:t>
      </w:r>
      <w:r w:rsidR="002B4A02">
        <w:rPr>
          <w:rFonts w:eastAsia="MS Mincho"/>
        </w:rPr>
        <w:t>ould</w:t>
      </w:r>
      <w:r w:rsidR="002B4A02" w:rsidRPr="002B4A02">
        <w:rPr>
          <w:rFonts w:eastAsia="MS Mincho"/>
        </w:rPr>
        <w:t xml:space="preserve"> </w:t>
      </w:r>
      <w:r w:rsidR="00252A02" w:rsidRPr="002B4A02">
        <w:rPr>
          <w:rFonts w:eastAsia="MS Mincho"/>
        </w:rPr>
        <w:t xml:space="preserve">chose injury risk limits based </w:t>
      </w:r>
      <w:r w:rsidR="002B4A02">
        <w:rPr>
          <w:rFonts w:eastAsia="MS Mincho"/>
        </w:rPr>
        <w:t xml:space="preserve">not </w:t>
      </w:r>
      <w:r w:rsidR="00252A02" w:rsidRPr="002B4A02">
        <w:rPr>
          <w:rFonts w:eastAsia="MS Mincho"/>
        </w:rPr>
        <w:t xml:space="preserve">only </w:t>
      </w:r>
      <w:r w:rsidR="002B4A02">
        <w:rPr>
          <w:rFonts w:eastAsia="MS Mincho"/>
        </w:rPr>
        <w:t xml:space="preserve">on the </w:t>
      </w:r>
      <w:r w:rsidR="00252A02" w:rsidRPr="002B4A02">
        <w:rPr>
          <w:rFonts w:eastAsia="MS Mincho"/>
        </w:rPr>
        <w:t xml:space="preserve">injury risk curves which were presented, but also consider the technical feasibility based on the measurement variations of the tool which is the </w:t>
      </w:r>
      <w:r w:rsidR="00EE15C8" w:rsidRPr="002B4A02">
        <w:rPr>
          <w:rFonts w:eastAsia="MS Mincho"/>
        </w:rPr>
        <w:t>Biomechanical Rear Impact Dummy (</w:t>
      </w:r>
      <w:proofErr w:type="spellStart"/>
      <w:r w:rsidR="00252A02" w:rsidRPr="002B4A02">
        <w:rPr>
          <w:rFonts w:eastAsia="MS Mincho"/>
        </w:rPr>
        <w:t>Bio</w:t>
      </w:r>
      <w:r w:rsidR="00EE15C8" w:rsidRPr="002B4A02">
        <w:rPr>
          <w:rFonts w:eastAsia="MS Mincho"/>
        </w:rPr>
        <w:t>RID</w:t>
      </w:r>
      <w:proofErr w:type="spellEnd"/>
      <w:r w:rsidR="00EE15C8" w:rsidRPr="002B4A02">
        <w:rPr>
          <w:rFonts w:eastAsia="MS Mincho"/>
        </w:rPr>
        <w:t>)</w:t>
      </w:r>
      <w:r w:rsidR="00252A02" w:rsidRPr="002B4A02">
        <w:rPr>
          <w:rFonts w:eastAsia="MS Mincho"/>
        </w:rPr>
        <w:t>.</w:t>
      </w:r>
    </w:p>
    <w:p w14:paraId="461A7319" w14:textId="7B326F85" w:rsidR="00252A02" w:rsidRDefault="00625C0B" w:rsidP="00625C0B">
      <w:pPr>
        <w:pStyle w:val="SingleTxtG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="00252A02" w:rsidRPr="002B4A02">
        <w:rPr>
          <w:rFonts w:eastAsia="MS Mincho"/>
        </w:rPr>
        <w:t>The rationale of C</w:t>
      </w:r>
      <w:r w:rsidR="00EE15C8" w:rsidRPr="002B4A02">
        <w:rPr>
          <w:rFonts w:eastAsia="MS Mincho"/>
        </w:rPr>
        <w:t>LEPA</w:t>
      </w:r>
      <w:r w:rsidR="00252A02" w:rsidRPr="002B4A02">
        <w:rPr>
          <w:rFonts w:eastAsia="MS Mincho"/>
        </w:rPr>
        <w:t xml:space="preserve"> has been presented in informal document GRSP-64-44 </w:t>
      </w:r>
      <w:r w:rsidR="00EE15C8" w:rsidRPr="002B4A02">
        <w:rPr>
          <w:rFonts w:eastAsia="MS Mincho"/>
        </w:rPr>
        <w:t xml:space="preserve">at the December 2018 session of GRSP </w:t>
      </w:r>
      <w:r w:rsidR="00252A02" w:rsidRPr="002B4A02">
        <w:rPr>
          <w:rFonts w:eastAsia="MS Mincho"/>
        </w:rPr>
        <w:t xml:space="preserve">and uses the outcome of the repeatability and reproducibility of the </w:t>
      </w:r>
      <w:proofErr w:type="spellStart"/>
      <w:r w:rsidR="00252A02" w:rsidRPr="002B4A02">
        <w:rPr>
          <w:rFonts w:eastAsia="MS Mincho"/>
        </w:rPr>
        <w:t>Bio</w:t>
      </w:r>
      <w:r w:rsidR="00EE15C8" w:rsidRPr="002B4A02">
        <w:rPr>
          <w:rFonts w:eastAsia="MS Mincho"/>
        </w:rPr>
        <w:t>RID</w:t>
      </w:r>
      <w:proofErr w:type="spellEnd"/>
      <w:r w:rsidR="00252A02" w:rsidRPr="002B4A02">
        <w:rPr>
          <w:rFonts w:eastAsia="MS Mincho"/>
        </w:rPr>
        <w:t xml:space="preserve"> </w:t>
      </w:r>
      <w:r w:rsidR="00EE15C8" w:rsidRPr="002B4A02">
        <w:rPr>
          <w:rFonts w:eastAsia="MS Mincho"/>
        </w:rPr>
        <w:t xml:space="preserve">II </w:t>
      </w:r>
      <w:r w:rsidR="00252A02" w:rsidRPr="002B4A02">
        <w:rPr>
          <w:rFonts w:eastAsia="MS Mincho"/>
        </w:rPr>
        <w:t>dummy as presented in the informal working group document GTR-16-02 HIS.</w:t>
      </w:r>
    </w:p>
    <w:p w14:paraId="461C4AC7" w14:textId="288BA597" w:rsidR="00E81969" w:rsidRPr="002B4A02" w:rsidRDefault="00AF1F18" w:rsidP="00E340ED">
      <w:pPr>
        <w:pStyle w:val="SingleTxtG"/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="00252A02" w:rsidRPr="002B4A02">
        <w:rPr>
          <w:rFonts w:eastAsia="MS Mincho"/>
        </w:rPr>
        <w:t>C</w:t>
      </w:r>
      <w:r w:rsidR="00EE15C8" w:rsidRPr="002B4A02">
        <w:rPr>
          <w:rFonts w:eastAsia="MS Mincho"/>
        </w:rPr>
        <w:t>LEPA</w:t>
      </w:r>
      <w:r w:rsidR="00252A02" w:rsidRPr="002B4A02">
        <w:rPr>
          <w:rFonts w:eastAsia="MS Mincho"/>
        </w:rPr>
        <w:t xml:space="preserve"> also </w:t>
      </w:r>
      <w:r w:rsidR="002B4A02" w:rsidRPr="00AF1F18">
        <w:rPr>
          <w:rFonts w:eastAsia="MS Mincho"/>
        </w:rPr>
        <w:t>corrects</w:t>
      </w:r>
      <w:r w:rsidR="002B4A02" w:rsidRPr="00397744">
        <w:rPr>
          <w:rFonts w:eastAsia="MS Mincho"/>
        </w:rPr>
        <w:t xml:space="preserve"> </w:t>
      </w:r>
      <w:r w:rsidR="00252A02" w:rsidRPr="002B4A02">
        <w:rPr>
          <w:rFonts w:eastAsia="MS Mincho"/>
        </w:rPr>
        <w:t>the definition of T(end) which is different from T-</w:t>
      </w:r>
      <w:proofErr w:type="gramStart"/>
      <w:r w:rsidR="00252A02" w:rsidRPr="002B4A02">
        <w:rPr>
          <w:rFonts w:eastAsia="MS Mincho"/>
        </w:rPr>
        <w:t>HRC(</w:t>
      </w:r>
      <w:proofErr w:type="gramEnd"/>
      <w:r w:rsidR="00252A02" w:rsidRPr="002B4A02">
        <w:rPr>
          <w:rFonts w:eastAsia="MS Mincho"/>
        </w:rPr>
        <w:t>end)</w:t>
      </w:r>
      <w:r w:rsidR="00072674" w:rsidRPr="002B4A02">
        <w:rPr>
          <w:rFonts w:eastAsia="MS Mincho"/>
          <w:color w:val="000000" w:themeColor="text1"/>
        </w:rPr>
        <w:t>.</w:t>
      </w:r>
      <w:r w:rsidR="00374FAD" w:rsidRPr="002B4A02">
        <w:t xml:space="preserve">  </w:t>
      </w:r>
    </w:p>
    <w:p w14:paraId="466D80CB" w14:textId="77777777" w:rsidR="00E81969" w:rsidRPr="002B4A02" w:rsidRDefault="00E81969" w:rsidP="00E81969">
      <w:pPr>
        <w:pStyle w:val="SingleTxtG"/>
        <w:spacing w:after="0"/>
        <w:jc w:val="center"/>
        <w:rPr>
          <w:u w:val="single"/>
        </w:rPr>
      </w:pPr>
      <w:r w:rsidRPr="002B4A02">
        <w:rPr>
          <w:u w:val="single"/>
        </w:rPr>
        <w:tab/>
      </w:r>
      <w:r w:rsidRPr="002B4A02">
        <w:rPr>
          <w:u w:val="single"/>
        </w:rPr>
        <w:tab/>
      </w:r>
      <w:r w:rsidRPr="002B4A02">
        <w:rPr>
          <w:u w:val="single"/>
        </w:rPr>
        <w:tab/>
      </w:r>
      <w:r w:rsidRPr="002B4A02">
        <w:rPr>
          <w:u w:val="single"/>
        </w:rPr>
        <w:tab/>
      </w:r>
    </w:p>
    <w:p w14:paraId="71F2D70A" w14:textId="77777777" w:rsidR="00FA6656" w:rsidRPr="002B4A02" w:rsidRDefault="00FA6656" w:rsidP="00E81969">
      <w:pPr>
        <w:pStyle w:val="SingleTxtG"/>
        <w:jc w:val="left"/>
        <w:rPr>
          <w:b/>
        </w:rPr>
      </w:pPr>
    </w:p>
    <w:sectPr w:rsidR="00FA6656" w:rsidRPr="002B4A02" w:rsidSect="005030D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7F98" w14:textId="77777777" w:rsidR="00E819D2" w:rsidRDefault="00E819D2"/>
  </w:endnote>
  <w:endnote w:type="continuationSeparator" w:id="0">
    <w:p w14:paraId="1BFF7C21" w14:textId="77777777" w:rsidR="00E819D2" w:rsidRDefault="00E819D2"/>
  </w:endnote>
  <w:endnote w:type="continuationNotice" w:id="1">
    <w:p w14:paraId="2CCB182C" w14:textId="77777777" w:rsidR="00E819D2" w:rsidRDefault="00E81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7D2C" w14:textId="38DE3AA8" w:rsidR="00FE5E10" w:rsidRPr="005030D4" w:rsidRDefault="00FE5E10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625C0B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1335" w14:textId="56159E43" w:rsidR="00FE5E10" w:rsidRPr="005030D4" w:rsidRDefault="00FE5E10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625C0B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ED13" w14:textId="58C8282D" w:rsidR="00FE5E10" w:rsidRDefault="00E71AD1" w:rsidP="00E71AD1">
    <w:pPr>
      <w:pStyle w:val="Footer"/>
      <w:ind w:right="1134"/>
      <w:rPr>
        <w:rFonts w:ascii="C39T30Lfz" w:hAnsi="C39T30Lfz"/>
        <w:sz w:val="18"/>
        <w:szCs w:val="18"/>
      </w:rPr>
    </w:pPr>
    <w:r>
      <w:rPr>
        <w:rFonts w:ascii="C39T30Lfz" w:hAnsi="C39T30Lfz"/>
        <w:noProof/>
        <w:sz w:val="56"/>
        <w:szCs w:val="18"/>
        <w:lang w:val="en-US" w:eastAsia="zh-CN"/>
      </w:rPr>
      <w:drawing>
        <wp:anchor distT="0" distB="0" distL="114300" distR="114300" simplePos="0" relativeHeight="251660288" behindDoc="0" locked="0" layoutInCell="1" allowOverlap="1" wp14:anchorId="23794CB3" wp14:editId="0E6EA4CB">
          <wp:simplePos x="0" y="0"/>
          <wp:positionH relativeFrom="margin">
            <wp:posOffset>5442204</wp:posOffset>
          </wp:positionH>
          <wp:positionV relativeFrom="margin">
            <wp:posOffset>7938871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AD1">
      <w:rPr>
        <w:rFonts w:ascii="C39T30Lfz" w:hAnsi="C39T30Lfz"/>
        <w:noProof/>
        <w:sz w:val="18"/>
        <w:szCs w:val="18"/>
        <w:lang w:val="en-US" w:eastAsia="zh-CN"/>
      </w:rPr>
      <w:drawing>
        <wp:anchor distT="0" distB="0" distL="114300" distR="114300" simplePos="0" relativeHeight="251659264" behindDoc="1" locked="1" layoutInCell="1" allowOverlap="1" wp14:anchorId="2E679F39" wp14:editId="45B4AA61">
          <wp:simplePos x="0" y="0"/>
          <wp:positionH relativeFrom="margin">
            <wp:posOffset>4283710</wp:posOffset>
          </wp:positionH>
          <wp:positionV relativeFrom="margin">
            <wp:posOffset>8289290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A7B59" w14:textId="3E295CCC" w:rsidR="00E71AD1" w:rsidRPr="00E71AD1" w:rsidRDefault="00E71AD1" w:rsidP="00E71AD1">
    <w:pPr>
      <w:pStyle w:val="Footer"/>
      <w:ind w:right="1134"/>
      <w:rPr>
        <w:rFonts w:asciiTheme="majorBidi" w:hAnsiTheme="majorBidi" w:cstheme="majorBidi"/>
        <w:sz w:val="20"/>
        <w:szCs w:val="18"/>
      </w:rPr>
    </w:pPr>
    <w:r w:rsidRPr="00E71AD1">
      <w:rPr>
        <w:rFonts w:asciiTheme="majorBidi" w:hAnsiTheme="majorBidi" w:cstheme="majorBidi"/>
        <w:sz w:val="20"/>
        <w:szCs w:val="18"/>
      </w:rPr>
      <w:t>GE.19-03058(E)</w:t>
    </w:r>
  </w:p>
  <w:p w14:paraId="1D056C22" w14:textId="2DBCF8F6" w:rsidR="00E71AD1" w:rsidRPr="00E71AD1" w:rsidRDefault="00E71AD1" w:rsidP="00E71AD1">
    <w:pPr>
      <w:pStyle w:val="Footer"/>
      <w:ind w:right="1134"/>
      <w:rPr>
        <w:rFonts w:ascii="C39T30Lfz" w:hAnsi="C39T30Lfz"/>
        <w:sz w:val="56"/>
        <w:szCs w:val="18"/>
      </w:rPr>
    </w:pPr>
    <w:r>
      <w:rPr>
        <w:rFonts w:ascii="C39T30Lfz" w:hAnsi="C39T30Lfz"/>
        <w:sz w:val="56"/>
        <w:szCs w:val="18"/>
      </w:rPr>
      <w:t></w:t>
    </w:r>
    <w:r>
      <w:rPr>
        <w:rFonts w:ascii="C39T30Lfz" w:hAnsi="C39T30Lfz"/>
        <w:sz w:val="56"/>
        <w:szCs w:val="18"/>
      </w:rPr>
      <w:t>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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</w:t>
    </w:r>
    <w:r>
      <w:rPr>
        <w:rFonts w:ascii="C39T30Lfz" w:hAnsi="C39T30Lfz"/>
        <w:sz w:val="56"/>
        <w:szCs w:val="18"/>
      </w:rPr>
      <w:t></w:t>
    </w:r>
    <w:r>
      <w:rPr>
        <w:rFonts w:ascii="C39T30Lfz" w:hAnsi="C39T30Lfz"/>
        <w:sz w:val="56"/>
        <w:szCs w:val="18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B9B3" w14:textId="77777777" w:rsidR="00E819D2" w:rsidRPr="000B175B" w:rsidRDefault="00E819D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A22F91" w14:textId="77777777" w:rsidR="00E819D2" w:rsidRPr="00FC68B7" w:rsidRDefault="00E819D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B72AF8" w14:textId="77777777" w:rsidR="00E819D2" w:rsidRDefault="00E819D2"/>
  </w:footnote>
  <w:footnote w:id="2">
    <w:p w14:paraId="30B3FC6A" w14:textId="77777777" w:rsidR="00FE5E10" w:rsidRPr="00EC4B12" w:rsidRDefault="00FE5E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0A5592" w:rsidRPr="00B15178">
        <w:rPr>
          <w:szCs w:val="18"/>
          <w:lang w:val="en-US"/>
        </w:rPr>
        <w:t xml:space="preserve">In accordance with the </w:t>
      </w:r>
      <w:proofErr w:type="spellStart"/>
      <w:r w:rsidR="000A5592" w:rsidRPr="00B15178">
        <w:rPr>
          <w:szCs w:val="18"/>
          <w:lang w:val="en-US"/>
        </w:rPr>
        <w:t>programme</w:t>
      </w:r>
      <w:proofErr w:type="spellEnd"/>
      <w:r w:rsidR="000A5592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0A5592">
        <w:rPr>
          <w:szCs w:val="18"/>
          <w:lang w:val="en-US"/>
        </w:rPr>
        <w:t>N r</w:t>
      </w:r>
      <w:r w:rsidR="000A5592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EA3A" w14:textId="77777777" w:rsidR="00FE5E10" w:rsidRPr="005030D4" w:rsidRDefault="00FE5E10">
    <w:pPr>
      <w:pStyle w:val="Header"/>
    </w:pPr>
    <w:r>
      <w:t>ECE/TRANS/WP.29/GRSP/2019/</w:t>
    </w:r>
    <w:r w:rsidR="00252A02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4EA3" w14:textId="77777777" w:rsidR="00FE5E10" w:rsidRPr="005030D4" w:rsidRDefault="00FE5E10" w:rsidP="005030D4">
    <w:pPr>
      <w:pStyle w:val="Header"/>
      <w:jc w:val="right"/>
    </w:pPr>
    <w:r>
      <w:t>ECE/TRANS/WP.29/GRSP/201</w:t>
    </w:r>
    <w:r w:rsidR="00252A02">
      <w:t>9</w:t>
    </w:r>
    <w:r>
      <w:t>/</w:t>
    </w:r>
    <w:r w:rsidR="00252A02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1A733A"/>
    <w:multiLevelType w:val="hybridMultilevel"/>
    <w:tmpl w:val="378A3894"/>
    <w:lvl w:ilvl="0" w:tplc="8DE284C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9F343DA"/>
    <w:multiLevelType w:val="hybridMultilevel"/>
    <w:tmpl w:val="71647AA0"/>
    <w:lvl w:ilvl="0" w:tplc="E286B5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4D519A3"/>
    <w:multiLevelType w:val="hybridMultilevel"/>
    <w:tmpl w:val="2BA27510"/>
    <w:lvl w:ilvl="0" w:tplc="77207A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2"/>
  </w:num>
  <w:num w:numId="14">
    <w:abstractNumId w:val="24"/>
  </w:num>
  <w:num w:numId="15">
    <w:abstractNumId w:val="27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6"/>
  </w:num>
  <w:num w:numId="24">
    <w:abstractNumId w:val="21"/>
  </w:num>
  <w:num w:numId="25">
    <w:abstractNumId w:val="17"/>
  </w:num>
  <w:num w:numId="26">
    <w:abstractNumId w:val="25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D4"/>
    <w:rsid w:val="000175B8"/>
    <w:rsid w:val="000237C7"/>
    <w:rsid w:val="00046169"/>
    <w:rsid w:val="00046B1F"/>
    <w:rsid w:val="00046CCC"/>
    <w:rsid w:val="00050F6B"/>
    <w:rsid w:val="00052635"/>
    <w:rsid w:val="000526BC"/>
    <w:rsid w:val="00052E18"/>
    <w:rsid w:val="00055B92"/>
    <w:rsid w:val="00057E97"/>
    <w:rsid w:val="00060C86"/>
    <w:rsid w:val="00062865"/>
    <w:rsid w:val="0006340E"/>
    <w:rsid w:val="000646F4"/>
    <w:rsid w:val="00072674"/>
    <w:rsid w:val="00072C8C"/>
    <w:rsid w:val="000733B5"/>
    <w:rsid w:val="0008086D"/>
    <w:rsid w:val="00081815"/>
    <w:rsid w:val="00084636"/>
    <w:rsid w:val="00090F77"/>
    <w:rsid w:val="000931C0"/>
    <w:rsid w:val="000A0ECA"/>
    <w:rsid w:val="000A295B"/>
    <w:rsid w:val="000A36E3"/>
    <w:rsid w:val="000A5592"/>
    <w:rsid w:val="000A7ADA"/>
    <w:rsid w:val="000B0595"/>
    <w:rsid w:val="000B175B"/>
    <w:rsid w:val="000B2F02"/>
    <w:rsid w:val="000B3A0F"/>
    <w:rsid w:val="000B4AB5"/>
    <w:rsid w:val="000B4EF7"/>
    <w:rsid w:val="000B5122"/>
    <w:rsid w:val="000C2C03"/>
    <w:rsid w:val="000C2D2E"/>
    <w:rsid w:val="000D15CB"/>
    <w:rsid w:val="000E0415"/>
    <w:rsid w:val="000F09F7"/>
    <w:rsid w:val="000F13BC"/>
    <w:rsid w:val="000F3E30"/>
    <w:rsid w:val="001013D3"/>
    <w:rsid w:val="00101463"/>
    <w:rsid w:val="001103AA"/>
    <w:rsid w:val="00111EB0"/>
    <w:rsid w:val="00112C37"/>
    <w:rsid w:val="0011666B"/>
    <w:rsid w:val="00132153"/>
    <w:rsid w:val="0013365A"/>
    <w:rsid w:val="00143560"/>
    <w:rsid w:val="00146CA7"/>
    <w:rsid w:val="00152073"/>
    <w:rsid w:val="00160BFB"/>
    <w:rsid w:val="00165F3A"/>
    <w:rsid w:val="001723D7"/>
    <w:rsid w:val="00182290"/>
    <w:rsid w:val="001858D7"/>
    <w:rsid w:val="00197585"/>
    <w:rsid w:val="001A0FB9"/>
    <w:rsid w:val="001A3955"/>
    <w:rsid w:val="001A4E4D"/>
    <w:rsid w:val="001A5998"/>
    <w:rsid w:val="001B4B04"/>
    <w:rsid w:val="001C6663"/>
    <w:rsid w:val="001C7895"/>
    <w:rsid w:val="001D0C8C"/>
    <w:rsid w:val="001D1419"/>
    <w:rsid w:val="001D26DF"/>
    <w:rsid w:val="001D2DEB"/>
    <w:rsid w:val="001D3A03"/>
    <w:rsid w:val="001E59C4"/>
    <w:rsid w:val="001E7B67"/>
    <w:rsid w:val="001F3311"/>
    <w:rsid w:val="001F6F32"/>
    <w:rsid w:val="00202582"/>
    <w:rsid w:val="00202DA8"/>
    <w:rsid w:val="00204C69"/>
    <w:rsid w:val="002057C2"/>
    <w:rsid w:val="002078CE"/>
    <w:rsid w:val="00211E0B"/>
    <w:rsid w:val="0022322E"/>
    <w:rsid w:val="002356DA"/>
    <w:rsid w:val="00246DC1"/>
    <w:rsid w:val="00246F62"/>
    <w:rsid w:val="0024772E"/>
    <w:rsid w:val="00252A02"/>
    <w:rsid w:val="0025326F"/>
    <w:rsid w:val="002535EC"/>
    <w:rsid w:val="00254040"/>
    <w:rsid w:val="002542B6"/>
    <w:rsid w:val="002564DE"/>
    <w:rsid w:val="002566CA"/>
    <w:rsid w:val="0026075A"/>
    <w:rsid w:val="00262016"/>
    <w:rsid w:val="00264216"/>
    <w:rsid w:val="002644FD"/>
    <w:rsid w:val="00267F5F"/>
    <w:rsid w:val="00270029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63D"/>
    <w:rsid w:val="002A6E4C"/>
    <w:rsid w:val="002B232E"/>
    <w:rsid w:val="002B3C58"/>
    <w:rsid w:val="002B4A02"/>
    <w:rsid w:val="002B6420"/>
    <w:rsid w:val="002C4EA9"/>
    <w:rsid w:val="002C69D3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44EBB"/>
    <w:rsid w:val="00352709"/>
    <w:rsid w:val="003619B5"/>
    <w:rsid w:val="00361AC3"/>
    <w:rsid w:val="00365763"/>
    <w:rsid w:val="00371178"/>
    <w:rsid w:val="00374FAD"/>
    <w:rsid w:val="00376163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B46"/>
    <w:rsid w:val="003C2CC4"/>
    <w:rsid w:val="003C534D"/>
    <w:rsid w:val="003C66F0"/>
    <w:rsid w:val="003D164A"/>
    <w:rsid w:val="003D4B23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400DF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3839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010"/>
    <w:rsid w:val="00491A5E"/>
    <w:rsid w:val="004A04D8"/>
    <w:rsid w:val="004A15F1"/>
    <w:rsid w:val="004A17B7"/>
    <w:rsid w:val="004A6736"/>
    <w:rsid w:val="004A6B18"/>
    <w:rsid w:val="004B585F"/>
    <w:rsid w:val="004C034B"/>
    <w:rsid w:val="004C2461"/>
    <w:rsid w:val="004C7462"/>
    <w:rsid w:val="004D3869"/>
    <w:rsid w:val="004D4849"/>
    <w:rsid w:val="004E035B"/>
    <w:rsid w:val="004E3CDF"/>
    <w:rsid w:val="004E77B2"/>
    <w:rsid w:val="004F0CD4"/>
    <w:rsid w:val="005024E1"/>
    <w:rsid w:val="005030D4"/>
    <w:rsid w:val="00504B2D"/>
    <w:rsid w:val="00505F41"/>
    <w:rsid w:val="0051570C"/>
    <w:rsid w:val="00516B19"/>
    <w:rsid w:val="0052136D"/>
    <w:rsid w:val="00527149"/>
    <w:rsid w:val="0052775E"/>
    <w:rsid w:val="005359D2"/>
    <w:rsid w:val="00536817"/>
    <w:rsid w:val="00536A94"/>
    <w:rsid w:val="00541AAA"/>
    <w:rsid w:val="005420F2"/>
    <w:rsid w:val="00542337"/>
    <w:rsid w:val="005477BB"/>
    <w:rsid w:val="005519CF"/>
    <w:rsid w:val="005520C1"/>
    <w:rsid w:val="0055336D"/>
    <w:rsid w:val="0056023F"/>
    <w:rsid w:val="00561CCD"/>
    <w:rsid w:val="0056209A"/>
    <w:rsid w:val="005628B6"/>
    <w:rsid w:val="00564C19"/>
    <w:rsid w:val="00570776"/>
    <w:rsid w:val="00582341"/>
    <w:rsid w:val="00584A5B"/>
    <w:rsid w:val="005854E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1623"/>
    <w:rsid w:val="005C342F"/>
    <w:rsid w:val="005C366B"/>
    <w:rsid w:val="005C7D1E"/>
    <w:rsid w:val="005E32E8"/>
    <w:rsid w:val="005F237B"/>
    <w:rsid w:val="005F7B75"/>
    <w:rsid w:val="006001EE"/>
    <w:rsid w:val="00605042"/>
    <w:rsid w:val="00605BE8"/>
    <w:rsid w:val="00610952"/>
    <w:rsid w:val="00611FC4"/>
    <w:rsid w:val="00612276"/>
    <w:rsid w:val="00614489"/>
    <w:rsid w:val="006176FB"/>
    <w:rsid w:val="00617DBC"/>
    <w:rsid w:val="00622D1A"/>
    <w:rsid w:val="00625C0B"/>
    <w:rsid w:val="00630C35"/>
    <w:rsid w:val="006317CB"/>
    <w:rsid w:val="00634186"/>
    <w:rsid w:val="00640B26"/>
    <w:rsid w:val="00641748"/>
    <w:rsid w:val="00652D0A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0724"/>
    <w:rsid w:val="006A1686"/>
    <w:rsid w:val="006A2530"/>
    <w:rsid w:val="006A49C4"/>
    <w:rsid w:val="006B01EB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5195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77E71"/>
    <w:rsid w:val="00782BC7"/>
    <w:rsid w:val="00793D0B"/>
    <w:rsid w:val="00795E7E"/>
    <w:rsid w:val="007A1CE3"/>
    <w:rsid w:val="007B2067"/>
    <w:rsid w:val="007B5CF1"/>
    <w:rsid w:val="007B6BA5"/>
    <w:rsid w:val="007B7C70"/>
    <w:rsid w:val="007C18C3"/>
    <w:rsid w:val="007C3390"/>
    <w:rsid w:val="007C3ED8"/>
    <w:rsid w:val="007C4F4B"/>
    <w:rsid w:val="007D3684"/>
    <w:rsid w:val="007D5472"/>
    <w:rsid w:val="007E01E9"/>
    <w:rsid w:val="007E63F3"/>
    <w:rsid w:val="007E6E46"/>
    <w:rsid w:val="007E73C5"/>
    <w:rsid w:val="007E785B"/>
    <w:rsid w:val="007F6611"/>
    <w:rsid w:val="00811920"/>
    <w:rsid w:val="00813193"/>
    <w:rsid w:val="00815AD0"/>
    <w:rsid w:val="00815EDB"/>
    <w:rsid w:val="00816480"/>
    <w:rsid w:val="00816599"/>
    <w:rsid w:val="008240CB"/>
    <w:rsid w:val="008242D7"/>
    <w:rsid w:val="008257B1"/>
    <w:rsid w:val="00832334"/>
    <w:rsid w:val="0083733D"/>
    <w:rsid w:val="008374C2"/>
    <w:rsid w:val="00842C91"/>
    <w:rsid w:val="00843191"/>
    <w:rsid w:val="00843767"/>
    <w:rsid w:val="008474B3"/>
    <w:rsid w:val="00851EC0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751B6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54EB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1329B"/>
    <w:rsid w:val="00915EF6"/>
    <w:rsid w:val="009223CA"/>
    <w:rsid w:val="00923FB1"/>
    <w:rsid w:val="009265BC"/>
    <w:rsid w:val="00940F93"/>
    <w:rsid w:val="009448C3"/>
    <w:rsid w:val="009465FF"/>
    <w:rsid w:val="00947D9B"/>
    <w:rsid w:val="0095173D"/>
    <w:rsid w:val="009541AE"/>
    <w:rsid w:val="00954DA7"/>
    <w:rsid w:val="0096103D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8621A"/>
    <w:rsid w:val="0099000B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4B59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02FFA"/>
    <w:rsid w:val="00A04737"/>
    <w:rsid w:val="00A12722"/>
    <w:rsid w:val="00A16B58"/>
    <w:rsid w:val="00A17D7A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5697"/>
    <w:rsid w:val="00A677E9"/>
    <w:rsid w:val="00A71804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95831"/>
    <w:rsid w:val="00AA1A84"/>
    <w:rsid w:val="00AA293C"/>
    <w:rsid w:val="00AA3F0A"/>
    <w:rsid w:val="00AB2F3D"/>
    <w:rsid w:val="00AB51D7"/>
    <w:rsid w:val="00AB530B"/>
    <w:rsid w:val="00AB7887"/>
    <w:rsid w:val="00AC2A3D"/>
    <w:rsid w:val="00AC30B1"/>
    <w:rsid w:val="00AD5A4F"/>
    <w:rsid w:val="00AD5F43"/>
    <w:rsid w:val="00AE7938"/>
    <w:rsid w:val="00AF1F18"/>
    <w:rsid w:val="00AF37FD"/>
    <w:rsid w:val="00AF3907"/>
    <w:rsid w:val="00AF7796"/>
    <w:rsid w:val="00AF7DDD"/>
    <w:rsid w:val="00B00C2C"/>
    <w:rsid w:val="00B064F6"/>
    <w:rsid w:val="00B06BC9"/>
    <w:rsid w:val="00B0709B"/>
    <w:rsid w:val="00B254FB"/>
    <w:rsid w:val="00B258A0"/>
    <w:rsid w:val="00B2708C"/>
    <w:rsid w:val="00B30179"/>
    <w:rsid w:val="00B31B89"/>
    <w:rsid w:val="00B3665F"/>
    <w:rsid w:val="00B414C3"/>
    <w:rsid w:val="00B41E8B"/>
    <w:rsid w:val="00B421C1"/>
    <w:rsid w:val="00B4416F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38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90282"/>
    <w:rsid w:val="00B90EC0"/>
    <w:rsid w:val="00B92198"/>
    <w:rsid w:val="00B936EB"/>
    <w:rsid w:val="00B93765"/>
    <w:rsid w:val="00B96704"/>
    <w:rsid w:val="00B9701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2369C"/>
    <w:rsid w:val="00C23722"/>
    <w:rsid w:val="00C37FB4"/>
    <w:rsid w:val="00C42731"/>
    <w:rsid w:val="00C438F3"/>
    <w:rsid w:val="00C445C8"/>
    <w:rsid w:val="00C4527F"/>
    <w:rsid w:val="00C463DD"/>
    <w:rsid w:val="00C4674E"/>
    <w:rsid w:val="00C4724C"/>
    <w:rsid w:val="00C538C5"/>
    <w:rsid w:val="00C55D26"/>
    <w:rsid w:val="00C629A0"/>
    <w:rsid w:val="00C6446A"/>
    <w:rsid w:val="00C64629"/>
    <w:rsid w:val="00C6567B"/>
    <w:rsid w:val="00C66019"/>
    <w:rsid w:val="00C66D48"/>
    <w:rsid w:val="00C745C3"/>
    <w:rsid w:val="00C750B4"/>
    <w:rsid w:val="00C82B10"/>
    <w:rsid w:val="00C83287"/>
    <w:rsid w:val="00C85F47"/>
    <w:rsid w:val="00C862AB"/>
    <w:rsid w:val="00C87B76"/>
    <w:rsid w:val="00C918E5"/>
    <w:rsid w:val="00C96DF2"/>
    <w:rsid w:val="00CA0FFA"/>
    <w:rsid w:val="00CA14DF"/>
    <w:rsid w:val="00CA2093"/>
    <w:rsid w:val="00CA4756"/>
    <w:rsid w:val="00CA57E6"/>
    <w:rsid w:val="00CA57FD"/>
    <w:rsid w:val="00CA66D2"/>
    <w:rsid w:val="00CA7C6A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F3C74"/>
    <w:rsid w:val="00D02DB3"/>
    <w:rsid w:val="00D077E0"/>
    <w:rsid w:val="00D07A49"/>
    <w:rsid w:val="00D107D2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97A3B"/>
    <w:rsid w:val="00DA2581"/>
    <w:rsid w:val="00DA3C1C"/>
    <w:rsid w:val="00DA3E95"/>
    <w:rsid w:val="00DA4FE9"/>
    <w:rsid w:val="00DA6FFB"/>
    <w:rsid w:val="00DA7511"/>
    <w:rsid w:val="00DB0530"/>
    <w:rsid w:val="00DB1937"/>
    <w:rsid w:val="00DB59DC"/>
    <w:rsid w:val="00DC6D39"/>
    <w:rsid w:val="00DD0195"/>
    <w:rsid w:val="00DE4E9B"/>
    <w:rsid w:val="00DF63C0"/>
    <w:rsid w:val="00E046DF"/>
    <w:rsid w:val="00E065D8"/>
    <w:rsid w:val="00E118D1"/>
    <w:rsid w:val="00E17D8F"/>
    <w:rsid w:val="00E22B0C"/>
    <w:rsid w:val="00E27346"/>
    <w:rsid w:val="00E32195"/>
    <w:rsid w:val="00E340ED"/>
    <w:rsid w:val="00E34B4E"/>
    <w:rsid w:val="00E40A45"/>
    <w:rsid w:val="00E4229E"/>
    <w:rsid w:val="00E501F9"/>
    <w:rsid w:val="00E560CA"/>
    <w:rsid w:val="00E71AD1"/>
    <w:rsid w:val="00E71BC8"/>
    <w:rsid w:val="00E7260F"/>
    <w:rsid w:val="00E72A92"/>
    <w:rsid w:val="00E73F5D"/>
    <w:rsid w:val="00E769E1"/>
    <w:rsid w:val="00E77615"/>
    <w:rsid w:val="00E77E4E"/>
    <w:rsid w:val="00E804CE"/>
    <w:rsid w:val="00E81969"/>
    <w:rsid w:val="00E819D2"/>
    <w:rsid w:val="00E821E6"/>
    <w:rsid w:val="00E87301"/>
    <w:rsid w:val="00E96630"/>
    <w:rsid w:val="00EA18DF"/>
    <w:rsid w:val="00EA1F68"/>
    <w:rsid w:val="00EA2A77"/>
    <w:rsid w:val="00EA571B"/>
    <w:rsid w:val="00EA7730"/>
    <w:rsid w:val="00EA7B56"/>
    <w:rsid w:val="00EB12FC"/>
    <w:rsid w:val="00EB49E9"/>
    <w:rsid w:val="00EC23F0"/>
    <w:rsid w:val="00EC3A72"/>
    <w:rsid w:val="00EC6B03"/>
    <w:rsid w:val="00ED1BCF"/>
    <w:rsid w:val="00ED2932"/>
    <w:rsid w:val="00ED795E"/>
    <w:rsid w:val="00ED7A2A"/>
    <w:rsid w:val="00EE15C8"/>
    <w:rsid w:val="00EE19B5"/>
    <w:rsid w:val="00EF1D7F"/>
    <w:rsid w:val="00EF2C9A"/>
    <w:rsid w:val="00EF46AF"/>
    <w:rsid w:val="00F00FD7"/>
    <w:rsid w:val="00F02310"/>
    <w:rsid w:val="00F02804"/>
    <w:rsid w:val="00F06332"/>
    <w:rsid w:val="00F10120"/>
    <w:rsid w:val="00F1312B"/>
    <w:rsid w:val="00F15DA2"/>
    <w:rsid w:val="00F20F0B"/>
    <w:rsid w:val="00F31E5F"/>
    <w:rsid w:val="00F339F2"/>
    <w:rsid w:val="00F446C4"/>
    <w:rsid w:val="00F44DE7"/>
    <w:rsid w:val="00F6100A"/>
    <w:rsid w:val="00F61A56"/>
    <w:rsid w:val="00F620FF"/>
    <w:rsid w:val="00F63172"/>
    <w:rsid w:val="00F6734B"/>
    <w:rsid w:val="00F70DE3"/>
    <w:rsid w:val="00F8386C"/>
    <w:rsid w:val="00F8439C"/>
    <w:rsid w:val="00F93781"/>
    <w:rsid w:val="00F95447"/>
    <w:rsid w:val="00FA2159"/>
    <w:rsid w:val="00FA50BC"/>
    <w:rsid w:val="00FA6656"/>
    <w:rsid w:val="00FB613B"/>
    <w:rsid w:val="00FB7B08"/>
    <w:rsid w:val="00FC0409"/>
    <w:rsid w:val="00FC2443"/>
    <w:rsid w:val="00FC4C40"/>
    <w:rsid w:val="00FC68B7"/>
    <w:rsid w:val="00FD285D"/>
    <w:rsid w:val="00FD3F98"/>
    <w:rsid w:val="00FE106A"/>
    <w:rsid w:val="00FE5E10"/>
    <w:rsid w:val="00FE7450"/>
    <w:rsid w:val="00FF145D"/>
    <w:rsid w:val="00FF25BB"/>
    <w:rsid w:val="00FF3040"/>
    <w:rsid w:val="00FF5E09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6C5EAB"/>
  <w15:docId w15:val="{7AF2497A-260F-47F9-8AB7-CF21F9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FA6656"/>
    <w:pPr>
      <w:spacing w:line="240" w:lineRule="auto"/>
      <w:ind w:left="720"/>
      <w:contextualSpacing/>
    </w:pPr>
    <w:rPr>
      <w:sz w:val="24"/>
      <w:szCs w:val="24"/>
      <w:lang w:val="ru-RU" w:eastAsia="ar-SA"/>
    </w:rPr>
  </w:style>
  <w:style w:type="character" w:customStyle="1" w:styleId="shorttext">
    <w:name w:val="short_text"/>
    <w:basedOn w:val="DefaultParagraphFont"/>
    <w:rsid w:val="0025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FAB-BEE5-4347-B992-FCDF05C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444</Words>
  <Characters>2536</Characters>
  <Application>Microsoft Office Word</Application>
  <DocSecurity>4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ECE/TRANS/WP.29/GRSP/2019/7</vt:lpstr>
      <vt:lpstr>ECE/TRANS/WP.29/GRSP/2018/33</vt:lpstr>
      <vt:lpstr>United Nations</vt:lpstr>
    </vt:vector>
  </TitlesOfParts>
  <Company>CSD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ECE/TRANS/WP.29/GRSP/2019/7</dc:title>
  <dc:subject>1903058</dc:subject>
  <dc:creator>Gianotti</dc:creator>
  <cp:keywords/>
  <dc:description/>
  <cp:lastModifiedBy>Benedicte Boudol</cp:lastModifiedBy>
  <cp:revision>2</cp:revision>
  <cp:lastPrinted>2019-02-22T14:25:00Z</cp:lastPrinted>
  <dcterms:created xsi:type="dcterms:W3CDTF">2019-03-22T14:59:00Z</dcterms:created>
  <dcterms:modified xsi:type="dcterms:W3CDTF">2019-03-22T14:59:00Z</dcterms:modified>
</cp:coreProperties>
</file>