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57" w:rsidRPr="00EC7C3D" w:rsidRDefault="00F02857" w:rsidP="00DE33EF">
      <w:pPr>
        <w:spacing w:after="0" w:line="240" w:lineRule="auto"/>
        <w:ind w:left="567" w:right="425"/>
        <w:jc w:val="center"/>
        <w:rPr>
          <w:rFonts w:ascii="Times New Roman" w:hAnsi="Times New Roman" w:cs="Times New Roman"/>
          <w:b/>
          <w:sz w:val="30"/>
          <w:szCs w:val="30"/>
          <w:lang w:val="en-GB"/>
        </w:rPr>
      </w:pPr>
      <w:r w:rsidRPr="00EC7C3D">
        <w:rPr>
          <w:rFonts w:ascii="Times New Roman" w:hAnsi="Times New Roman" w:cs="Times New Roman"/>
          <w:b/>
          <w:sz w:val="30"/>
          <w:szCs w:val="30"/>
          <w:lang w:val="en-GB"/>
        </w:rPr>
        <w:t xml:space="preserve">Proposal for </w:t>
      </w:r>
      <w:r w:rsidR="0023396B">
        <w:rPr>
          <w:rFonts w:ascii="Times New Roman" w:hAnsi="Times New Roman" w:cs="Times New Roman"/>
          <w:b/>
          <w:sz w:val="30"/>
          <w:szCs w:val="30"/>
          <w:lang w:val="en-GB"/>
        </w:rPr>
        <w:t xml:space="preserve">the </w:t>
      </w:r>
      <w:r w:rsidRPr="00EC7C3D">
        <w:rPr>
          <w:rFonts w:ascii="Times New Roman" w:hAnsi="Times New Roman" w:cs="Times New Roman"/>
          <w:b/>
          <w:sz w:val="30"/>
          <w:szCs w:val="30"/>
          <w:lang w:val="en-GB"/>
        </w:rPr>
        <w:t>03 series of amendments to UN Regulation</w:t>
      </w:r>
    </w:p>
    <w:p w:rsidR="00C077D5" w:rsidRPr="00EC7C3D" w:rsidRDefault="00F02857" w:rsidP="00DE33EF">
      <w:pPr>
        <w:spacing w:after="0" w:line="240" w:lineRule="auto"/>
        <w:ind w:left="709"/>
        <w:jc w:val="center"/>
        <w:rPr>
          <w:rFonts w:ascii="Times New Roman" w:hAnsi="Times New Roman" w:cs="Times New Roman"/>
          <w:b/>
          <w:sz w:val="30"/>
          <w:szCs w:val="30"/>
          <w:lang w:val="en-GB"/>
        </w:rPr>
      </w:pPr>
      <w:r w:rsidRPr="00EC7C3D">
        <w:rPr>
          <w:rFonts w:ascii="Times New Roman" w:hAnsi="Times New Roman" w:cs="Times New Roman"/>
          <w:b/>
          <w:sz w:val="30"/>
          <w:szCs w:val="30"/>
          <w:lang w:val="en-GB"/>
        </w:rPr>
        <w:t>No. 67 (LPG vehicles)</w:t>
      </w:r>
      <w:r w:rsidRPr="00EC7C3D">
        <w:rPr>
          <w:rFonts w:ascii="Times New Roman" w:hAnsi="Times New Roman" w:cs="Times New Roman"/>
          <w:b/>
          <w:sz w:val="30"/>
          <w:szCs w:val="30"/>
          <w:lang w:val="en-GB"/>
        </w:rPr>
        <w:cr/>
      </w:r>
    </w:p>
    <w:p w:rsidR="00C077D5" w:rsidRPr="00EC7C3D" w:rsidRDefault="00C077D5" w:rsidP="00C077D5">
      <w:pPr>
        <w:spacing w:after="0" w:line="240" w:lineRule="auto"/>
        <w:ind w:left="709" w:right="425"/>
        <w:jc w:val="both"/>
        <w:rPr>
          <w:rFonts w:ascii="Times New Roman" w:hAnsi="Times New Roman" w:cs="Times New Roman"/>
          <w:szCs w:val="24"/>
          <w:lang w:val="en-GB"/>
        </w:rPr>
      </w:pPr>
      <w:r w:rsidRPr="00EC7C3D">
        <w:rPr>
          <w:rFonts w:ascii="Times New Roman" w:hAnsi="Times New Roman" w:cs="Times New Roman"/>
          <w:szCs w:val="24"/>
          <w:lang w:val="en-GB"/>
        </w:rPr>
        <w:t xml:space="preserve">The text was prepared by the expert from </w:t>
      </w:r>
      <w:bookmarkStart w:id="0" w:name="_GoBack"/>
      <w:bookmarkEnd w:id="0"/>
      <w:r w:rsidRPr="00EC7C3D">
        <w:rPr>
          <w:rFonts w:ascii="Times New Roman" w:hAnsi="Times New Roman" w:cs="Times New Roman"/>
          <w:szCs w:val="24"/>
          <w:lang w:val="en-GB"/>
        </w:rPr>
        <w:t xml:space="preserve">Turkey. It proposes amendment to UN Regulation No. 67 on LPG vehicles to </w:t>
      </w:r>
      <w:r w:rsidRPr="00EC7C3D">
        <w:rPr>
          <w:rFonts w:ascii="Times New Roman" w:hAnsi="Times New Roman" w:cs="Times New Roman"/>
          <w:b/>
          <w:szCs w:val="24"/>
          <w:lang w:val="en-GB"/>
        </w:rPr>
        <w:t>insert new provisions on the location on the vehicle of the filling unit</w:t>
      </w:r>
      <w:r w:rsidRPr="00EC7C3D">
        <w:rPr>
          <w:rFonts w:ascii="Times New Roman" w:hAnsi="Times New Roman" w:cs="Times New Roman"/>
          <w:szCs w:val="24"/>
          <w:lang w:val="en-GB"/>
        </w:rPr>
        <w:t xml:space="preserve">. </w:t>
      </w:r>
    </w:p>
    <w:p w:rsidR="00C077D5" w:rsidRPr="00EC7C3D" w:rsidRDefault="00C077D5" w:rsidP="00AF16CB">
      <w:pPr>
        <w:tabs>
          <w:tab w:val="left" w:pos="2655"/>
        </w:tabs>
        <w:spacing w:after="0" w:line="240" w:lineRule="auto"/>
        <w:ind w:right="425"/>
        <w:rPr>
          <w:rFonts w:ascii="Times New Roman" w:hAnsi="Times New Roman" w:cs="Times New Roman"/>
          <w:b/>
          <w:sz w:val="24"/>
          <w:szCs w:val="24"/>
          <w:lang w:val="en-GB"/>
        </w:rPr>
      </w:pPr>
    </w:p>
    <w:p w:rsidR="00C077D5" w:rsidRPr="00EC7C3D" w:rsidRDefault="00C077D5" w:rsidP="00C94A6E">
      <w:pPr>
        <w:pStyle w:val="HChG"/>
        <w:numPr>
          <w:ilvl w:val="0"/>
          <w:numId w:val="1"/>
        </w:numPr>
        <w:tabs>
          <w:tab w:val="clear" w:pos="851"/>
          <w:tab w:val="right" w:pos="284"/>
          <w:tab w:val="left" w:pos="993"/>
        </w:tabs>
        <w:spacing w:before="120" w:after="120" w:line="240" w:lineRule="auto"/>
        <w:ind w:left="567" w:right="425" w:firstLine="0"/>
        <w:rPr>
          <w:sz w:val="30"/>
          <w:szCs w:val="30"/>
        </w:rPr>
      </w:pPr>
      <w:r w:rsidRPr="00EC7C3D">
        <w:rPr>
          <w:sz w:val="30"/>
          <w:szCs w:val="30"/>
        </w:rPr>
        <w:t>Proposal</w:t>
      </w:r>
    </w:p>
    <w:p w:rsidR="00C077D5" w:rsidRPr="00EC7C3D" w:rsidRDefault="00C077D5" w:rsidP="00C94A6E">
      <w:pPr>
        <w:spacing w:before="120" w:after="120" w:line="240" w:lineRule="auto"/>
        <w:ind w:left="567" w:right="425"/>
        <w:jc w:val="both"/>
        <w:rPr>
          <w:rFonts w:ascii="Times New Roman" w:hAnsi="Times New Roman" w:cs="Times New Roman"/>
          <w:i/>
          <w:iCs/>
          <w:sz w:val="24"/>
          <w:szCs w:val="24"/>
          <w:lang w:val="en-GB"/>
        </w:rPr>
      </w:pPr>
      <w:r w:rsidRPr="00EC7C3D">
        <w:rPr>
          <w:rFonts w:ascii="Times New Roman" w:hAnsi="Times New Roman" w:cs="Times New Roman"/>
          <w:i/>
          <w:iCs/>
          <w:sz w:val="24"/>
          <w:szCs w:val="24"/>
          <w:lang w:val="en-GB"/>
        </w:rPr>
        <w:t>Insert a new paragraph 6.15.10.8., to read:</w:t>
      </w:r>
    </w:p>
    <w:p w:rsidR="00446311" w:rsidRDefault="00AF16CB" w:rsidP="00C6022F">
      <w:pPr>
        <w:spacing w:before="120" w:after="120" w:line="240" w:lineRule="auto"/>
        <w:ind w:left="1701" w:right="425" w:hanging="1134"/>
        <w:jc w:val="both"/>
        <w:rPr>
          <w:rFonts w:ascii="Times New Roman" w:hAnsi="Times New Roman" w:cs="Times New Roman"/>
          <w:b/>
          <w:iCs/>
          <w:sz w:val="24"/>
          <w:szCs w:val="24"/>
          <w:lang w:val="en-GB"/>
        </w:rPr>
      </w:pPr>
      <w:r w:rsidRPr="00EC7C3D">
        <w:rPr>
          <w:rFonts w:ascii="Times New Roman" w:hAnsi="Times New Roman" w:cs="Times New Roman"/>
          <w:iCs/>
          <w:sz w:val="24"/>
          <w:szCs w:val="24"/>
          <w:lang w:val="en-GB"/>
        </w:rPr>
        <w:t>"</w:t>
      </w:r>
      <w:r w:rsidR="00C077D5" w:rsidRPr="00EC7C3D">
        <w:rPr>
          <w:rFonts w:ascii="Times New Roman" w:hAnsi="Times New Roman" w:cs="Times New Roman"/>
          <w:b/>
          <w:iCs/>
          <w:sz w:val="24"/>
          <w:szCs w:val="24"/>
          <w:lang w:val="en-GB"/>
        </w:rPr>
        <w:t xml:space="preserve">6.15.10.8. </w:t>
      </w:r>
      <w:r w:rsidR="00C077D5" w:rsidRPr="00EC7C3D">
        <w:rPr>
          <w:rFonts w:ascii="Times New Roman" w:hAnsi="Times New Roman" w:cs="Times New Roman"/>
          <w:b/>
          <w:iCs/>
          <w:sz w:val="24"/>
          <w:szCs w:val="24"/>
          <w:lang w:val="en-GB"/>
        </w:rPr>
        <w:tab/>
      </w:r>
      <w:r w:rsidR="00446311" w:rsidRPr="00446311">
        <w:rPr>
          <w:rFonts w:ascii="Times New Roman" w:hAnsi="Times New Roman" w:cs="Times New Roman"/>
          <w:b/>
          <w:iCs/>
          <w:color w:val="00B0F0"/>
          <w:sz w:val="24"/>
          <w:szCs w:val="24"/>
          <w:lang w:val="en-GB"/>
        </w:rPr>
        <w:t xml:space="preserve">For vehicles of category M1, the filling unit shall not be located </w:t>
      </w:r>
      <w:r w:rsidR="00C6022F">
        <w:rPr>
          <w:rFonts w:ascii="Times New Roman" w:hAnsi="Times New Roman" w:cs="Times New Roman"/>
          <w:b/>
          <w:iCs/>
          <w:color w:val="00B0F0"/>
          <w:sz w:val="24"/>
          <w:szCs w:val="24"/>
          <w:lang w:val="en-GB"/>
        </w:rPr>
        <w:t>below</w:t>
      </w:r>
      <w:r w:rsidR="00446311" w:rsidRPr="00446311">
        <w:rPr>
          <w:rFonts w:ascii="Times New Roman" w:hAnsi="Times New Roman" w:cs="Times New Roman"/>
          <w:b/>
          <w:iCs/>
          <w:color w:val="00B0F0"/>
          <w:sz w:val="24"/>
          <w:szCs w:val="24"/>
          <w:lang w:val="en-GB"/>
        </w:rPr>
        <w:t xml:space="preserve"> the body of the vehicle and shall respect the </w:t>
      </w:r>
      <w:r w:rsidR="00754062">
        <w:rPr>
          <w:rFonts w:ascii="Times New Roman" w:hAnsi="Times New Roman" w:cs="Times New Roman"/>
          <w:b/>
          <w:iCs/>
          <w:color w:val="00B0F0"/>
          <w:sz w:val="24"/>
          <w:szCs w:val="24"/>
          <w:lang w:val="en-GB"/>
        </w:rPr>
        <w:t xml:space="preserve">height </w:t>
      </w:r>
      <w:r w:rsidR="00446311" w:rsidRPr="00446311">
        <w:rPr>
          <w:rFonts w:ascii="Times New Roman" w:hAnsi="Times New Roman" w:cs="Times New Roman"/>
          <w:b/>
          <w:iCs/>
          <w:color w:val="00B0F0"/>
          <w:sz w:val="24"/>
          <w:szCs w:val="24"/>
          <w:lang w:val="en-GB"/>
        </w:rPr>
        <w:t>provisions of paragraph 17.4.5.</w:t>
      </w:r>
    </w:p>
    <w:p w:rsidR="00C077D5" w:rsidRPr="00EC7C3D" w:rsidRDefault="00C077D5" w:rsidP="00446311">
      <w:pPr>
        <w:spacing w:before="120" w:after="120" w:line="240" w:lineRule="auto"/>
        <w:ind w:left="1701" w:right="425"/>
        <w:jc w:val="both"/>
        <w:rPr>
          <w:rFonts w:ascii="Times New Roman" w:hAnsi="Times New Roman" w:cs="Times New Roman"/>
          <w:iCs/>
          <w:sz w:val="24"/>
          <w:szCs w:val="24"/>
          <w:lang w:val="en-GB"/>
        </w:rPr>
      </w:pPr>
      <w:r w:rsidRPr="00446311">
        <w:rPr>
          <w:rFonts w:ascii="Times New Roman" w:hAnsi="Times New Roman" w:cs="Times New Roman"/>
          <w:b/>
          <w:iCs/>
          <w:strike/>
          <w:sz w:val="24"/>
          <w:szCs w:val="24"/>
          <w:lang w:val="en-GB"/>
        </w:rPr>
        <w:t xml:space="preserve">The filling unit shall not be located under the chassis </w:t>
      </w:r>
      <w:r w:rsidR="007B2385" w:rsidRPr="00446311">
        <w:rPr>
          <w:rFonts w:ascii="Times New Roman" w:hAnsi="Times New Roman" w:cs="Times New Roman"/>
          <w:b/>
          <w:iCs/>
          <w:strike/>
          <w:color w:val="FF0000"/>
          <w:sz w:val="24"/>
          <w:szCs w:val="24"/>
          <w:lang w:val="en-GB"/>
        </w:rPr>
        <w:t xml:space="preserve">of the vehicle </w:t>
      </w:r>
      <w:r w:rsidR="005D3655" w:rsidRPr="00446311">
        <w:rPr>
          <w:rFonts w:ascii="Times New Roman" w:hAnsi="Times New Roman" w:cs="Times New Roman"/>
          <w:b/>
          <w:iCs/>
          <w:strike/>
          <w:color w:val="FF0000"/>
          <w:sz w:val="24"/>
          <w:szCs w:val="24"/>
          <w:lang w:val="en-GB"/>
        </w:rPr>
        <w:t xml:space="preserve">or </w:t>
      </w:r>
      <w:r w:rsidR="00227F4B" w:rsidRPr="00446311">
        <w:rPr>
          <w:rFonts w:ascii="Times New Roman" w:hAnsi="Times New Roman" w:cs="Times New Roman"/>
          <w:b/>
          <w:iCs/>
          <w:strike/>
          <w:color w:val="FF0000"/>
          <w:sz w:val="24"/>
          <w:szCs w:val="24"/>
          <w:lang w:val="en-GB"/>
        </w:rPr>
        <w:t xml:space="preserve">within the </w:t>
      </w:r>
      <w:r w:rsidR="007B2385" w:rsidRPr="00446311">
        <w:rPr>
          <w:rFonts w:ascii="Times New Roman" w:hAnsi="Times New Roman" w:cs="Times New Roman"/>
          <w:b/>
          <w:iCs/>
          <w:strike/>
          <w:color w:val="FF0000"/>
          <w:sz w:val="24"/>
          <w:szCs w:val="24"/>
          <w:lang w:val="en-GB"/>
        </w:rPr>
        <w:t xml:space="preserve">rear surface of the </w:t>
      </w:r>
      <w:r w:rsidR="00227F4B" w:rsidRPr="00446311">
        <w:rPr>
          <w:rFonts w:ascii="Times New Roman" w:hAnsi="Times New Roman" w:cs="Times New Roman"/>
          <w:b/>
          <w:iCs/>
          <w:strike/>
          <w:color w:val="FF0000"/>
          <w:sz w:val="24"/>
          <w:szCs w:val="24"/>
          <w:lang w:val="en-GB"/>
        </w:rPr>
        <w:t>external energy absorbing elements (e.g. bumper)</w:t>
      </w:r>
      <w:r w:rsidR="005D3655" w:rsidRPr="00446311">
        <w:rPr>
          <w:rFonts w:ascii="Times New Roman" w:hAnsi="Times New Roman" w:cs="Times New Roman"/>
          <w:b/>
          <w:iCs/>
          <w:strike/>
          <w:color w:val="FF0000"/>
          <w:sz w:val="24"/>
          <w:szCs w:val="24"/>
          <w:lang w:val="en-GB"/>
        </w:rPr>
        <w:t xml:space="preserve"> </w:t>
      </w:r>
      <w:r w:rsidRPr="00446311">
        <w:rPr>
          <w:rFonts w:ascii="Times New Roman" w:hAnsi="Times New Roman" w:cs="Times New Roman"/>
          <w:b/>
          <w:iCs/>
          <w:strike/>
          <w:sz w:val="24"/>
          <w:szCs w:val="24"/>
          <w:lang w:val="en-GB"/>
        </w:rPr>
        <w:t>of the vehicle. The centre of outlet of filling unit shall be above 350 mm from the ground surface when the vehicle is in its reference mass</w:t>
      </w:r>
      <w:r w:rsidR="005D3655" w:rsidRPr="00446311">
        <w:rPr>
          <w:rFonts w:ascii="Times New Roman" w:hAnsi="Times New Roman" w:cs="Times New Roman"/>
          <w:b/>
          <w:iCs/>
          <w:strike/>
          <w:sz w:val="24"/>
          <w:szCs w:val="24"/>
          <w:lang w:val="en-GB"/>
        </w:rPr>
        <w:t xml:space="preserve"> </w:t>
      </w:r>
      <w:r w:rsidR="005D3655" w:rsidRPr="00446311">
        <w:rPr>
          <w:rFonts w:ascii="Times New Roman" w:hAnsi="Times New Roman" w:cs="Times New Roman"/>
          <w:b/>
          <w:iCs/>
          <w:strike/>
          <w:color w:val="FF0000"/>
          <w:sz w:val="24"/>
          <w:szCs w:val="24"/>
          <w:lang w:val="en-GB"/>
        </w:rPr>
        <w:t>in running order</w:t>
      </w:r>
      <w:r w:rsidRPr="00446311">
        <w:rPr>
          <w:rFonts w:ascii="Times New Roman" w:hAnsi="Times New Roman" w:cs="Times New Roman"/>
          <w:b/>
          <w:iCs/>
          <w:strike/>
          <w:sz w:val="24"/>
          <w:szCs w:val="24"/>
          <w:lang w:val="en-GB"/>
        </w:rPr>
        <w:t>. In the case the outlet of filling unit is located between 350 mm to 1,200 mm above the ground and directed downwards, in vertical plane the angle between horizontal road surface and outlet plane of the filling unit shall be equal to or greater than 60 degrees</w:t>
      </w:r>
      <w:r w:rsidRPr="00EC7C3D">
        <w:rPr>
          <w:rFonts w:ascii="Times New Roman" w:hAnsi="Times New Roman" w:cs="Times New Roman"/>
          <w:b/>
          <w:iCs/>
          <w:sz w:val="24"/>
          <w:szCs w:val="24"/>
          <w:lang w:val="en-GB"/>
        </w:rPr>
        <w:t>.</w:t>
      </w:r>
      <w:r w:rsidR="00AF16CB" w:rsidRPr="00EC7C3D">
        <w:rPr>
          <w:rFonts w:ascii="Times New Roman" w:hAnsi="Times New Roman" w:cs="Times New Roman"/>
          <w:iCs/>
          <w:sz w:val="24"/>
          <w:szCs w:val="24"/>
          <w:lang w:val="en-GB"/>
        </w:rPr>
        <w:t>"</w:t>
      </w:r>
    </w:p>
    <w:p w:rsidR="00F02857" w:rsidRPr="00EC7C3D" w:rsidRDefault="00F02857" w:rsidP="00C077D5">
      <w:pPr>
        <w:spacing w:before="120" w:after="120" w:line="240" w:lineRule="auto"/>
        <w:ind w:left="1843" w:right="425" w:hanging="1134"/>
        <w:jc w:val="both"/>
        <w:rPr>
          <w:rFonts w:ascii="Times New Roman" w:hAnsi="Times New Roman" w:cs="Times New Roman"/>
          <w:iCs/>
          <w:sz w:val="24"/>
          <w:szCs w:val="24"/>
          <w:lang w:val="en-GB"/>
        </w:rPr>
      </w:pPr>
    </w:p>
    <w:p w:rsidR="00F02857" w:rsidRPr="00EC7C3D" w:rsidRDefault="00F02857" w:rsidP="00C94A6E">
      <w:pPr>
        <w:spacing w:before="120" w:after="120" w:line="240" w:lineRule="auto"/>
        <w:ind w:left="1701" w:right="425" w:hanging="1134"/>
        <w:jc w:val="both"/>
        <w:rPr>
          <w:rFonts w:ascii="Times New Roman" w:hAnsi="Times New Roman" w:cs="Times New Roman"/>
          <w:i/>
          <w:iCs/>
          <w:sz w:val="24"/>
          <w:szCs w:val="24"/>
          <w:lang w:val="en-GB"/>
        </w:rPr>
      </w:pPr>
      <w:r w:rsidRPr="00EC7C3D">
        <w:rPr>
          <w:rFonts w:ascii="Times New Roman" w:hAnsi="Times New Roman" w:cs="Times New Roman"/>
          <w:i/>
          <w:iCs/>
          <w:sz w:val="24"/>
          <w:szCs w:val="24"/>
          <w:lang w:val="en-GB"/>
        </w:rPr>
        <w:t>Insert new paragraphs 22.14. to 22.1</w:t>
      </w:r>
      <w:r w:rsidR="003A1FC1" w:rsidRPr="00EC7C3D">
        <w:rPr>
          <w:rFonts w:ascii="Times New Roman" w:hAnsi="Times New Roman" w:cs="Times New Roman"/>
          <w:i/>
          <w:iCs/>
          <w:sz w:val="24"/>
          <w:szCs w:val="24"/>
          <w:lang w:val="en-GB"/>
        </w:rPr>
        <w:t>7</w:t>
      </w:r>
      <w:r w:rsidRPr="00EC7C3D">
        <w:rPr>
          <w:rFonts w:ascii="Times New Roman" w:hAnsi="Times New Roman" w:cs="Times New Roman"/>
          <w:i/>
          <w:iCs/>
          <w:sz w:val="24"/>
          <w:szCs w:val="24"/>
          <w:lang w:val="en-GB"/>
        </w:rPr>
        <w:t>., to read:</w:t>
      </w:r>
    </w:p>
    <w:p w:rsidR="00F02857" w:rsidRPr="00EC7C3D" w:rsidRDefault="00AF16CB" w:rsidP="00C94A6E">
      <w:pPr>
        <w:spacing w:before="120" w:after="120" w:line="240" w:lineRule="auto"/>
        <w:ind w:left="1701" w:right="425" w:hanging="1134"/>
        <w:jc w:val="both"/>
        <w:rPr>
          <w:rFonts w:ascii="Times New Roman" w:hAnsi="Times New Roman" w:cs="Times New Roman"/>
          <w:b/>
          <w:iCs/>
          <w:sz w:val="24"/>
          <w:szCs w:val="24"/>
          <w:lang w:val="en-GB"/>
        </w:rPr>
      </w:pPr>
      <w:r w:rsidRPr="00EC7C3D">
        <w:rPr>
          <w:rFonts w:ascii="Times New Roman" w:hAnsi="Times New Roman" w:cs="Times New Roman"/>
          <w:iCs/>
          <w:sz w:val="24"/>
          <w:szCs w:val="24"/>
          <w:lang w:val="en-GB"/>
        </w:rPr>
        <w:t>"</w:t>
      </w:r>
      <w:r w:rsidRPr="00EC7C3D">
        <w:rPr>
          <w:rFonts w:ascii="Times New Roman" w:hAnsi="Times New Roman" w:cs="Times New Roman"/>
          <w:b/>
          <w:iCs/>
          <w:sz w:val="24"/>
          <w:szCs w:val="24"/>
          <w:lang w:val="en-GB"/>
        </w:rPr>
        <w:t>22.14.</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As from the official date of entry into force of the 0</w:t>
      </w:r>
      <w:r w:rsidRPr="00EC7C3D">
        <w:rPr>
          <w:rFonts w:ascii="Times New Roman" w:hAnsi="Times New Roman" w:cs="Times New Roman"/>
          <w:b/>
          <w:iCs/>
          <w:sz w:val="24"/>
          <w:szCs w:val="24"/>
          <w:lang w:val="en-GB"/>
        </w:rPr>
        <w:t>3</w:t>
      </w:r>
      <w:r w:rsidR="00F02857" w:rsidRPr="00EC7C3D">
        <w:rPr>
          <w:rFonts w:ascii="Times New Roman" w:hAnsi="Times New Roman" w:cs="Times New Roman"/>
          <w:b/>
          <w:iCs/>
          <w:sz w:val="24"/>
          <w:szCs w:val="24"/>
          <w:lang w:val="en-GB"/>
        </w:rPr>
        <w:t xml:space="preserve"> series of amendments,</w:t>
      </w:r>
      <w:r w:rsidRPr="00EC7C3D">
        <w:rPr>
          <w:rFonts w:ascii="Times New Roman" w:hAnsi="Times New Roman" w:cs="Times New Roman"/>
          <w:b/>
          <w:iCs/>
          <w:sz w:val="24"/>
          <w:szCs w:val="24"/>
          <w:lang w:val="en-GB"/>
        </w:rPr>
        <w:t xml:space="preserve"> </w:t>
      </w:r>
      <w:r w:rsidR="00F02857" w:rsidRPr="00EC7C3D">
        <w:rPr>
          <w:rFonts w:ascii="Times New Roman" w:hAnsi="Times New Roman" w:cs="Times New Roman"/>
          <w:b/>
          <w:iCs/>
          <w:sz w:val="24"/>
          <w:szCs w:val="24"/>
          <w:lang w:val="en-GB"/>
        </w:rPr>
        <w:t xml:space="preserve">no Contracting Party applying this Regulation </w:t>
      </w:r>
      <w:r w:rsidRPr="00EC7C3D">
        <w:rPr>
          <w:rFonts w:ascii="Times New Roman" w:hAnsi="Times New Roman" w:cs="Times New Roman"/>
          <w:b/>
          <w:iCs/>
          <w:sz w:val="24"/>
          <w:szCs w:val="24"/>
          <w:lang w:val="en-GB"/>
        </w:rPr>
        <w:t xml:space="preserve">shall refuse to grant or refuse </w:t>
      </w:r>
      <w:r w:rsidR="00F02857" w:rsidRPr="00EC7C3D">
        <w:rPr>
          <w:rFonts w:ascii="Times New Roman" w:hAnsi="Times New Roman" w:cs="Times New Roman"/>
          <w:b/>
          <w:iCs/>
          <w:sz w:val="24"/>
          <w:szCs w:val="24"/>
          <w:lang w:val="en-GB"/>
        </w:rPr>
        <w:t>to accept type approvals under this Regulation</w:t>
      </w:r>
      <w:r w:rsidRPr="00EC7C3D">
        <w:rPr>
          <w:rFonts w:ascii="Times New Roman" w:hAnsi="Times New Roman" w:cs="Times New Roman"/>
          <w:b/>
          <w:iCs/>
          <w:sz w:val="24"/>
          <w:szCs w:val="24"/>
          <w:lang w:val="en-GB"/>
        </w:rPr>
        <w:t xml:space="preserve"> as amended by the 03 series of </w:t>
      </w:r>
      <w:r w:rsidR="00F02857" w:rsidRPr="00EC7C3D">
        <w:rPr>
          <w:rFonts w:ascii="Times New Roman" w:hAnsi="Times New Roman" w:cs="Times New Roman"/>
          <w:b/>
          <w:iCs/>
          <w:sz w:val="24"/>
          <w:szCs w:val="24"/>
          <w:lang w:val="en-GB"/>
        </w:rPr>
        <w:t>amendments.</w:t>
      </w:r>
    </w:p>
    <w:p w:rsidR="00AF16CB" w:rsidRPr="00EC7C3D" w:rsidRDefault="00AF16CB" w:rsidP="00C94A6E">
      <w:pPr>
        <w:spacing w:before="120" w:after="120" w:line="240" w:lineRule="auto"/>
        <w:ind w:left="1701" w:right="425" w:hanging="992"/>
        <w:jc w:val="both"/>
        <w:rPr>
          <w:rFonts w:ascii="Times New Roman" w:hAnsi="Times New Roman" w:cs="Times New Roman"/>
          <w:b/>
          <w:iCs/>
          <w:sz w:val="24"/>
          <w:szCs w:val="24"/>
          <w:lang w:val="en-GB"/>
        </w:rPr>
      </w:pPr>
      <w:r w:rsidRPr="00EC7C3D">
        <w:rPr>
          <w:rFonts w:ascii="Times New Roman" w:hAnsi="Times New Roman" w:cs="Times New Roman"/>
          <w:b/>
          <w:iCs/>
          <w:sz w:val="24"/>
          <w:szCs w:val="24"/>
          <w:lang w:val="en-GB"/>
        </w:rPr>
        <w:t>22.15</w:t>
      </w:r>
      <w:r w:rsidR="00F02857" w:rsidRPr="00EC7C3D">
        <w:rPr>
          <w:rFonts w:ascii="Times New Roman" w:hAnsi="Times New Roman" w:cs="Times New Roman"/>
          <w:b/>
          <w:iCs/>
          <w:sz w:val="24"/>
          <w:szCs w:val="24"/>
          <w:lang w:val="en-GB"/>
        </w:rPr>
        <w:t xml:space="preserve">. </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As from 1 September 202</w:t>
      </w:r>
      <w:r w:rsidRPr="00EC7C3D">
        <w:rPr>
          <w:rFonts w:ascii="Times New Roman" w:hAnsi="Times New Roman" w:cs="Times New Roman"/>
          <w:b/>
          <w:iCs/>
          <w:sz w:val="24"/>
          <w:szCs w:val="24"/>
          <w:lang w:val="en-GB"/>
        </w:rPr>
        <w:t>1</w:t>
      </w:r>
      <w:r w:rsidR="00F02857" w:rsidRPr="00EC7C3D">
        <w:rPr>
          <w:rFonts w:ascii="Times New Roman" w:hAnsi="Times New Roman" w:cs="Times New Roman"/>
          <w:b/>
          <w:iCs/>
          <w:sz w:val="24"/>
          <w:szCs w:val="24"/>
          <w:lang w:val="en-GB"/>
        </w:rPr>
        <w:t>, Contracting Parties applying this Regulation</w:t>
      </w:r>
      <w:r w:rsidRPr="00EC7C3D">
        <w:rPr>
          <w:rFonts w:ascii="Times New Roman" w:hAnsi="Times New Roman" w:cs="Times New Roman"/>
          <w:b/>
          <w:iCs/>
          <w:sz w:val="24"/>
          <w:szCs w:val="24"/>
          <w:lang w:val="en-GB"/>
        </w:rPr>
        <w:t xml:space="preserve"> </w:t>
      </w:r>
      <w:r w:rsidR="00F02857" w:rsidRPr="00EC7C3D">
        <w:rPr>
          <w:rFonts w:ascii="Times New Roman" w:hAnsi="Times New Roman" w:cs="Times New Roman"/>
          <w:b/>
          <w:iCs/>
          <w:sz w:val="24"/>
          <w:szCs w:val="24"/>
          <w:lang w:val="en-GB"/>
        </w:rPr>
        <w:t>shall not be obliged to accept type appro</w:t>
      </w:r>
      <w:r w:rsidRPr="00EC7C3D">
        <w:rPr>
          <w:rFonts w:ascii="Times New Roman" w:hAnsi="Times New Roman" w:cs="Times New Roman"/>
          <w:b/>
          <w:iCs/>
          <w:sz w:val="24"/>
          <w:szCs w:val="24"/>
          <w:lang w:val="en-GB"/>
        </w:rPr>
        <w:t xml:space="preserve">vals to the preceding series of </w:t>
      </w:r>
      <w:r w:rsidR="00F02857" w:rsidRPr="00EC7C3D">
        <w:rPr>
          <w:rFonts w:ascii="Times New Roman" w:hAnsi="Times New Roman" w:cs="Times New Roman"/>
          <w:b/>
          <w:iCs/>
          <w:sz w:val="24"/>
          <w:szCs w:val="24"/>
          <w:lang w:val="en-GB"/>
        </w:rPr>
        <w:t>amendments, first</w:t>
      </w:r>
      <w:r w:rsidRPr="00EC7C3D">
        <w:rPr>
          <w:rFonts w:ascii="Times New Roman" w:hAnsi="Times New Roman" w:cs="Times New Roman"/>
          <w:b/>
          <w:iCs/>
          <w:sz w:val="24"/>
          <w:szCs w:val="24"/>
          <w:lang w:val="en-GB"/>
        </w:rPr>
        <w:t xml:space="preserve"> issued after 1 September 2021.</w:t>
      </w:r>
    </w:p>
    <w:p w:rsidR="00AF16CB" w:rsidRPr="00EC7C3D" w:rsidRDefault="00AF16CB" w:rsidP="0029320B">
      <w:pPr>
        <w:spacing w:before="120" w:after="120" w:line="240" w:lineRule="auto"/>
        <w:ind w:left="1701" w:right="425" w:hanging="992"/>
        <w:jc w:val="both"/>
        <w:rPr>
          <w:rFonts w:ascii="Times New Roman" w:hAnsi="Times New Roman" w:cs="Times New Roman"/>
          <w:b/>
          <w:iCs/>
          <w:sz w:val="24"/>
          <w:szCs w:val="24"/>
          <w:lang w:val="en-GB"/>
        </w:rPr>
      </w:pPr>
      <w:r w:rsidRPr="00EC7C3D">
        <w:rPr>
          <w:rFonts w:ascii="Times New Roman" w:hAnsi="Times New Roman" w:cs="Times New Roman"/>
          <w:b/>
          <w:iCs/>
          <w:sz w:val="24"/>
          <w:szCs w:val="24"/>
          <w:lang w:val="en-GB"/>
        </w:rPr>
        <w:t>22.16</w:t>
      </w:r>
      <w:r w:rsidR="00F02857" w:rsidRPr="00EC7C3D">
        <w:rPr>
          <w:rFonts w:ascii="Times New Roman" w:hAnsi="Times New Roman" w:cs="Times New Roman"/>
          <w:b/>
          <w:iCs/>
          <w:sz w:val="24"/>
          <w:szCs w:val="24"/>
          <w:lang w:val="en-GB"/>
        </w:rPr>
        <w:t xml:space="preserve">. </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Until 1 September 202</w:t>
      </w:r>
      <w:r w:rsidRPr="00EC7C3D">
        <w:rPr>
          <w:rFonts w:ascii="Times New Roman" w:hAnsi="Times New Roman" w:cs="Times New Roman"/>
          <w:b/>
          <w:iCs/>
          <w:sz w:val="24"/>
          <w:szCs w:val="24"/>
          <w:lang w:val="en-GB"/>
        </w:rPr>
        <w:t>2</w:t>
      </w:r>
      <w:r w:rsidR="00F02857" w:rsidRPr="00EC7C3D">
        <w:rPr>
          <w:rFonts w:ascii="Times New Roman" w:hAnsi="Times New Roman" w:cs="Times New Roman"/>
          <w:b/>
          <w:iCs/>
          <w:sz w:val="24"/>
          <w:szCs w:val="24"/>
          <w:lang w:val="en-GB"/>
        </w:rPr>
        <w:t>, Contracting Parties</w:t>
      </w:r>
      <w:r w:rsidRPr="00EC7C3D">
        <w:rPr>
          <w:rFonts w:ascii="Times New Roman" w:hAnsi="Times New Roman" w:cs="Times New Roman"/>
          <w:b/>
          <w:iCs/>
          <w:sz w:val="24"/>
          <w:szCs w:val="24"/>
          <w:lang w:val="en-GB"/>
        </w:rPr>
        <w:t xml:space="preserve"> applying this Regulation shall </w:t>
      </w:r>
      <w:r w:rsidR="00F02857" w:rsidRPr="00EC7C3D">
        <w:rPr>
          <w:rFonts w:ascii="Times New Roman" w:hAnsi="Times New Roman" w:cs="Times New Roman"/>
          <w:b/>
          <w:iCs/>
          <w:sz w:val="24"/>
          <w:szCs w:val="24"/>
          <w:lang w:val="en-GB"/>
        </w:rPr>
        <w:t>accept type approvals to the preceding series of amendmen</w:t>
      </w:r>
      <w:r w:rsidRPr="00EC7C3D">
        <w:rPr>
          <w:rFonts w:ascii="Times New Roman" w:hAnsi="Times New Roman" w:cs="Times New Roman"/>
          <w:b/>
          <w:iCs/>
          <w:sz w:val="24"/>
          <w:szCs w:val="24"/>
          <w:lang w:val="en-GB"/>
        </w:rPr>
        <w:t xml:space="preserve">ts, first issued before 1 September </w:t>
      </w:r>
      <w:r w:rsidRPr="0029320B">
        <w:rPr>
          <w:rFonts w:ascii="Times New Roman" w:hAnsi="Times New Roman" w:cs="Times New Roman"/>
          <w:b/>
          <w:iCs/>
          <w:color w:val="00B0F0"/>
          <w:sz w:val="24"/>
          <w:szCs w:val="24"/>
          <w:lang w:val="en-GB"/>
        </w:rPr>
        <w:t>202</w:t>
      </w:r>
      <w:r w:rsidR="0029320B" w:rsidRPr="0029320B">
        <w:rPr>
          <w:rFonts w:ascii="Times New Roman" w:hAnsi="Times New Roman" w:cs="Times New Roman"/>
          <w:b/>
          <w:iCs/>
          <w:color w:val="00B0F0"/>
          <w:sz w:val="24"/>
          <w:szCs w:val="24"/>
          <w:lang w:val="en-GB"/>
        </w:rPr>
        <w:t>1</w:t>
      </w:r>
      <w:r w:rsidRPr="00EC7C3D">
        <w:rPr>
          <w:rFonts w:ascii="Times New Roman" w:hAnsi="Times New Roman" w:cs="Times New Roman"/>
          <w:b/>
          <w:iCs/>
          <w:sz w:val="24"/>
          <w:szCs w:val="24"/>
          <w:lang w:val="en-GB"/>
        </w:rPr>
        <w:t>.</w:t>
      </w:r>
    </w:p>
    <w:p w:rsidR="0029320B" w:rsidRDefault="00AF16CB" w:rsidP="00C94A6E">
      <w:pPr>
        <w:spacing w:before="120" w:after="120" w:line="240" w:lineRule="auto"/>
        <w:ind w:left="1701" w:right="425" w:hanging="992"/>
        <w:jc w:val="both"/>
        <w:rPr>
          <w:rFonts w:ascii="Times New Roman" w:hAnsi="Times New Roman" w:cs="Times New Roman"/>
          <w:b/>
          <w:iCs/>
          <w:sz w:val="24"/>
          <w:szCs w:val="24"/>
          <w:lang w:val="en-GB"/>
        </w:rPr>
      </w:pPr>
      <w:r w:rsidRPr="00EC7C3D">
        <w:rPr>
          <w:rFonts w:ascii="Times New Roman" w:hAnsi="Times New Roman" w:cs="Times New Roman"/>
          <w:b/>
          <w:iCs/>
          <w:sz w:val="24"/>
          <w:szCs w:val="24"/>
          <w:lang w:val="en-GB"/>
        </w:rPr>
        <w:t>22.17</w:t>
      </w:r>
      <w:r w:rsidR="00F02857" w:rsidRPr="00EC7C3D">
        <w:rPr>
          <w:rFonts w:ascii="Times New Roman" w:hAnsi="Times New Roman" w:cs="Times New Roman"/>
          <w:b/>
          <w:iCs/>
          <w:sz w:val="24"/>
          <w:szCs w:val="24"/>
          <w:lang w:val="en-GB"/>
        </w:rPr>
        <w:t xml:space="preserve">. </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As from 1 September 202</w:t>
      </w:r>
      <w:r w:rsidRPr="00EC7C3D">
        <w:rPr>
          <w:rFonts w:ascii="Times New Roman" w:hAnsi="Times New Roman" w:cs="Times New Roman"/>
          <w:b/>
          <w:iCs/>
          <w:sz w:val="24"/>
          <w:szCs w:val="24"/>
          <w:lang w:val="en-GB"/>
        </w:rPr>
        <w:t>2</w:t>
      </w:r>
      <w:r w:rsidR="00F02857" w:rsidRPr="00EC7C3D">
        <w:rPr>
          <w:rFonts w:ascii="Times New Roman" w:hAnsi="Times New Roman" w:cs="Times New Roman"/>
          <w:b/>
          <w:iCs/>
          <w:sz w:val="24"/>
          <w:szCs w:val="24"/>
          <w:lang w:val="en-GB"/>
        </w:rPr>
        <w:t>, Contracting Parties applying this Regulation</w:t>
      </w:r>
      <w:r w:rsidRPr="00EC7C3D">
        <w:rPr>
          <w:rFonts w:ascii="Times New Roman" w:hAnsi="Times New Roman" w:cs="Times New Roman"/>
          <w:b/>
          <w:iCs/>
          <w:sz w:val="24"/>
          <w:szCs w:val="24"/>
          <w:lang w:val="en-GB"/>
        </w:rPr>
        <w:t xml:space="preserve"> </w:t>
      </w:r>
      <w:r w:rsidR="00F02857" w:rsidRPr="00EC7C3D">
        <w:rPr>
          <w:rFonts w:ascii="Times New Roman" w:hAnsi="Times New Roman" w:cs="Times New Roman"/>
          <w:b/>
          <w:iCs/>
          <w:sz w:val="24"/>
          <w:szCs w:val="24"/>
          <w:lang w:val="en-GB"/>
        </w:rPr>
        <w:t>shall not be obliged to accept type approvals is</w:t>
      </w:r>
      <w:r w:rsidRPr="00EC7C3D">
        <w:rPr>
          <w:rFonts w:ascii="Times New Roman" w:hAnsi="Times New Roman" w:cs="Times New Roman"/>
          <w:b/>
          <w:iCs/>
          <w:sz w:val="24"/>
          <w:szCs w:val="24"/>
          <w:lang w:val="en-GB"/>
        </w:rPr>
        <w:t xml:space="preserve">sued to the preceding series of </w:t>
      </w:r>
      <w:r w:rsidR="00F02857" w:rsidRPr="00EC7C3D">
        <w:rPr>
          <w:rFonts w:ascii="Times New Roman" w:hAnsi="Times New Roman" w:cs="Times New Roman"/>
          <w:b/>
          <w:iCs/>
          <w:sz w:val="24"/>
          <w:szCs w:val="24"/>
          <w:lang w:val="en-GB"/>
        </w:rPr>
        <w:t>amendments to this Regulation.</w:t>
      </w:r>
    </w:p>
    <w:p w:rsidR="00F02857" w:rsidRDefault="0029320B" w:rsidP="0023396B">
      <w:pPr>
        <w:spacing w:after="120" w:line="240" w:lineRule="exact"/>
        <w:ind w:left="1701" w:right="141" w:hanging="992"/>
        <w:jc w:val="both"/>
        <w:rPr>
          <w:color w:val="212121"/>
          <w:lang w:val="en-GB"/>
        </w:rPr>
      </w:pPr>
      <w:r w:rsidRPr="0023396B">
        <w:rPr>
          <w:rFonts w:asciiTheme="majorBidi" w:eastAsia="MS PGothic" w:hAnsiTheme="majorBidi" w:cstheme="majorBidi"/>
          <w:b/>
          <w:iCs/>
          <w:snapToGrid w:val="0"/>
          <w:color w:val="00B0F0"/>
          <w:sz w:val="24"/>
          <w:szCs w:val="24"/>
          <w:lang w:eastAsia="ja-JP"/>
        </w:rPr>
        <w:t>22.18.</w:t>
      </w:r>
      <w:r w:rsidRPr="0023396B">
        <w:rPr>
          <w:rFonts w:asciiTheme="majorBidi" w:eastAsia="MS PGothic" w:hAnsiTheme="majorBidi" w:cstheme="majorBidi"/>
          <w:b/>
          <w:iCs/>
          <w:snapToGrid w:val="0"/>
          <w:color w:val="00B0F0"/>
          <w:sz w:val="24"/>
          <w:szCs w:val="24"/>
          <w:lang w:eastAsia="ja-JP"/>
        </w:rPr>
        <w:tab/>
        <w:t xml:space="preserve">Notwithstanding paragraph 22.15., </w:t>
      </w:r>
      <w:r w:rsidRPr="0023396B">
        <w:rPr>
          <w:rFonts w:asciiTheme="majorBidi" w:eastAsia="MS Mincho" w:hAnsiTheme="majorBidi" w:cstheme="majorBidi"/>
          <w:b/>
          <w:snapToGrid w:val="0"/>
          <w:color w:val="00B0F0"/>
          <w:sz w:val="24"/>
          <w:szCs w:val="24"/>
          <w:lang w:eastAsia="ja-JP"/>
        </w:rPr>
        <w:t xml:space="preserve">Contracting Parties applying the UN Regulation shall continue to accept UN type-approvals </w:t>
      </w:r>
      <w:r w:rsidRPr="0023396B">
        <w:rPr>
          <w:rFonts w:asciiTheme="majorBidi" w:hAnsiTheme="majorBidi" w:cstheme="majorBidi"/>
          <w:b/>
          <w:color w:val="00B0F0"/>
          <w:sz w:val="24"/>
          <w:szCs w:val="24"/>
        </w:rPr>
        <w:t>issued</w:t>
      </w:r>
      <w:r w:rsidRPr="0023396B">
        <w:rPr>
          <w:rFonts w:asciiTheme="majorBidi" w:hAnsiTheme="majorBidi" w:cstheme="majorBidi"/>
          <w:b/>
          <w:iCs/>
          <w:color w:val="00B0F0"/>
          <w:spacing w:val="-2"/>
          <w:sz w:val="24"/>
          <w:szCs w:val="24"/>
          <w:lang w:eastAsia="ja-JP"/>
        </w:rPr>
        <w:t xml:space="preserve"> </w:t>
      </w:r>
      <w:r w:rsidRPr="0023396B">
        <w:rPr>
          <w:rFonts w:asciiTheme="majorBidi" w:hAnsiTheme="majorBidi" w:cstheme="majorBidi"/>
          <w:b/>
          <w:color w:val="00B0F0"/>
          <w:sz w:val="24"/>
          <w:szCs w:val="24"/>
        </w:rPr>
        <w:t>according</w:t>
      </w:r>
      <w:r w:rsidRPr="0023396B">
        <w:rPr>
          <w:rFonts w:asciiTheme="majorBidi" w:hAnsiTheme="majorBidi" w:cstheme="majorBidi"/>
          <w:b/>
          <w:iCs/>
          <w:color w:val="00B0F0"/>
          <w:spacing w:val="-2"/>
          <w:sz w:val="24"/>
          <w:szCs w:val="24"/>
          <w:lang w:eastAsia="ja-JP"/>
        </w:rPr>
        <w:t xml:space="preserve"> </w:t>
      </w:r>
      <w:r w:rsidRPr="0023396B">
        <w:rPr>
          <w:rFonts w:asciiTheme="majorBidi" w:eastAsia="MS Mincho" w:hAnsiTheme="majorBidi" w:cstheme="majorBidi"/>
          <w:b/>
          <w:snapToGrid w:val="0"/>
          <w:color w:val="00B0F0"/>
          <w:sz w:val="24"/>
          <w:szCs w:val="24"/>
          <w:lang w:eastAsia="ja-JP"/>
        </w:rPr>
        <w:t>to the preceding series of amendments to the UN Regulation, for the vehicles / vehicle systems / vehicle components which are not affected by the changes introduced by the 03 series of amendments.</w:t>
      </w:r>
      <w:r w:rsidR="00F02857" w:rsidRPr="00EC7C3D">
        <w:rPr>
          <w:color w:val="212121"/>
          <w:lang w:val="en-GB"/>
        </w:rPr>
        <w:t>"</w:t>
      </w:r>
    </w:p>
    <w:p w:rsidR="00C6022F" w:rsidRPr="00C6022F" w:rsidRDefault="0023396B" w:rsidP="00C94A6E">
      <w:pPr>
        <w:spacing w:before="120" w:after="120" w:line="240" w:lineRule="auto"/>
        <w:ind w:left="1701" w:right="425" w:hanging="992"/>
        <w:jc w:val="both"/>
        <w:rPr>
          <w:i/>
          <w:color w:val="212121"/>
          <w:lang w:val="en-GB"/>
        </w:rPr>
      </w:pPr>
      <w:r>
        <w:rPr>
          <w:rFonts w:ascii="Times New Roman" w:hAnsi="Times New Roman" w:cs="Times New Roman"/>
          <w:b/>
          <w:i/>
          <w:sz w:val="24"/>
          <w:szCs w:val="24"/>
          <w:lang w:val="en-GB"/>
        </w:rPr>
        <w:t>S</w:t>
      </w:r>
      <w:r w:rsidRPr="00C6022F">
        <w:rPr>
          <w:rFonts w:ascii="Times New Roman" w:hAnsi="Times New Roman" w:cs="Times New Roman"/>
          <w:b/>
          <w:i/>
          <w:sz w:val="24"/>
          <w:szCs w:val="24"/>
          <w:lang w:val="en-GB"/>
        </w:rPr>
        <w:t>ecretariat</w:t>
      </w:r>
      <w:r>
        <w:rPr>
          <w:rFonts w:ascii="Times New Roman" w:hAnsi="Times New Roman" w:cs="Times New Roman"/>
          <w:b/>
          <w:i/>
          <w:sz w:val="24"/>
          <w:szCs w:val="24"/>
          <w:lang w:val="en-GB"/>
        </w:rPr>
        <w:t xml:space="preserve"> to insert a</w:t>
      </w:r>
      <w:r w:rsidR="00C6022F" w:rsidRPr="00C6022F">
        <w:rPr>
          <w:rFonts w:ascii="Times New Roman" w:hAnsi="Times New Roman" w:cs="Times New Roman"/>
          <w:b/>
          <w:i/>
          <w:sz w:val="24"/>
          <w:szCs w:val="24"/>
          <w:lang w:val="en-GB"/>
        </w:rPr>
        <w:t>mendments to marking provisions</w:t>
      </w:r>
      <w:r>
        <w:rPr>
          <w:rFonts w:ascii="Times New Roman" w:hAnsi="Times New Roman" w:cs="Times New Roman"/>
          <w:b/>
          <w:i/>
          <w:sz w:val="24"/>
          <w:szCs w:val="24"/>
          <w:lang w:val="en-GB"/>
        </w:rPr>
        <w:t>.</w:t>
      </w:r>
    </w:p>
    <w:p w:rsidR="00AF16CB" w:rsidRPr="00EC7C3D" w:rsidRDefault="00AF16CB" w:rsidP="00AF16CB">
      <w:pPr>
        <w:spacing w:before="120" w:after="120" w:line="240" w:lineRule="auto"/>
        <w:ind w:left="1843" w:right="425" w:hanging="992"/>
        <w:jc w:val="both"/>
        <w:rPr>
          <w:rFonts w:ascii="Times New Roman" w:hAnsi="Times New Roman" w:cs="Times New Roman"/>
          <w:iCs/>
          <w:sz w:val="24"/>
          <w:szCs w:val="24"/>
          <w:lang w:val="en-GB"/>
        </w:rPr>
      </w:pPr>
    </w:p>
    <w:p w:rsidR="00C077D5" w:rsidRPr="00EC7C3D" w:rsidRDefault="00C077D5" w:rsidP="00C077D5">
      <w:pPr>
        <w:pStyle w:val="HChG"/>
        <w:numPr>
          <w:ilvl w:val="0"/>
          <w:numId w:val="1"/>
        </w:numPr>
        <w:tabs>
          <w:tab w:val="clear" w:pos="851"/>
          <w:tab w:val="right" w:pos="426"/>
        </w:tabs>
        <w:spacing w:before="0" w:after="0" w:line="240" w:lineRule="auto"/>
        <w:ind w:left="709" w:right="425" w:firstLine="0"/>
        <w:rPr>
          <w:sz w:val="30"/>
          <w:szCs w:val="30"/>
        </w:rPr>
      </w:pPr>
      <w:r w:rsidRPr="00EC7C3D">
        <w:rPr>
          <w:sz w:val="30"/>
          <w:szCs w:val="30"/>
        </w:rPr>
        <w:lastRenderedPageBreak/>
        <w:t>Justification</w:t>
      </w:r>
    </w:p>
    <w:p w:rsidR="00C077D5" w:rsidRPr="00EC7C3D" w:rsidRDefault="00C077D5" w:rsidP="00C94A6E">
      <w:pPr>
        <w:pStyle w:val="ListParagraph"/>
        <w:numPr>
          <w:ilvl w:val="0"/>
          <w:numId w:val="2"/>
        </w:numPr>
        <w:spacing w:before="120" w:after="120" w:line="240" w:lineRule="auto"/>
        <w:ind w:left="567" w:hanging="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In the current text of UN Regulation No. 67, there are no provisions on the location of the filling unit of the LPG container outside the vehicle. The filling unit located under the vehicle causes problems including:</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(a) Difficulties with filling the LPG container;</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(b) Risks involved on occupational health and safety of LPG container filling operators;</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(c) When filling the container, obliges operators to kneel down/lie down on the ground;</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(d) When the vehicle is in laden position, the filler pistol maybe unable to fit the space between ground and filling unit and prevents the filling of the container.</w:t>
      </w:r>
    </w:p>
    <w:p w:rsidR="00EC7C3D" w:rsidRPr="00EC7C3D" w:rsidRDefault="00EC7C3D">
      <w:pPr>
        <w:spacing w:after="160" w:line="259" w:lineRule="auto"/>
        <w:rPr>
          <w:rFonts w:ascii="Times New Roman" w:hAnsi="Times New Roman" w:cs="Times New Roman"/>
          <w:b/>
          <w:sz w:val="24"/>
          <w:szCs w:val="24"/>
          <w:lang w:val="en-GB"/>
        </w:rPr>
      </w:pPr>
      <w:r w:rsidRPr="00EC7C3D">
        <w:rPr>
          <w:rFonts w:ascii="Times New Roman" w:hAnsi="Times New Roman" w:cs="Times New Roman"/>
          <w:b/>
          <w:sz w:val="24"/>
          <w:szCs w:val="24"/>
          <w:lang w:val="en-GB"/>
        </w:rPr>
        <w:br w:type="page"/>
      </w:r>
    </w:p>
    <w:p w:rsidR="003A1FC1" w:rsidRPr="00EC7C3D" w:rsidRDefault="003A1FC1" w:rsidP="00C077D5">
      <w:pPr>
        <w:spacing w:before="120" w:after="120" w:line="240" w:lineRule="auto"/>
        <w:ind w:left="709" w:right="425"/>
        <w:jc w:val="center"/>
        <w:rPr>
          <w:rFonts w:ascii="Times New Roman" w:hAnsi="Times New Roman" w:cs="Times New Roman"/>
          <w:b/>
          <w:sz w:val="24"/>
          <w:szCs w:val="24"/>
          <w:lang w:val="en-GB"/>
        </w:rPr>
      </w:pPr>
    </w:p>
    <w:p w:rsidR="00C077D5" w:rsidRPr="00EC7C3D" w:rsidRDefault="00C077D5" w:rsidP="00C077D5">
      <w:pPr>
        <w:spacing w:before="120" w:after="120" w:line="240" w:lineRule="auto"/>
        <w:ind w:left="709" w:right="425"/>
        <w:jc w:val="center"/>
        <w:rPr>
          <w:rFonts w:ascii="Times New Roman" w:hAnsi="Times New Roman" w:cs="Times New Roman"/>
          <w:b/>
          <w:sz w:val="24"/>
          <w:szCs w:val="24"/>
          <w:lang w:val="en-GB"/>
        </w:rPr>
      </w:pPr>
      <w:r w:rsidRPr="00EC7C3D">
        <w:rPr>
          <w:rFonts w:ascii="Times New Roman" w:hAnsi="Times New Roman" w:cs="Times New Roman"/>
          <w:b/>
          <w:sz w:val="24"/>
          <w:szCs w:val="24"/>
          <w:lang w:val="en-GB"/>
        </w:rPr>
        <w:t>Problems during filling with various application under the vehicle:</w:t>
      </w:r>
    </w:p>
    <w:p w:rsidR="00C077D5" w:rsidRPr="00EC7C3D" w:rsidRDefault="00C077D5" w:rsidP="00C077D5">
      <w:pPr>
        <w:spacing w:before="120" w:after="120" w:line="240" w:lineRule="auto"/>
        <w:ind w:left="709" w:right="425"/>
        <w:jc w:val="center"/>
        <w:rPr>
          <w:rFonts w:ascii="Times New Roman" w:hAnsi="Times New Roman" w:cs="Times New Roman"/>
          <w:sz w:val="24"/>
          <w:szCs w:val="24"/>
          <w:u w:val="single"/>
          <w:lang w:val="en-GB"/>
        </w:rPr>
      </w:pPr>
      <w:r w:rsidRPr="00EC7C3D">
        <w:rPr>
          <w:rFonts w:ascii="Times New Roman" w:hAnsi="Times New Roman" w:cs="Times New Roman"/>
          <w:noProof/>
          <w:sz w:val="24"/>
          <w:szCs w:val="24"/>
          <w:lang w:val="en-US" w:eastAsia="zh-CN"/>
        </w:rPr>
        <w:drawing>
          <wp:inline distT="0" distB="0" distL="0" distR="0" wp14:anchorId="129D018C" wp14:editId="2C510CC3">
            <wp:extent cx="2495550" cy="142705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102" cy="1489124"/>
                    </a:xfrm>
                    <a:prstGeom prst="rect">
                      <a:avLst/>
                    </a:prstGeom>
                    <a:noFill/>
                    <a:ln>
                      <a:noFill/>
                    </a:ln>
                  </pic:spPr>
                </pic:pic>
              </a:graphicData>
            </a:graphic>
          </wp:inline>
        </w:drawing>
      </w:r>
      <w:r w:rsidRPr="00EC7C3D">
        <w:rPr>
          <w:rFonts w:ascii="Times New Roman" w:hAnsi="Times New Roman" w:cs="Times New Roman"/>
          <w:sz w:val="24"/>
          <w:szCs w:val="24"/>
          <w:lang w:val="en-GB"/>
        </w:rPr>
        <w:t xml:space="preserve">   </w:t>
      </w:r>
      <w:r w:rsidRPr="00EC7C3D">
        <w:rPr>
          <w:rFonts w:ascii="Times New Roman" w:hAnsi="Times New Roman" w:cs="Times New Roman"/>
          <w:i/>
          <w:iCs/>
          <w:noProof/>
          <w:sz w:val="24"/>
          <w:szCs w:val="24"/>
          <w:lang w:val="en-GB" w:eastAsia="tr-TR"/>
        </w:rPr>
        <w:t xml:space="preserve">   </w:t>
      </w:r>
      <w:r w:rsidRPr="00EC7C3D">
        <w:rPr>
          <w:rFonts w:ascii="Times New Roman" w:hAnsi="Times New Roman" w:cs="Times New Roman"/>
          <w:i/>
          <w:iCs/>
          <w:noProof/>
          <w:sz w:val="24"/>
          <w:szCs w:val="24"/>
          <w:lang w:val="en-US" w:eastAsia="zh-CN"/>
        </w:rPr>
        <w:drawing>
          <wp:inline distT="0" distB="0" distL="0" distR="0" wp14:anchorId="3C635175" wp14:editId="4938CD52">
            <wp:extent cx="1781175" cy="1458153"/>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239" cy="1536795"/>
                    </a:xfrm>
                    <a:prstGeom prst="rect">
                      <a:avLst/>
                    </a:prstGeom>
                    <a:noFill/>
                    <a:ln>
                      <a:noFill/>
                    </a:ln>
                  </pic:spPr>
                </pic:pic>
              </a:graphicData>
            </a:graphic>
          </wp:inline>
        </w:drawing>
      </w:r>
      <w:r w:rsidRPr="00EC7C3D">
        <w:rPr>
          <w:rFonts w:ascii="Times New Roman" w:hAnsi="Times New Roman" w:cs="Times New Roman"/>
          <w:i/>
          <w:iCs/>
          <w:noProof/>
          <w:sz w:val="24"/>
          <w:szCs w:val="24"/>
          <w:lang w:val="en-GB" w:eastAsia="tr-TR"/>
        </w:rPr>
        <w:t xml:space="preserve">    </w:t>
      </w:r>
    </w:p>
    <w:p w:rsidR="00B0073D" w:rsidRPr="00EC7C3D" w:rsidRDefault="00B0073D" w:rsidP="00C077D5">
      <w:pPr>
        <w:spacing w:before="120" w:after="120" w:line="240" w:lineRule="auto"/>
        <w:ind w:left="709" w:right="425"/>
        <w:jc w:val="center"/>
        <w:rPr>
          <w:rFonts w:ascii="Times New Roman" w:hAnsi="Times New Roman" w:cs="Times New Roman"/>
          <w:b/>
          <w:sz w:val="24"/>
          <w:szCs w:val="24"/>
          <w:lang w:val="en-GB"/>
        </w:rPr>
      </w:pPr>
    </w:p>
    <w:p w:rsidR="00C077D5" w:rsidRPr="00EC7C3D" w:rsidRDefault="00C077D5" w:rsidP="00C077D5">
      <w:pPr>
        <w:spacing w:before="120" w:after="120" w:line="240" w:lineRule="auto"/>
        <w:ind w:left="709" w:right="425"/>
        <w:jc w:val="center"/>
        <w:rPr>
          <w:rFonts w:ascii="Times New Roman" w:hAnsi="Times New Roman" w:cs="Times New Roman"/>
          <w:b/>
          <w:sz w:val="24"/>
          <w:szCs w:val="24"/>
          <w:lang w:val="en-GB"/>
        </w:rPr>
      </w:pPr>
      <w:r w:rsidRPr="00EC7C3D">
        <w:rPr>
          <w:rFonts w:ascii="Times New Roman" w:hAnsi="Times New Roman" w:cs="Times New Roman"/>
          <w:b/>
          <w:sz w:val="24"/>
          <w:szCs w:val="24"/>
          <w:lang w:val="en-GB"/>
        </w:rPr>
        <w:t>Alternative solutions:</w:t>
      </w:r>
    </w:p>
    <w:p w:rsidR="00C077D5" w:rsidRPr="00EC7C3D" w:rsidRDefault="00C077D5" w:rsidP="00C077D5">
      <w:pPr>
        <w:spacing w:before="120" w:after="120" w:line="240" w:lineRule="auto"/>
        <w:ind w:left="284" w:right="-426"/>
        <w:jc w:val="center"/>
        <w:rPr>
          <w:rFonts w:ascii="Times New Roman" w:hAnsi="Times New Roman" w:cs="Times New Roman"/>
          <w:sz w:val="24"/>
          <w:szCs w:val="24"/>
          <w:lang w:val="en-GB"/>
        </w:rPr>
      </w:pPr>
      <w:r w:rsidRPr="00EC7C3D">
        <w:rPr>
          <w:noProof/>
          <w:sz w:val="24"/>
          <w:szCs w:val="24"/>
          <w:lang w:val="en-US" w:eastAsia="zh-CN"/>
        </w:rPr>
        <w:drawing>
          <wp:inline distT="0" distB="0" distL="0" distR="0" wp14:anchorId="23299822" wp14:editId="0DBE25EC">
            <wp:extent cx="1643685" cy="12433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075" cy="1267831"/>
                    </a:xfrm>
                    <a:prstGeom prst="rect">
                      <a:avLst/>
                    </a:prstGeom>
                    <a:noFill/>
                    <a:ln>
                      <a:noFill/>
                    </a:ln>
                  </pic:spPr>
                </pic:pic>
              </a:graphicData>
            </a:graphic>
          </wp:inline>
        </w:drawing>
      </w:r>
      <w:r w:rsidRPr="00EC7C3D">
        <w:rPr>
          <w:noProof/>
          <w:sz w:val="24"/>
          <w:szCs w:val="24"/>
          <w:lang w:val="en-GB" w:eastAsia="tr-TR"/>
        </w:rPr>
        <w:t xml:space="preserve">  </w:t>
      </w:r>
      <w:r w:rsidRPr="00EC7C3D">
        <w:rPr>
          <w:noProof/>
          <w:sz w:val="24"/>
          <w:szCs w:val="24"/>
          <w:lang w:val="en-US" w:eastAsia="zh-CN"/>
        </w:rPr>
        <w:drawing>
          <wp:inline distT="0" distB="0" distL="0" distR="0" wp14:anchorId="52C192D8" wp14:editId="672B4694">
            <wp:extent cx="1981200" cy="12631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785" cy="1280120"/>
                    </a:xfrm>
                    <a:prstGeom prst="rect">
                      <a:avLst/>
                    </a:prstGeom>
                    <a:noFill/>
                    <a:ln>
                      <a:noFill/>
                    </a:ln>
                  </pic:spPr>
                </pic:pic>
              </a:graphicData>
            </a:graphic>
          </wp:inline>
        </w:drawing>
      </w:r>
      <w:r w:rsidRPr="00EC7C3D">
        <w:rPr>
          <w:noProof/>
          <w:sz w:val="24"/>
          <w:szCs w:val="24"/>
          <w:lang w:val="en-GB" w:eastAsia="tr-TR"/>
        </w:rPr>
        <w:t xml:space="preserve">    </w:t>
      </w:r>
      <w:r w:rsidRPr="00EC7C3D">
        <w:rPr>
          <w:noProof/>
          <w:sz w:val="24"/>
          <w:szCs w:val="24"/>
          <w:lang w:val="en-US" w:eastAsia="zh-CN"/>
        </w:rPr>
        <w:drawing>
          <wp:inline distT="0" distB="0" distL="0" distR="0" wp14:anchorId="023F7B01" wp14:editId="585E83AB">
            <wp:extent cx="1409700" cy="128195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2759" cy="1312022"/>
                    </a:xfrm>
                    <a:prstGeom prst="rect">
                      <a:avLst/>
                    </a:prstGeom>
                    <a:noFill/>
                    <a:ln>
                      <a:noFill/>
                    </a:ln>
                  </pic:spPr>
                </pic:pic>
              </a:graphicData>
            </a:graphic>
          </wp:inline>
        </w:drawing>
      </w:r>
    </w:p>
    <w:p w:rsidR="00C077D5" w:rsidRPr="00EC7C3D" w:rsidRDefault="00C077D5" w:rsidP="00C077D5">
      <w:pPr>
        <w:spacing w:before="120" w:after="120" w:line="240" w:lineRule="auto"/>
        <w:ind w:left="709" w:right="425"/>
        <w:jc w:val="both"/>
        <w:rPr>
          <w:rFonts w:ascii="Times New Roman" w:hAnsi="Times New Roman" w:cs="Times New Roman"/>
          <w:b/>
          <w:sz w:val="24"/>
          <w:szCs w:val="24"/>
          <w:lang w:val="en-GB"/>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2"/>
        <w:gridCol w:w="1728"/>
        <w:gridCol w:w="2977"/>
      </w:tblGrid>
      <w:tr w:rsidR="00AF16CB" w:rsidRPr="00EC7C3D" w:rsidTr="004C0396">
        <w:trPr>
          <w:trHeight w:val="408"/>
          <w:jc w:val="center"/>
        </w:trPr>
        <w:tc>
          <w:tcPr>
            <w:tcW w:w="5807" w:type="dxa"/>
            <w:gridSpan w:val="3"/>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Number of road motor vehicles by kind of fuel used in Turkey</w:t>
            </w:r>
          </w:p>
        </w:tc>
      </w:tr>
      <w:tr w:rsidR="00AF16CB" w:rsidRPr="00EC7C3D" w:rsidTr="004C0396">
        <w:trPr>
          <w:trHeight w:val="244"/>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Year</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Total</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LPG</w:t>
            </w:r>
          </w:p>
        </w:tc>
      </w:tr>
      <w:tr w:rsidR="00AF16CB" w:rsidRPr="00EC7C3D" w:rsidTr="004C0396">
        <w:trPr>
          <w:trHeight w:val="275"/>
          <w:jc w:val="center"/>
        </w:trPr>
        <w:tc>
          <w:tcPr>
            <w:tcW w:w="1102" w:type="dxa"/>
            <w:shd w:val="clear" w:color="auto" w:fill="auto"/>
            <w:noWrap/>
            <w:vAlign w:val="center"/>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2013</w:t>
            </w:r>
          </w:p>
        </w:tc>
        <w:tc>
          <w:tcPr>
            <w:tcW w:w="1728" w:type="dxa"/>
            <w:shd w:val="clear" w:color="auto" w:fill="auto"/>
            <w:noWrap/>
            <w:vAlign w:val="center"/>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17 939 447</w:t>
            </w:r>
          </w:p>
        </w:tc>
        <w:tc>
          <w:tcPr>
            <w:tcW w:w="2977" w:type="dxa"/>
            <w:shd w:val="clear" w:color="auto" w:fill="auto"/>
            <w:noWrap/>
            <w:vAlign w:val="center"/>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3 934 753</w:t>
            </w:r>
          </w:p>
        </w:tc>
      </w:tr>
      <w:tr w:rsidR="00AF16CB" w:rsidRPr="00EC7C3D" w:rsidTr="004C0396">
        <w:trPr>
          <w:trHeight w:val="266"/>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2014</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18 828 721</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4 161 003</w:t>
            </w:r>
          </w:p>
        </w:tc>
      </w:tr>
      <w:tr w:rsidR="00AF16CB" w:rsidRPr="00EC7C3D" w:rsidTr="004C0396">
        <w:trPr>
          <w:trHeight w:val="269"/>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2015</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19 994 472</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4 358 751</w:t>
            </w:r>
          </w:p>
        </w:tc>
      </w:tr>
      <w:tr w:rsidR="00AF16CB" w:rsidRPr="00EC7C3D" w:rsidTr="004C0396">
        <w:trPr>
          <w:trHeight w:val="273"/>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2016</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21 090 424</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4 527 674</w:t>
            </w:r>
          </w:p>
        </w:tc>
      </w:tr>
      <w:tr w:rsidR="00AF16CB" w:rsidRPr="00EC7C3D" w:rsidTr="004C0396">
        <w:trPr>
          <w:trHeight w:val="277"/>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2017</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22 218 945</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4 705 599</w:t>
            </w:r>
          </w:p>
        </w:tc>
      </w:tr>
      <w:tr w:rsidR="00AF16CB" w:rsidRPr="00EC7C3D" w:rsidTr="004C0396">
        <w:trPr>
          <w:trHeight w:val="300"/>
          <w:jc w:val="center"/>
        </w:trPr>
        <w:tc>
          <w:tcPr>
            <w:tcW w:w="5807" w:type="dxa"/>
            <w:gridSpan w:val="3"/>
            <w:shd w:val="clear" w:color="auto" w:fill="auto"/>
            <w:noWrap/>
            <w:vAlign w:val="center"/>
            <w:hideMark/>
          </w:tcPr>
          <w:p w:rsidR="00AF16CB" w:rsidRPr="00EC7C3D" w:rsidRDefault="00AF16CB" w:rsidP="004C0396">
            <w:pPr>
              <w:spacing w:after="0" w:line="240" w:lineRule="auto"/>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 xml:space="preserve">Source: </w:t>
            </w:r>
            <w:proofErr w:type="spellStart"/>
            <w:r w:rsidRPr="00EC7C3D">
              <w:rPr>
                <w:rFonts w:ascii="Times New Roman" w:eastAsia="Times New Roman" w:hAnsi="Times New Roman" w:cs="Times New Roman"/>
                <w:lang w:val="en-GB" w:eastAsia="tr-TR"/>
              </w:rPr>
              <w:t>TurkStat</w:t>
            </w:r>
            <w:proofErr w:type="spellEnd"/>
            <w:r w:rsidRPr="00EC7C3D">
              <w:rPr>
                <w:rFonts w:ascii="Times New Roman" w:eastAsia="Times New Roman" w:hAnsi="Times New Roman" w:cs="Times New Roman"/>
                <w:lang w:val="en-GB" w:eastAsia="tr-TR"/>
              </w:rPr>
              <w:t>, Road Motor Vehicle Statistics</w:t>
            </w:r>
          </w:p>
        </w:tc>
      </w:tr>
    </w:tbl>
    <w:p w:rsidR="00AF16CB" w:rsidRPr="00EC7C3D" w:rsidRDefault="00AF16CB" w:rsidP="00C077D5">
      <w:pPr>
        <w:spacing w:before="120" w:after="120" w:line="240" w:lineRule="auto"/>
        <w:ind w:left="709" w:right="425"/>
        <w:jc w:val="both"/>
        <w:rPr>
          <w:rFonts w:ascii="Times New Roman" w:hAnsi="Times New Roman" w:cs="Times New Roman"/>
          <w:b/>
          <w:sz w:val="24"/>
          <w:szCs w:val="24"/>
          <w:lang w:val="en-GB"/>
        </w:rPr>
      </w:pPr>
    </w:p>
    <w:p w:rsidR="00C077D5" w:rsidRPr="00EC7C3D" w:rsidRDefault="00C077D5" w:rsidP="00BA4F82">
      <w:pPr>
        <w:pStyle w:val="ListParagraph"/>
        <w:numPr>
          <w:ilvl w:val="0"/>
          <w:numId w:val="2"/>
        </w:numPr>
        <w:spacing w:before="120" w:after="120" w:line="240" w:lineRule="auto"/>
        <w:jc w:val="both"/>
        <w:rPr>
          <w:rFonts w:ascii="Times New Roman" w:hAnsi="Times New Roman" w:cs="Times New Roman"/>
          <w:i/>
          <w:sz w:val="24"/>
          <w:szCs w:val="24"/>
          <w:lang w:val="en-GB"/>
        </w:rPr>
      </w:pPr>
      <w:r w:rsidRPr="00EC7C3D">
        <w:rPr>
          <w:rFonts w:ascii="Times New Roman" w:hAnsi="Times New Roman" w:cs="Times New Roman"/>
          <w:sz w:val="24"/>
          <w:szCs w:val="24"/>
          <w:lang w:val="en-GB"/>
        </w:rPr>
        <w:t>Paragraph 30 of ECE/TRANS/WP.29/GRSG/92 (Report of 113</w:t>
      </w:r>
      <w:r w:rsidRPr="00EC7C3D">
        <w:rPr>
          <w:rFonts w:ascii="Times New Roman" w:hAnsi="Times New Roman" w:cs="Times New Roman"/>
          <w:sz w:val="24"/>
          <w:szCs w:val="24"/>
          <w:vertAlign w:val="superscript"/>
          <w:lang w:val="en-GB"/>
        </w:rPr>
        <w:t>th</w:t>
      </w:r>
      <w:r w:rsidRPr="00EC7C3D">
        <w:rPr>
          <w:rFonts w:ascii="Times New Roman" w:hAnsi="Times New Roman" w:cs="Times New Roman"/>
          <w:sz w:val="24"/>
          <w:szCs w:val="24"/>
          <w:lang w:val="en-GB"/>
        </w:rPr>
        <w:t xml:space="preserve"> GRSG)</w:t>
      </w:r>
      <w:r w:rsidR="00BA4F82" w:rsidRPr="00EC7C3D">
        <w:rPr>
          <w:rFonts w:ascii="Times New Roman" w:hAnsi="Times New Roman" w:cs="Times New Roman"/>
          <w:sz w:val="24"/>
          <w:szCs w:val="24"/>
          <w:lang w:val="en-GB"/>
        </w:rPr>
        <w:t>, related to new provisions for the location on the vehicle of the filling unit:</w:t>
      </w:r>
      <w:r w:rsidRPr="00EC7C3D">
        <w:rPr>
          <w:rFonts w:ascii="Times New Roman" w:hAnsi="Times New Roman" w:cs="Times New Roman"/>
          <w:sz w:val="24"/>
          <w:szCs w:val="24"/>
          <w:lang w:val="en-GB"/>
        </w:rPr>
        <w:t xml:space="preserve"> </w:t>
      </w:r>
      <w:r w:rsidRPr="00EC7C3D">
        <w:rPr>
          <w:rFonts w:ascii="Times New Roman" w:hAnsi="Times New Roman" w:cs="Times New Roman"/>
          <w:i/>
          <w:sz w:val="24"/>
          <w:szCs w:val="24"/>
          <w:lang w:val="en-GB"/>
        </w:rPr>
        <w:t xml:space="preserve">“The expert from Turkey introduced </w:t>
      </w:r>
      <w:r w:rsidRPr="00EC7C3D">
        <w:rPr>
          <w:rFonts w:ascii="Times New Roman" w:hAnsi="Times New Roman" w:cs="Times New Roman"/>
          <w:b/>
          <w:i/>
          <w:sz w:val="24"/>
          <w:szCs w:val="24"/>
          <w:lang w:val="en-GB"/>
        </w:rPr>
        <w:t>ECE/TRANS/WP.29/GRSG/2017/22</w:t>
      </w:r>
      <w:r w:rsidRPr="00EC7C3D">
        <w:rPr>
          <w:rFonts w:ascii="Times New Roman" w:hAnsi="Times New Roman" w:cs="Times New Roman"/>
          <w:i/>
          <w:sz w:val="24"/>
          <w:szCs w:val="24"/>
          <w:lang w:val="en-GB"/>
        </w:rPr>
        <w:t xml:space="preserve"> proposing to insert new provisions on the location on the vehicle of the filling unit and a limitation of the service life of LPG containers. The expert from OICA introduced a counter proposal for transitional provisions (</w:t>
      </w:r>
      <w:r w:rsidRPr="00EC7C3D">
        <w:rPr>
          <w:rFonts w:ascii="Times New Roman" w:hAnsi="Times New Roman" w:cs="Times New Roman"/>
          <w:b/>
          <w:i/>
          <w:sz w:val="24"/>
          <w:szCs w:val="24"/>
          <w:lang w:val="en-GB"/>
        </w:rPr>
        <w:t>GRSG-113-19</w:t>
      </w:r>
      <w:r w:rsidRPr="00EC7C3D">
        <w:rPr>
          <w:rFonts w:ascii="Times New Roman" w:hAnsi="Times New Roman" w:cs="Times New Roman"/>
          <w:i/>
          <w:sz w:val="24"/>
          <w:szCs w:val="24"/>
          <w:lang w:val="en-GB"/>
        </w:rPr>
        <w:t>)</w:t>
      </w:r>
      <w:r w:rsidR="00B0073D" w:rsidRPr="00EC7C3D">
        <w:rPr>
          <w:rFonts w:ascii="Times New Roman" w:hAnsi="Times New Roman" w:cs="Times New Roman"/>
          <w:i/>
          <w:sz w:val="24"/>
          <w:szCs w:val="24"/>
          <w:lang w:val="en-GB"/>
        </w:rPr>
        <w:t>.</w:t>
      </w:r>
      <w:r w:rsidR="00B0073D" w:rsidRPr="00EC7C3D">
        <w:rPr>
          <w:color w:val="212121"/>
          <w:lang w:val="en-GB"/>
        </w:rPr>
        <w:t>"</w:t>
      </w:r>
      <w:r w:rsidRPr="00EC7C3D">
        <w:rPr>
          <w:rFonts w:ascii="Times New Roman" w:hAnsi="Times New Roman" w:cs="Times New Roman"/>
          <w:i/>
          <w:sz w:val="24"/>
          <w:szCs w:val="24"/>
          <w:lang w:val="en-GB"/>
        </w:rPr>
        <w:t xml:space="preserve"> </w:t>
      </w:r>
    </w:p>
    <w:p w:rsidR="00C077D5" w:rsidRPr="00EC7C3D" w:rsidRDefault="00C077D5" w:rsidP="00C94A6E">
      <w:pPr>
        <w:pStyle w:val="ListParagraph"/>
        <w:spacing w:before="120" w:after="120" w:line="240" w:lineRule="auto"/>
        <w:ind w:left="709"/>
        <w:jc w:val="both"/>
        <w:rPr>
          <w:rFonts w:ascii="Times New Roman" w:hAnsi="Times New Roman" w:cs="Times New Roman"/>
          <w:i/>
          <w:sz w:val="24"/>
          <w:szCs w:val="24"/>
          <w:lang w:val="en-GB"/>
        </w:rPr>
      </w:pPr>
    </w:p>
    <w:p w:rsidR="00C077D5" w:rsidRPr="00EC7C3D" w:rsidRDefault="00C077D5" w:rsidP="00C94A6E">
      <w:pPr>
        <w:pStyle w:val="ListParagraph"/>
        <w:spacing w:before="120" w:after="120" w:line="240" w:lineRule="auto"/>
        <w:ind w:left="709"/>
        <w:jc w:val="both"/>
        <w:rPr>
          <w:rFonts w:ascii="Times New Roman" w:hAnsi="Times New Roman" w:cs="Times New Roman"/>
          <w:i/>
          <w:sz w:val="24"/>
          <w:szCs w:val="24"/>
          <w:lang w:val="en-GB"/>
        </w:rPr>
      </w:pPr>
      <w:r w:rsidRPr="00EC7C3D">
        <w:rPr>
          <w:rFonts w:ascii="Times New Roman" w:hAnsi="Times New Roman" w:cs="Times New Roman"/>
          <w:sz w:val="24"/>
          <w:szCs w:val="24"/>
          <w:lang w:val="en-GB"/>
        </w:rPr>
        <w:t>However, paragraph 9(a) of ECE/TRANS/WP.29/GRSG/2019/1/Add.1 (Agenda of 116</w:t>
      </w:r>
      <w:r w:rsidRPr="00EC7C3D">
        <w:rPr>
          <w:rFonts w:ascii="Times New Roman" w:hAnsi="Times New Roman" w:cs="Times New Roman"/>
          <w:sz w:val="24"/>
          <w:szCs w:val="24"/>
          <w:vertAlign w:val="superscript"/>
          <w:lang w:val="en-GB"/>
        </w:rPr>
        <w:t>th</w:t>
      </w:r>
      <w:r w:rsidRPr="00EC7C3D">
        <w:rPr>
          <w:rFonts w:ascii="Times New Roman" w:hAnsi="Times New Roman" w:cs="Times New Roman"/>
          <w:sz w:val="24"/>
          <w:szCs w:val="24"/>
          <w:lang w:val="en-GB"/>
        </w:rPr>
        <w:t xml:space="preserve"> GRSG); “</w:t>
      </w:r>
      <w:r w:rsidRPr="00EC7C3D">
        <w:rPr>
          <w:rFonts w:ascii="Times New Roman" w:hAnsi="Times New Roman" w:cs="Times New Roman"/>
          <w:i/>
          <w:sz w:val="24"/>
          <w:szCs w:val="24"/>
          <w:lang w:val="en-GB"/>
        </w:rPr>
        <w:t>GRSG agreed to further consider a proposal by Turkey on new provisions for the location on the vehicle of the filling unit and a limitation of the service life of LPG containers (</w:t>
      </w:r>
      <w:r w:rsidRPr="00EC7C3D">
        <w:rPr>
          <w:rFonts w:ascii="Times New Roman" w:hAnsi="Times New Roman" w:cs="Times New Roman"/>
          <w:b/>
          <w:i/>
          <w:sz w:val="24"/>
          <w:szCs w:val="24"/>
          <w:lang w:val="en-GB"/>
        </w:rPr>
        <w:t>ECE/TRANS/WP.29/GRSG/2017/22</w:t>
      </w:r>
      <w:r w:rsidRPr="00EC7C3D">
        <w:rPr>
          <w:rFonts w:ascii="Times New Roman" w:hAnsi="Times New Roman" w:cs="Times New Roman"/>
          <w:i/>
          <w:sz w:val="24"/>
          <w:szCs w:val="24"/>
          <w:lang w:val="en-GB"/>
        </w:rPr>
        <w:t>).</w:t>
      </w:r>
      <w:r w:rsidRPr="00EC7C3D">
        <w:rPr>
          <w:rFonts w:ascii="Times New Roman" w:hAnsi="Times New Roman" w:cs="Times New Roman"/>
          <w:sz w:val="24"/>
          <w:szCs w:val="24"/>
          <w:lang w:val="en-GB"/>
        </w:rPr>
        <w:t>”</w:t>
      </w:r>
    </w:p>
    <w:p w:rsidR="00C077D5" w:rsidRPr="00EC7C3D" w:rsidRDefault="00C077D5" w:rsidP="00C94A6E">
      <w:pPr>
        <w:spacing w:before="120" w:after="120" w:line="240" w:lineRule="auto"/>
        <w:ind w:left="709"/>
        <w:jc w:val="both"/>
        <w:rPr>
          <w:rFonts w:ascii="Times New Roman" w:hAnsi="Times New Roman" w:cs="Times New Roman"/>
          <w:b/>
          <w:sz w:val="14"/>
          <w:szCs w:val="24"/>
          <w:lang w:val="en-GB"/>
        </w:rPr>
      </w:pPr>
    </w:p>
    <w:p w:rsidR="00C077D5" w:rsidRPr="00EC7C3D" w:rsidRDefault="00C077D5" w:rsidP="00BA4F82">
      <w:pPr>
        <w:pStyle w:val="ListParagraph"/>
        <w:numPr>
          <w:ilvl w:val="0"/>
          <w:numId w:val="2"/>
        </w:numPr>
        <w:spacing w:before="120" w:after="120" w:line="240" w:lineRule="auto"/>
        <w:jc w:val="both"/>
        <w:rPr>
          <w:rFonts w:ascii="Times New Roman" w:hAnsi="Times New Roman" w:cs="Times New Roman"/>
          <w:sz w:val="24"/>
          <w:szCs w:val="24"/>
          <w:lang w:val="en-GB"/>
        </w:rPr>
      </w:pPr>
      <w:r w:rsidRPr="00EC7C3D">
        <w:rPr>
          <w:rFonts w:ascii="Times New Roman" w:hAnsi="Times New Roman" w:cs="Times New Roman"/>
          <w:sz w:val="24"/>
          <w:lang w:val="en-GB"/>
        </w:rPr>
        <w:t>Following the discussions, we prepare</w:t>
      </w:r>
      <w:r w:rsidR="009D6659" w:rsidRPr="00EC7C3D">
        <w:rPr>
          <w:rFonts w:ascii="Times New Roman" w:hAnsi="Times New Roman" w:cs="Times New Roman"/>
          <w:sz w:val="24"/>
          <w:lang w:val="en-GB"/>
        </w:rPr>
        <w:t>d</w:t>
      </w:r>
      <w:r w:rsidRPr="00EC7C3D">
        <w:rPr>
          <w:rFonts w:ascii="Times New Roman" w:hAnsi="Times New Roman" w:cs="Times New Roman"/>
          <w:sz w:val="24"/>
          <w:lang w:val="en-GB"/>
        </w:rPr>
        <w:t xml:space="preserve"> a revised </w:t>
      </w:r>
      <w:r w:rsidR="00C8222A" w:rsidRPr="00EC7C3D">
        <w:rPr>
          <w:rFonts w:ascii="Times New Roman" w:hAnsi="Times New Roman" w:cs="Times New Roman"/>
          <w:sz w:val="24"/>
          <w:lang w:val="en-GB"/>
        </w:rPr>
        <w:t>document</w:t>
      </w:r>
      <w:r w:rsidRPr="00EC7C3D">
        <w:rPr>
          <w:rFonts w:ascii="Times New Roman" w:hAnsi="Times New Roman" w:cs="Times New Roman"/>
          <w:sz w:val="24"/>
          <w:lang w:val="en-GB"/>
        </w:rPr>
        <w:t xml:space="preserve"> </w:t>
      </w:r>
      <w:r w:rsidR="00BA4F82" w:rsidRPr="00EC7C3D">
        <w:rPr>
          <w:rFonts w:ascii="Times New Roman" w:hAnsi="Times New Roman" w:cs="Times New Roman"/>
          <w:sz w:val="24"/>
          <w:lang w:val="en-GB"/>
        </w:rPr>
        <w:t xml:space="preserve">which related to new provisions for the location on the vehicle of the filling unit, </w:t>
      </w:r>
      <w:r w:rsidRPr="00EC7C3D">
        <w:rPr>
          <w:rFonts w:ascii="Times New Roman" w:hAnsi="Times New Roman" w:cs="Times New Roman"/>
          <w:sz w:val="24"/>
          <w:lang w:val="en-GB"/>
        </w:rPr>
        <w:t xml:space="preserve">taking into account the comments received. </w:t>
      </w:r>
    </w:p>
    <w:p w:rsidR="00BA4F82" w:rsidRPr="00EC7C3D" w:rsidRDefault="00BA4F82" w:rsidP="00C077D5">
      <w:pPr>
        <w:pStyle w:val="Default"/>
        <w:ind w:left="709" w:right="425"/>
        <w:rPr>
          <w:rFonts w:ascii="Times New Roman" w:hAnsi="Times New Roman" w:cs="Times New Roman"/>
          <w:b/>
          <w:bCs/>
          <w:color w:val="auto"/>
          <w:sz w:val="20"/>
          <w:szCs w:val="20"/>
          <w:lang w:val="en-GB"/>
        </w:rPr>
      </w:pPr>
    </w:p>
    <w:p w:rsidR="00C077D5" w:rsidRPr="00EC7C3D" w:rsidRDefault="00C077D5" w:rsidP="00C077D5">
      <w:pPr>
        <w:pStyle w:val="Default"/>
        <w:ind w:left="709" w:right="425"/>
        <w:rPr>
          <w:rFonts w:ascii="Times New Roman" w:hAnsi="Times New Roman" w:cs="Times New Roman"/>
          <w:b/>
          <w:bCs/>
          <w:color w:val="auto"/>
          <w:sz w:val="22"/>
          <w:szCs w:val="22"/>
          <w:lang w:val="en-GB"/>
        </w:rPr>
      </w:pPr>
      <w:r w:rsidRPr="00EC7C3D">
        <w:rPr>
          <w:rFonts w:ascii="Times New Roman" w:hAnsi="Times New Roman" w:cs="Times New Roman"/>
          <w:b/>
          <w:bCs/>
          <w:color w:val="auto"/>
          <w:sz w:val="22"/>
          <w:szCs w:val="22"/>
          <w:lang w:val="en-GB"/>
        </w:rPr>
        <w:t xml:space="preserve">Contact: </w:t>
      </w:r>
    </w:p>
    <w:p w:rsidR="00C077D5" w:rsidRPr="00EC7C3D" w:rsidRDefault="00C077D5" w:rsidP="00C077D5">
      <w:pPr>
        <w:pStyle w:val="Default"/>
        <w:ind w:left="709" w:right="425"/>
        <w:rPr>
          <w:rFonts w:ascii="Times New Roman" w:hAnsi="Times New Roman" w:cs="Times New Roman"/>
          <w:color w:val="auto"/>
          <w:sz w:val="22"/>
          <w:szCs w:val="22"/>
          <w:lang w:val="en-GB"/>
        </w:rPr>
      </w:pPr>
      <w:r w:rsidRPr="00EC7C3D">
        <w:rPr>
          <w:rFonts w:ascii="Times New Roman" w:hAnsi="Times New Roman" w:cs="Times New Roman"/>
          <w:color w:val="auto"/>
          <w:sz w:val="22"/>
          <w:szCs w:val="22"/>
          <w:lang w:val="en-GB"/>
        </w:rPr>
        <w:t>Fatih ÖZÇINAR (</w:t>
      </w:r>
      <w:hyperlink r:id="rId12" w:history="1">
        <w:r w:rsidRPr="00EC7C3D">
          <w:rPr>
            <w:rStyle w:val="Hyperlink"/>
            <w:rFonts w:ascii="Times New Roman" w:hAnsi="Times New Roman" w:cs="Times New Roman"/>
            <w:sz w:val="22"/>
            <w:szCs w:val="22"/>
            <w:lang w:val="en-GB"/>
          </w:rPr>
          <w:t>fatih.ozcinar@sanayi.gov.tr</w:t>
        </w:r>
      </w:hyperlink>
      <w:r w:rsidRPr="00EC7C3D">
        <w:rPr>
          <w:rFonts w:ascii="Times New Roman" w:hAnsi="Times New Roman" w:cs="Times New Roman"/>
          <w:color w:val="auto"/>
          <w:sz w:val="22"/>
          <w:szCs w:val="22"/>
          <w:lang w:val="en-GB"/>
        </w:rPr>
        <w:t>)</w:t>
      </w:r>
    </w:p>
    <w:p w:rsidR="00EC7C3D" w:rsidRPr="00EC7C3D" w:rsidRDefault="00C077D5" w:rsidP="00EC7C3D">
      <w:pPr>
        <w:pStyle w:val="Default"/>
        <w:ind w:left="709" w:right="425"/>
        <w:rPr>
          <w:rFonts w:ascii="Times New Roman" w:hAnsi="Times New Roman" w:cs="Times New Roman"/>
          <w:color w:val="auto"/>
          <w:sz w:val="22"/>
          <w:szCs w:val="22"/>
          <w:lang w:val="en-GB"/>
        </w:rPr>
      </w:pPr>
      <w:r w:rsidRPr="00EC7C3D">
        <w:rPr>
          <w:rFonts w:ascii="Times New Roman" w:hAnsi="Times New Roman" w:cs="Times New Roman"/>
          <w:color w:val="auto"/>
          <w:sz w:val="22"/>
          <w:szCs w:val="22"/>
          <w:lang w:val="en-GB"/>
        </w:rPr>
        <w:t>Ministry of Industry and Technology / TURKEY</w:t>
      </w:r>
    </w:p>
    <w:p w:rsidR="008D1007" w:rsidRPr="00C94A6E" w:rsidRDefault="00EC7C3D" w:rsidP="00EC7C3D">
      <w:pPr>
        <w:pStyle w:val="Default"/>
        <w:ind w:left="709" w:right="42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w:t>
      </w:r>
    </w:p>
    <w:sectPr w:rsidR="008D1007" w:rsidRPr="00C94A6E" w:rsidSect="00C94A6E">
      <w:headerReference w:type="first" r:id="rId13"/>
      <w:pgSz w:w="11906" w:h="16838"/>
      <w:pgMar w:top="851" w:right="1133" w:bottom="709" w:left="1134" w:header="11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A4" w:rsidRDefault="004551A4">
      <w:pPr>
        <w:spacing w:after="0" w:line="240" w:lineRule="auto"/>
      </w:pPr>
      <w:r>
        <w:separator/>
      </w:r>
    </w:p>
  </w:endnote>
  <w:endnote w:type="continuationSeparator" w:id="0">
    <w:p w:rsidR="004551A4" w:rsidRDefault="0045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A4" w:rsidRDefault="004551A4">
      <w:pPr>
        <w:spacing w:after="0" w:line="240" w:lineRule="auto"/>
      </w:pPr>
      <w:r>
        <w:separator/>
      </w:r>
    </w:p>
  </w:footnote>
  <w:footnote w:type="continuationSeparator" w:id="0">
    <w:p w:rsidR="004551A4" w:rsidRDefault="0045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4A0" w:firstRow="1" w:lastRow="0" w:firstColumn="1" w:lastColumn="0" w:noHBand="0" w:noVBand="1"/>
    </w:tblPr>
    <w:tblGrid>
      <w:gridCol w:w="4962"/>
      <w:gridCol w:w="4961"/>
    </w:tblGrid>
    <w:tr w:rsidR="00EC7C3D" w:rsidRPr="00EC7C3D" w:rsidTr="00731802">
      <w:tc>
        <w:tcPr>
          <w:tcW w:w="4962" w:type="dxa"/>
          <w:hideMark/>
        </w:tcPr>
        <w:p w:rsidR="00EC7C3D" w:rsidRPr="00EC7C3D" w:rsidRDefault="00EC7C3D" w:rsidP="00EC7C3D">
          <w:pPr>
            <w:tabs>
              <w:tab w:val="center" w:pos="4320"/>
              <w:tab w:val="right" w:pos="8640"/>
            </w:tabs>
            <w:spacing w:line="240" w:lineRule="auto"/>
            <w:rPr>
              <w:rFonts w:asciiTheme="majorBidi" w:eastAsia="Times New Roman" w:hAnsiTheme="majorBidi" w:cstheme="majorBidi"/>
            </w:rPr>
          </w:pPr>
          <w:r w:rsidRPr="00EC7C3D">
            <w:rPr>
              <w:rFonts w:asciiTheme="majorBidi" w:eastAsia="Times New Roman" w:hAnsiTheme="majorBidi" w:cstheme="majorBidi"/>
            </w:rPr>
            <w:t>Submitted by the expert from Turkey</w:t>
          </w:r>
        </w:p>
      </w:tc>
      <w:tc>
        <w:tcPr>
          <w:tcW w:w="4961" w:type="dxa"/>
          <w:hideMark/>
        </w:tcPr>
        <w:p w:rsidR="00EC7C3D" w:rsidRPr="00EC7C3D" w:rsidRDefault="00EC7C3D" w:rsidP="006C091D">
          <w:pPr>
            <w:spacing w:after="0" w:line="240" w:lineRule="auto"/>
            <w:ind w:left="350"/>
            <w:jc w:val="right"/>
            <w:rPr>
              <w:rFonts w:asciiTheme="majorBidi" w:eastAsia="Times New Roman" w:hAnsiTheme="majorBidi" w:cstheme="majorBidi"/>
            </w:rPr>
          </w:pPr>
          <w:r w:rsidRPr="00EC7C3D">
            <w:rPr>
              <w:rFonts w:asciiTheme="majorBidi" w:eastAsia="Times New Roman" w:hAnsiTheme="majorBidi" w:cstheme="majorBidi"/>
            </w:rPr>
            <w:t>Informal document No. GRSG-116-35</w:t>
          </w:r>
          <w:r w:rsidR="006C091D" w:rsidRPr="00EC7C3D">
            <w:rPr>
              <w:rFonts w:asciiTheme="majorBidi" w:eastAsia="Times New Roman" w:hAnsiTheme="majorBidi" w:cstheme="majorBidi"/>
            </w:rPr>
            <w:t>-</w:t>
          </w:r>
          <w:r w:rsidR="006C091D" w:rsidRPr="006C091D">
            <w:rPr>
              <w:rFonts w:asciiTheme="majorBidi" w:eastAsia="Times New Roman" w:hAnsiTheme="majorBidi" w:cstheme="majorBidi"/>
              <w:color w:val="FF0000"/>
            </w:rPr>
            <w:t>Rev.1</w:t>
          </w:r>
        </w:p>
        <w:p w:rsidR="00EC7C3D" w:rsidRPr="00EC7C3D" w:rsidRDefault="00EC7C3D" w:rsidP="00EC7C3D">
          <w:pPr>
            <w:spacing w:after="0" w:line="240" w:lineRule="auto"/>
            <w:ind w:left="743"/>
            <w:jc w:val="right"/>
            <w:rPr>
              <w:rFonts w:asciiTheme="majorBidi" w:eastAsia="Times New Roman" w:hAnsiTheme="majorBidi" w:cstheme="majorBidi"/>
            </w:rPr>
          </w:pPr>
          <w:r w:rsidRPr="00EC7C3D">
            <w:rPr>
              <w:rFonts w:asciiTheme="majorBidi" w:eastAsia="Times New Roman" w:hAnsiTheme="majorBidi" w:cstheme="majorBidi"/>
            </w:rPr>
            <w:t>(116 GRSG, 1-5 April 2019,</w:t>
          </w:r>
        </w:p>
        <w:p w:rsidR="00EC7C3D" w:rsidRPr="00EC7C3D" w:rsidRDefault="00EC7C3D" w:rsidP="00EC7C3D">
          <w:pPr>
            <w:spacing w:after="0" w:line="240" w:lineRule="auto"/>
            <w:ind w:left="743"/>
            <w:jc w:val="right"/>
            <w:rPr>
              <w:rFonts w:asciiTheme="majorBidi" w:eastAsia="Times New Roman" w:hAnsiTheme="majorBidi" w:cstheme="majorBidi"/>
            </w:rPr>
          </w:pPr>
          <w:r w:rsidRPr="00EC7C3D">
            <w:rPr>
              <w:rFonts w:asciiTheme="majorBidi" w:eastAsia="Times New Roman" w:hAnsiTheme="majorBidi" w:cstheme="majorBidi"/>
            </w:rPr>
            <w:t>Agenda item 9(a))</w:t>
          </w:r>
        </w:p>
      </w:tc>
    </w:tr>
  </w:tbl>
  <w:p w:rsidR="00C21929" w:rsidRPr="000702D5" w:rsidRDefault="0023396B" w:rsidP="00EC7C3D">
    <w:pPr>
      <w:pStyle w:val="Header"/>
      <w:tabs>
        <w:tab w:val="clear" w:pos="4536"/>
        <w:tab w:val="left" w:pos="5954"/>
      </w:tabs>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D4BD3"/>
    <w:multiLevelType w:val="hybridMultilevel"/>
    <w:tmpl w:val="16F03F36"/>
    <w:lvl w:ilvl="0" w:tplc="7D0A56F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1E546B"/>
    <w:multiLevelType w:val="multilevel"/>
    <w:tmpl w:val="73AAD12C"/>
    <w:lvl w:ilvl="0">
      <w:start w:val="1"/>
      <w:numFmt w:val="upperRoman"/>
      <w:lvlText w:val="%1."/>
      <w:lvlJc w:val="left"/>
      <w:pPr>
        <w:ind w:left="1429" w:hanging="72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57"/>
    <w:rsid w:val="00017C3C"/>
    <w:rsid w:val="001779D5"/>
    <w:rsid w:val="001B38BB"/>
    <w:rsid w:val="00227F4B"/>
    <w:rsid w:val="0023396B"/>
    <w:rsid w:val="0029320B"/>
    <w:rsid w:val="00295ADA"/>
    <w:rsid w:val="002A6311"/>
    <w:rsid w:val="003A1FC1"/>
    <w:rsid w:val="00446311"/>
    <w:rsid w:val="004551A4"/>
    <w:rsid w:val="00595E57"/>
    <w:rsid w:val="00597E4F"/>
    <w:rsid w:val="005D3655"/>
    <w:rsid w:val="006C091D"/>
    <w:rsid w:val="00754062"/>
    <w:rsid w:val="007B2385"/>
    <w:rsid w:val="007E76E4"/>
    <w:rsid w:val="00846F2E"/>
    <w:rsid w:val="00884FCF"/>
    <w:rsid w:val="008D1007"/>
    <w:rsid w:val="00936478"/>
    <w:rsid w:val="00971677"/>
    <w:rsid w:val="009D6659"/>
    <w:rsid w:val="00AC6D5E"/>
    <w:rsid w:val="00AF16CB"/>
    <w:rsid w:val="00B0073D"/>
    <w:rsid w:val="00BA4F82"/>
    <w:rsid w:val="00C077D5"/>
    <w:rsid w:val="00C575BD"/>
    <w:rsid w:val="00C6022F"/>
    <w:rsid w:val="00C8222A"/>
    <w:rsid w:val="00C94A6E"/>
    <w:rsid w:val="00DE33EF"/>
    <w:rsid w:val="00EC7C3D"/>
    <w:rsid w:val="00F02857"/>
    <w:rsid w:val="00F46AE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AA12"/>
  <w15:chartTrackingRefBased/>
  <w15:docId w15:val="{6C52E3CE-44CC-4217-959C-6A41EA49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077D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077D5"/>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C077D5"/>
    <w:pPr>
      <w:ind w:left="720"/>
      <w:contextualSpacing/>
    </w:pPr>
  </w:style>
  <w:style w:type="paragraph" w:styleId="Header">
    <w:name w:val="header"/>
    <w:basedOn w:val="Normal"/>
    <w:link w:val="HeaderChar"/>
    <w:uiPriority w:val="99"/>
    <w:unhideWhenUsed/>
    <w:rsid w:val="00C077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7D5"/>
  </w:style>
  <w:style w:type="paragraph" w:customStyle="1" w:styleId="Default">
    <w:name w:val="Default"/>
    <w:rsid w:val="00C077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77D5"/>
    <w:rPr>
      <w:color w:val="0563C1" w:themeColor="hyperlink"/>
      <w:u w:val="single"/>
    </w:rPr>
  </w:style>
  <w:style w:type="paragraph" w:customStyle="1" w:styleId="xmsonormal">
    <w:name w:val="x_msonormal"/>
    <w:basedOn w:val="Normal"/>
    <w:rsid w:val="00F028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F1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4930">
      <w:bodyDiv w:val="1"/>
      <w:marLeft w:val="0"/>
      <w:marRight w:val="0"/>
      <w:marTop w:val="0"/>
      <w:marBottom w:val="0"/>
      <w:divBdr>
        <w:top w:val="none" w:sz="0" w:space="0" w:color="auto"/>
        <w:left w:val="none" w:sz="0" w:space="0" w:color="auto"/>
        <w:bottom w:val="none" w:sz="0" w:space="0" w:color="auto"/>
        <w:right w:val="none" w:sz="0" w:space="0" w:color="auto"/>
      </w:divBdr>
    </w:div>
    <w:div w:id="12898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tih.ozcinar@sanay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Romain Hubert</cp:lastModifiedBy>
  <cp:revision>2</cp:revision>
  <dcterms:created xsi:type="dcterms:W3CDTF">2019-04-04T16:21:00Z</dcterms:created>
  <dcterms:modified xsi:type="dcterms:W3CDTF">2019-04-04T16:21:00Z</dcterms:modified>
</cp:coreProperties>
</file>