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D06F" w14:textId="7FA63F00" w:rsidR="00E50016" w:rsidRPr="002A51D6" w:rsidRDefault="00B5175D" w:rsidP="000F245B">
      <w:pPr>
        <w:pStyle w:val="HChG"/>
        <w:tabs>
          <w:tab w:val="clear" w:pos="851"/>
        </w:tabs>
        <w:spacing w:before="0" w:after="0"/>
        <w:ind w:left="0" w:right="0" w:firstLine="0"/>
        <w:jc w:val="right"/>
        <w:rPr>
          <w:lang w:val="ru-RU"/>
        </w:rPr>
      </w:pPr>
      <w:r>
        <w:rPr>
          <w:b w:val="0"/>
          <w:sz w:val="20"/>
          <w:lang w:val="ru-RU"/>
        </w:rPr>
        <w:t xml:space="preserve">Представлено экспертом Российской Федерации              </w:t>
      </w:r>
      <w:r w:rsidR="000F245B">
        <w:rPr>
          <w:b w:val="0"/>
          <w:sz w:val="20"/>
          <w:lang w:val="ru-RU"/>
        </w:rPr>
        <w:t xml:space="preserve">             </w:t>
      </w:r>
      <w:r>
        <w:rPr>
          <w:b w:val="0"/>
          <w:sz w:val="20"/>
          <w:lang w:val="ru-RU"/>
        </w:rPr>
        <w:t xml:space="preserve"> </w:t>
      </w:r>
      <w:r w:rsidR="00D51B11">
        <w:rPr>
          <w:b w:val="0"/>
          <w:sz w:val="20"/>
          <w:lang w:val="ru-RU"/>
        </w:rPr>
        <w:t xml:space="preserve">  </w:t>
      </w:r>
      <w:r>
        <w:rPr>
          <w:b w:val="0"/>
          <w:sz w:val="20"/>
          <w:lang w:val="ru-RU"/>
        </w:rPr>
        <w:t xml:space="preserve">  Неофициальный документ </w:t>
      </w:r>
      <w:proofErr w:type="gramStart"/>
      <w:r w:rsidR="00F12270" w:rsidRPr="00B5175D">
        <w:rPr>
          <w:b w:val="0"/>
          <w:sz w:val="20"/>
          <w:lang w:val="ru-RU"/>
        </w:rPr>
        <w:t xml:space="preserve">№  </w:t>
      </w:r>
      <w:r w:rsidR="00F12270">
        <w:rPr>
          <w:b w:val="0"/>
          <w:sz w:val="20"/>
          <w:lang w:val="en-US"/>
        </w:rPr>
        <w:t>GRSG</w:t>
      </w:r>
      <w:proofErr w:type="gramEnd"/>
      <w:r w:rsidR="00F12270" w:rsidRPr="00B5175D">
        <w:rPr>
          <w:b w:val="0"/>
          <w:sz w:val="20"/>
          <w:lang w:val="ru-RU"/>
        </w:rPr>
        <w:t>-116-</w:t>
      </w:r>
      <w:r w:rsidR="002A51D6" w:rsidRPr="002A51D6">
        <w:rPr>
          <w:b w:val="0"/>
          <w:sz w:val="20"/>
          <w:lang w:val="ru-RU"/>
        </w:rPr>
        <w:t>15</w:t>
      </w:r>
      <w:r w:rsidR="00F12270" w:rsidRPr="00B5175D">
        <w:rPr>
          <w:b w:val="0"/>
          <w:sz w:val="20"/>
          <w:lang w:val="ru-RU"/>
        </w:rPr>
        <w:t xml:space="preserve">                                                   </w:t>
      </w:r>
      <w:r w:rsidR="00D51B11">
        <w:rPr>
          <w:b w:val="0"/>
          <w:sz w:val="20"/>
          <w:lang w:val="ru-RU"/>
        </w:rPr>
        <w:t xml:space="preserve">            </w:t>
      </w:r>
      <w:r w:rsidR="00F12270" w:rsidRPr="00B5175D">
        <w:rPr>
          <w:b w:val="0"/>
          <w:sz w:val="20"/>
          <w:lang w:val="ru-RU"/>
        </w:rPr>
        <w:t>(</w:t>
      </w:r>
      <w:r w:rsidR="00E50016" w:rsidRPr="002A51D6">
        <w:rPr>
          <w:b w:val="0"/>
          <w:sz w:val="20"/>
          <w:lang w:val="ru-RU"/>
        </w:rPr>
        <w:t>116</w:t>
      </w:r>
      <w:r>
        <w:rPr>
          <w:b w:val="0"/>
          <w:sz w:val="20"/>
          <w:lang w:val="ru-RU"/>
        </w:rPr>
        <w:t>-ая сессия</w:t>
      </w:r>
      <w:r w:rsidR="00E50016" w:rsidRPr="002A51D6">
        <w:rPr>
          <w:b w:val="0"/>
          <w:sz w:val="20"/>
          <w:lang w:val="ru-RU"/>
        </w:rPr>
        <w:t xml:space="preserve"> </w:t>
      </w:r>
      <w:r w:rsidR="00F12270">
        <w:rPr>
          <w:b w:val="0"/>
          <w:sz w:val="20"/>
          <w:lang w:val="en-US"/>
        </w:rPr>
        <w:t>GRSG</w:t>
      </w:r>
      <w:r w:rsidR="00E50016" w:rsidRPr="002A51D6">
        <w:rPr>
          <w:b w:val="0"/>
          <w:sz w:val="20"/>
          <w:lang w:val="ru-RU"/>
        </w:rPr>
        <w:t xml:space="preserve">, 1-5 </w:t>
      </w:r>
      <w:r>
        <w:rPr>
          <w:b w:val="0"/>
          <w:sz w:val="20"/>
          <w:lang w:val="ru-RU"/>
        </w:rPr>
        <w:t>Апреля</w:t>
      </w:r>
      <w:r w:rsidR="00E50016" w:rsidRPr="002A51D6">
        <w:rPr>
          <w:b w:val="0"/>
          <w:sz w:val="20"/>
          <w:lang w:val="ru-RU"/>
        </w:rPr>
        <w:t xml:space="preserve"> 2019</w:t>
      </w:r>
      <w:r w:rsidR="00F12270" w:rsidRPr="002A51D6">
        <w:rPr>
          <w:b w:val="0"/>
          <w:sz w:val="20"/>
          <w:lang w:val="ru-RU"/>
        </w:rPr>
        <w:t>)</w:t>
      </w:r>
    </w:p>
    <w:p w14:paraId="16F5099E" w14:textId="22DB68DF" w:rsidR="00E50016" w:rsidRPr="002A51D6" w:rsidRDefault="00B5175D" w:rsidP="00D51B11">
      <w:pPr>
        <w:jc w:val="right"/>
        <w:rPr>
          <w:lang w:val="ru-RU"/>
        </w:rPr>
      </w:pPr>
      <w:r>
        <w:rPr>
          <w:lang w:val="ru-RU"/>
        </w:rPr>
        <w:t>Повестка</w:t>
      </w:r>
      <w:r w:rsidR="00B33948">
        <w:rPr>
          <w:lang w:val="ru-RU"/>
        </w:rPr>
        <w:t>,</w:t>
      </w:r>
      <w:r w:rsidRPr="00053F3D">
        <w:rPr>
          <w:lang w:val="ru-RU"/>
        </w:rPr>
        <w:t xml:space="preserve"> </w:t>
      </w:r>
      <w:r>
        <w:rPr>
          <w:lang w:val="ru-RU"/>
        </w:rPr>
        <w:t>пункт</w:t>
      </w:r>
      <w:r w:rsidR="00F12270" w:rsidRPr="002A51D6">
        <w:rPr>
          <w:lang w:val="ru-RU"/>
        </w:rPr>
        <w:t xml:space="preserve"> 14</w:t>
      </w:r>
    </w:p>
    <w:p w14:paraId="7A90C8B2" w14:textId="77777777" w:rsidR="00F12270" w:rsidRPr="002A51D6" w:rsidRDefault="00F12270" w:rsidP="00E50016">
      <w:pPr>
        <w:jc w:val="right"/>
        <w:rPr>
          <w:b/>
          <w:lang w:val="ru-RU"/>
        </w:rPr>
      </w:pPr>
    </w:p>
    <w:p w14:paraId="517EBD53" w14:textId="53E896F1" w:rsidR="00E50016" w:rsidRPr="002A51D6" w:rsidRDefault="001616D3" w:rsidP="00F12270">
      <w:pPr>
        <w:jc w:val="center"/>
        <w:rPr>
          <w:b/>
          <w:lang w:val="ru-RU"/>
        </w:rPr>
      </w:pPr>
      <w:r>
        <w:rPr>
          <w:b/>
          <w:lang w:val="ru-RU"/>
        </w:rPr>
        <w:t>Правила</w:t>
      </w:r>
      <w:r w:rsidRPr="001616D3">
        <w:rPr>
          <w:b/>
          <w:lang w:val="ru-RU"/>
        </w:rPr>
        <w:t xml:space="preserve"> </w:t>
      </w:r>
      <w:r>
        <w:rPr>
          <w:b/>
          <w:lang w:val="ru-RU"/>
        </w:rPr>
        <w:t>ООН</w:t>
      </w:r>
      <w:r w:rsidRPr="001616D3">
        <w:rPr>
          <w:b/>
          <w:lang w:val="ru-RU"/>
        </w:rPr>
        <w:t xml:space="preserve"> № 144</w:t>
      </w:r>
      <w:r w:rsidR="00E50016" w:rsidRPr="002A51D6">
        <w:rPr>
          <w:b/>
          <w:lang w:val="ru-RU"/>
        </w:rPr>
        <w:t xml:space="preserve"> (</w:t>
      </w:r>
      <w:r>
        <w:rPr>
          <w:b/>
          <w:lang w:val="ru-RU"/>
        </w:rPr>
        <w:t xml:space="preserve">Единообразные </w:t>
      </w:r>
      <w:proofErr w:type="spellStart"/>
      <w:r>
        <w:rPr>
          <w:b/>
          <w:lang w:val="ru-RU"/>
        </w:rPr>
        <w:t>предпсиания</w:t>
      </w:r>
      <w:proofErr w:type="spellEnd"/>
      <w:r>
        <w:rPr>
          <w:b/>
          <w:lang w:val="ru-RU"/>
        </w:rPr>
        <w:t>, касающиеся системы вызова экстренных оперативных служб</w:t>
      </w:r>
      <w:r w:rsidR="00E50016" w:rsidRPr="002A51D6">
        <w:rPr>
          <w:b/>
          <w:lang w:val="ru-RU"/>
        </w:rPr>
        <w:t>)</w:t>
      </w:r>
    </w:p>
    <w:p w14:paraId="3823AF16" w14:textId="77777777" w:rsidR="001616D3" w:rsidRDefault="001616D3" w:rsidP="001616D3">
      <w:pPr>
        <w:pStyle w:val="HChG"/>
        <w:tabs>
          <w:tab w:val="clear" w:pos="851"/>
        </w:tabs>
        <w:spacing w:before="0" w:after="0"/>
        <w:ind w:left="425" w:right="567" w:firstLine="0"/>
        <w:jc w:val="center"/>
        <w:rPr>
          <w:b w:val="0"/>
          <w:bCs/>
          <w:sz w:val="20"/>
          <w:lang w:val="ru-RU"/>
        </w:rPr>
      </w:pPr>
    </w:p>
    <w:p w14:paraId="19A77C49" w14:textId="0AFED547" w:rsidR="00931711" w:rsidRDefault="001616D3" w:rsidP="001616D3">
      <w:pPr>
        <w:pStyle w:val="HChG"/>
        <w:tabs>
          <w:tab w:val="clear" w:pos="851"/>
        </w:tabs>
        <w:spacing w:before="0" w:after="0" w:line="240" w:lineRule="atLeast"/>
        <w:ind w:left="425" w:right="567" w:firstLine="0"/>
        <w:jc w:val="center"/>
        <w:rPr>
          <w:b w:val="0"/>
          <w:bCs/>
          <w:sz w:val="20"/>
          <w:lang w:val="ru-RU"/>
        </w:rPr>
      </w:pPr>
      <w:r>
        <w:rPr>
          <w:b w:val="0"/>
          <w:bCs/>
          <w:sz w:val="20"/>
          <w:lang w:val="ru-RU"/>
        </w:rPr>
        <w:t>ПРОЕКТ</w:t>
      </w:r>
      <w:r w:rsidRPr="001616D3">
        <w:rPr>
          <w:b w:val="0"/>
          <w:bCs/>
          <w:sz w:val="20"/>
          <w:lang w:val="ru-RU"/>
        </w:rPr>
        <w:t xml:space="preserve"> </w:t>
      </w:r>
      <w:r>
        <w:rPr>
          <w:b w:val="0"/>
          <w:bCs/>
          <w:sz w:val="20"/>
          <w:lang w:val="ru-RU"/>
        </w:rPr>
        <w:t>Предложений</w:t>
      </w:r>
      <w:r w:rsidRPr="001616D3">
        <w:rPr>
          <w:b w:val="0"/>
          <w:bCs/>
          <w:sz w:val="20"/>
          <w:lang w:val="ru-RU"/>
        </w:rPr>
        <w:t xml:space="preserve"> по поправкам к Правилам ООН № </w:t>
      </w:r>
      <w:r>
        <w:rPr>
          <w:b w:val="0"/>
          <w:bCs/>
          <w:sz w:val="20"/>
          <w:lang w:val="ru-RU"/>
        </w:rPr>
        <w:t xml:space="preserve">144 </w:t>
      </w:r>
      <w:r w:rsidR="00E50016" w:rsidRPr="001616D3">
        <w:rPr>
          <w:b w:val="0"/>
          <w:bCs/>
          <w:sz w:val="20"/>
          <w:lang w:val="ru-RU"/>
        </w:rPr>
        <w:t>(</w:t>
      </w:r>
      <w:r w:rsidRPr="001616D3">
        <w:rPr>
          <w:b w:val="0"/>
          <w:sz w:val="20"/>
          <w:lang w:val="ru-RU"/>
        </w:rPr>
        <w:t xml:space="preserve">Единообразные </w:t>
      </w:r>
      <w:proofErr w:type="spellStart"/>
      <w:r w:rsidRPr="001616D3">
        <w:rPr>
          <w:b w:val="0"/>
          <w:sz w:val="20"/>
          <w:lang w:val="ru-RU"/>
        </w:rPr>
        <w:t>предпсиания</w:t>
      </w:r>
      <w:proofErr w:type="spellEnd"/>
      <w:r w:rsidRPr="001616D3">
        <w:rPr>
          <w:b w:val="0"/>
          <w:sz w:val="20"/>
          <w:lang w:val="ru-RU"/>
        </w:rPr>
        <w:t>, касающиеся системы вызова экстренных оперативных служб</w:t>
      </w:r>
      <w:r w:rsidR="00E50016" w:rsidRPr="001616D3">
        <w:rPr>
          <w:b w:val="0"/>
          <w:bCs/>
          <w:sz w:val="20"/>
          <w:lang w:val="ru-RU"/>
        </w:rPr>
        <w:t>)</w:t>
      </w:r>
    </w:p>
    <w:p w14:paraId="5AE4C0BB" w14:textId="77777777" w:rsidR="00E6177F" w:rsidRDefault="00E6177F" w:rsidP="00A01658">
      <w:pPr>
        <w:rPr>
          <w:lang w:val="ru-RU"/>
        </w:rPr>
      </w:pPr>
    </w:p>
    <w:p w14:paraId="5BD6C68C" w14:textId="35CA9EFE" w:rsidR="00A01658" w:rsidRPr="00A01658" w:rsidRDefault="00A01658" w:rsidP="00D51B11">
      <w:pPr>
        <w:jc w:val="both"/>
        <w:rPr>
          <w:lang w:val="ru-RU"/>
        </w:rPr>
      </w:pPr>
      <w:r>
        <w:rPr>
          <w:lang w:val="ru-RU"/>
        </w:rPr>
        <w:t>Из</w:t>
      </w:r>
      <w:r w:rsidR="00E6177F">
        <w:rPr>
          <w:lang w:val="ru-RU"/>
        </w:rPr>
        <w:t xml:space="preserve">менения к </w:t>
      </w:r>
      <w:r w:rsidR="00D51B11">
        <w:rPr>
          <w:lang w:val="ru-RU"/>
        </w:rPr>
        <w:t xml:space="preserve">существующему </w:t>
      </w:r>
      <w:r w:rsidR="00E6177F">
        <w:rPr>
          <w:lang w:val="ru-RU"/>
        </w:rPr>
        <w:t xml:space="preserve">тексту Правил ООН </w:t>
      </w:r>
      <w:r w:rsidR="00D51B11">
        <w:rPr>
          <w:lang w:val="ru-RU"/>
        </w:rPr>
        <w:t xml:space="preserve">выделены жирным </w:t>
      </w:r>
      <w:r w:rsidR="000F3639">
        <w:rPr>
          <w:lang w:val="ru-RU"/>
        </w:rPr>
        <w:t>шрифтом, удаление</w:t>
      </w:r>
      <w:r w:rsidR="00E6177F">
        <w:rPr>
          <w:lang w:val="ru-RU"/>
        </w:rPr>
        <w:t xml:space="preserve"> – путем зачеркивания.</w:t>
      </w:r>
    </w:p>
    <w:p w14:paraId="4432D279" w14:textId="6F4D7D1E" w:rsidR="002D6010" w:rsidRPr="005704E7" w:rsidRDefault="00CF7A93" w:rsidP="00F12270">
      <w:pPr>
        <w:spacing w:before="360" w:after="240"/>
        <w:ind w:right="697"/>
        <w:jc w:val="both"/>
        <w:rPr>
          <w:b/>
          <w:lang w:val="ru-RU"/>
        </w:rPr>
      </w:pPr>
      <w:r w:rsidRPr="005704E7">
        <w:rPr>
          <w:b/>
        </w:rPr>
        <w:t>I</w:t>
      </w:r>
      <w:r w:rsidRPr="002A51D6">
        <w:rPr>
          <w:b/>
          <w:lang w:val="ru-RU"/>
        </w:rPr>
        <w:t>.</w:t>
      </w:r>
      <w:r w:rsidRPr="002A51D6">
        <w:rPr>
          <w:b/>
          <w:lang w:val="ru-RU"/>
        </w:rPr>
        <w:tab/>
      </w:r>
      <w:r w:rsidR="00A802A7" w:rsidRPr="005704E7">
        <w:rPr>
          <w:b/>
          <w:lang w:val="ru-RU"/>
        </w:rPr>
        <w:t>ПРЕДЛОЖЕНИЕ</w:t>
      </w:r>
    </w:p>
    <w:p w14:paraId="46CE31CA" w14:textId="532A829A" w:rsidR="001501C6" w:rsidRPr="00D51B11" w:rsidRDefault="00D51B11" w:rsidP="004634F7">
      <w:pPr>
        <w:spacing w:line="360" w:lineRule="auto"/>
        <w:ind w:left="567" w:firstLine="567"/>
        <w:rPr>
          <w:i/>
          <w:lang w:val="ru-RU"/>
        </w:rPr>
      </w:pPr>
      <w:r w:rsidRPr="00D51B11">
        <w:rPr>
          <w:i/>
          <w:lang w:val="ru-RU"/>
        </w:rPr>
        <w:t>Содержание</w:t>
      </w:r>
      <w:r w:rsidR="006E5656" w:rsidRPr="00D51B11">
        <w:rPr>
          <w:i/>
          <w:lang w:val="ru-RU"/>
        </w:rPr>
        <w:t xml:space="preserve"> </w:t>
      </w:r>
      <w:r w:rsidRPr="00D51B11">
        <w:rPr>
          <w:i/>
          <w:lang w:val="ru-RU"/>
        </w:rPr>
        <w:t>изменить следующим образом:</w:t>
      </w:r>
    </w:p>
    <w:p w14:paraId="06BE9092" w14:textId="4ACA80B6" w:rsidR="00D51B11" w:rsidRPr="00D51B11" w:rsidRDefault="00D51B11" w:rsidP="00D51B11">
      <w:pPr>
        <w:pStyle w:val="H1GR"/>
        <w:spacing w:before="0" w:after="0" w:line="360" w:lineRule="auto"/>
        <w:rPr>
          <w:sz w:val="20"/>
        </w:rPr>
      </w:pPr>
      <w:r w:rsidRPr="00D51B11">
        <w:rPr>
          <w:sz w:val="20"/>
        </w:rPr>
        <w:tab/>
      </w:r>
      <w:r w:rsidRPr="00D51B11">
        <w:rPr>
          <w:sz w:val="20"/>
        </w:rPr>
        <w:tab/>
        <w:t>Единообразные предписания, касающиеся:</w:t>
      </w:r>
    </w:p>
    <w:p w14:paraId="0460D016" w14:textId="372F0F52" w:rsidR="00D51B11" w:rsidRPr="00D51B11" w:rsidRDefault="00D51B11" w:rsidP="00D51B11">
      <w:pPr>
        <w:pStyle w:val="H1GR"/>
        <w:tabs>
          <w:tab w:val="left" w:pos="1134"/>
        </w:tabs>
        <w:spacing w:before="0" w:after="0" w:line="240" w:lineRule="auto"/>
        <w:ind w:left="1701" w:hanging="1701"/>
        <w:jc w:val="both"/>
        <w:rPr>
          <w:strike/>
          <w:sz w:val="20"/>
        </w:rPr>
      </w:pPr>
      <w:r w:rsidRPr="00D51B11">
        <w:rPr>
          <w:sz w:val="20"/>
        </w:rPr>
        <w:tab/>
      </w:r>
      <w:r w:rsidRPr="00D51B11">
        <w:rPr>
          <w:sz w:val="20"/>
        </w:rPr>
        <w:tab/>
      </w:r>
      <w:proofErr w:type="spellStart"/>
      <w:r w:rsidRPr="00D51B11">
        <w:rPr>
          <w:sz w:val="20"/>
        </w:rPr>
        <w:t>Ib</w:t>
      </w:r>
      <w:proofErr w:type="spellEnd"/>
      <w:r w:rsidRPr="00D51B11">
        <w:rPr>
          <w:sz w:val="20"/>
        </w:rPr>
        <w:t>.</w:t>
      </w:r>
      <w:r w:rsidRPr="00D51B11">
        <w:rPr>
          <w:sz w:val="20"/>
        </w:rPr>
        <w:tab/>
        <w:t>Устройств вызова экстренных оперативных служб (УВЭС</w:t>
      </w:r>
      <w:r w:rsidRPr="00D51B11">
        <w:rPr>
          <w:strike/>
          <w:sz w:val="20"/>
        </w:rPr>
        <w:t>), которые предназначены для</w:t>
      </w:r>
      <w:r w:rsidRPr="00D51B11">
        <w:rPr>
          <w:strike/>
          <w:sz w:val="20"/>
          <w:lang w:val="en-US"/>
        </w:rPr>
        <w:t> </w:t>
      </w:r>
      <w:r w:rsidRPr="00D51B11">
        <w:rPr>
          <w:strike/>
          <w:sz w:val="20"/>
        </w:rPr>
        <w:t xml:space="preserve">установки на транспортных средствах категорий </w:t>
      </w:r>
      <w:r w:rsidRPr="00D51B11">
        <w:rPr>
          <w:strike/>
          <w:sz w:val="20"/>
          <w:lang w:val="en-GB"/>
        </w:rPr>
        <w:t>M</w:t>
      </w:r>
      <w:r w:rsidRPr="00D51B11">
        <w:rPr>
          <w:strike/>
          <w:sz w:val="20"/>
          <w:vertAlign w:val="subscript"/>
        </w:rPr>
        <w:t xml:space="preserve">1 </w:t>
      </w:r>
      <w:r w:rsidRPr="00D51B11">
        <w:rPr>
          <w:strike/>
          <w:sz w:val="20"/>
        </w:rPr>
        <w:t xml:space="preserve">и </w:t>
      </w:r>
      <w:r w:rsidRPr="00D51B11">
        <w:rPr>
          <w:strike/>
          <w:sz w:val="20"/>
          <w:lang w:val="en-GB"/>
        </w:rPr>
        <w:t>N</w:t>
      </w:r>
      <w:r w:rsidRPr="00D51B11">
        <w:rPr>
          <w:strike/>
          <w:sz w:val="20"/>
          <w:vertAlign w:val="subscript"/>
        </w:rPr>
        <w:t>1</w:t>
      </w:r>
    </w:p>
    <w:p w14:paraId="6F58DF55" w14:textId="23313D95" w:rsidR="001501C6" w:rsidRPr="00FF0FD7" w:rsidRDefault="001501C6" w:rsidP="00D51B11">
      <w:pPr>
        <w:pStyle w:val="H1G"/>
        <w:spacing w:before="0" w:after="120" w:line="240" w:lineRule="exact"/>
        <w:rPr>
          <w:b w:val="0"/>
          <w:sz w:val="20"/>
          <w:lang w:val="ru-RU"/>
        </w:rPr>
      </w:pPr>
      <w:r w:rsidRPr="00FF0FD7">
        <w:rPr>
          <w:b w:val="0"/>
          <w:sz w:val="20"/>
          <w:lang w:val="ru-RU"/>
        </w:rPr>
        <w:t>…</w:t>
      </w:r>
    </w:p>
    <w:p w14:paraId="5EDFC000" w14:textId="784B0EA7" w:rsidR="00091F47" w:rsidRDefault="00D51B11" w:rsidP="00D51B11">
      <w:pPr>
        <w:pStyle w:val="H1G"/>
        <w:spacing w:before="0" w:after="120" w:line="240" w:lineRule="exact"/>
        <w:rPr>
          <w:b w:val="0"/>
          <w:szCs w:val="24"/>
          <w:lang w:val="ru-RU"/>
        </w:rPr>
      </w:pPr>
      <w:r w:rsidRPr="00D51B11">
        <w:rPr>
          <w:b w:val="0"/>
          <w:szCs w:val="24"/>
          <w:lang w:val="ru-RU"/>
        </w:rPr>
        <w:t>Содержание</w:t>
      </w:r>
    </w:p>
    <w:p w14:paraId="6D4A67C3" w14:textId="38B10305" w:rsidR="006141CC" w:rsidRPr="006141CC" w:rsidRDefault="006141CC" w:rsidP="006141CC">
      <w:pPr>
        <w:ind w:left="142"/>
        <w:rPr>
          <w:lang w:val="ru-RU"/>
        </w:rPr>
      </w:pPr>
      <w:r>
        <w:rPr>
          <w:lang w:val="ru-RU"/>
        </w:rPr>
        <w:t>…</w:t>
      </w:r>
    </w:p>
    <w:p w14:paraId="7CE1970D" w14:textId="756CD591" w:rsidR="001501C6" w:rsidRPr="002A51D6" w:rsidRDefault="001501C6" w:rsidP="001501C6">
      <w:pPr>
        <w:tabs>
          <w:tab w:val="right" w:pos="850"/>
          <w:tab w:val="left" w:pos="1134"/>
          <w:tab w:val="left" w:pos="1559"/>
          <w:tab w:val="left" w:pos="1984"/>
          <w:tab w:val="left" w:leader="dot" w:pos="8787"/>
          <w:tab w:val="right" w:pos="9638"/>
        </w:tabs>
        <w:spacing w:after="120"/>
        <w:ind w:left="1134" w:hanging="1134"/>
        <w:rPr>
          <w:lang w:val="ru-RU"/>
        </w:rPr>
      </w:pPr>
      <w:r w:rsidRPr="002A51D6">
        <w:rPr>
          <w:lang w:val="ru-RU"/>
        </w:rPr>
        <w:tab/>
      </w:r>
      <w:r>
        <w:rPr>
          <w:lang w:val="ru-RU"/>
        </w:rPr>
        <w:t xml:space="preserve">  </w:t>
      </w:r>
      <w:r w:rsidRPr="002A51D6">
        <w:rPr>
          <w:lang w:val="ru-RU"/>
        </w:rPr>
        <w:t xml:space="preserve">Часть </w:t>
      </w:r>
      <w:proofErr w:type="spellStart"/>
      <w:r w:rsidRPr="008E7618">
        <w:t>Ib</w:t>
      </w:r>
      <w:proofErr w:type="spellEnd"/>
      <w:r w:rsidRPr="002A51D6">
        <w:rPr>
          <w:lang w:val="ru-RU"/>
        </w:rPr>
        <w:tab/>
        <w:t>Официальное утверждение УВЭС</w:t>
      </w:r>
      <w:r w:rsidRPr="002A51D6">
        <w:rPr>
          <w:strike/>
          <w:lang w:val="ru-RU"/>
        </w:rPr>
        <w:t xml:space="preserve">, которые предназначены для установки </w:t>
      </w:r>
      <w:r w:rsidRPr="002A51D6">
        <w:rPr>
          <w:strike/>
          <w:lang w:val="ru-RU"/>
        </w:rPr>
        <w:br/>
        <w:t>на</w:t>
      </w:r>
      <w:r w:rsidRPr="001501C6">
        <w:rPr>
          <w:strike/>
        </w:rPr>
        <w:t> </w:t>
      </w:r>
      <w:r w:rsidRPr="002A51D6">
        <w:rPr>
          <w:strike/>
          <w:lang w:val="ru-RU"/>
        </w:rPr>
        <w:t xml:space="preserve">транспортных средствах категорий </w:t>
      </w:r>
      <w:r w:rsidRPr="001501C6">
        <w:rPr>
          <w:strike/>
        </w:rPr>
        <w:t>M</w:t>
      </w:r>
      <w:r w:rsidRPr="002A51D6">
        <w:rPr>
          <w:strike/>
          <w:vertAlign w:val="subscript"/>
          <w:lang w:val="ru-RU"/>
        </w:rPr>
        <w:t>1</w:t>
      </w:r>
      <w:r w:rsidRPr="002A51D6">
        <w:rPr>
          <w:strike/>
          <w:lang w:val="ru-RU"/>
        </w:rPr>
        <w:t xml:space="preserve"> и </w:t>
      </w:r>
      <w:r w:rsidRPr="001501C6">
        <w:rPr>
          <w:strike/>
        </w:rPr>
        <w:t>N</w:t>
      </w:r>
      <w:r w:rsidRPr="002A51D6">
        <w:rPr>
          <w:strike/>
          <w:vertAlign w:val="subscript"/>
          <w:lang w:val="ru-RU"/>
        </w:rPr>
        <w:t>1</w:t>
      </w:r>
      <w:r w:rsidRPr="002A51D6">
        <w:rPr>
          <w:lang w:val="ru-RU"/>
        </w:rPr>
        <w:tab/>
      </w:r>
      <w:r w:rsidRPr="002A51D6">
        <w:rPr>
          <w:lang w:val="ru-RU"/>
        </w:rPr>
        <w:tab/>
        <w:t>19</w:t>
      </w:r>
    </w:p>
    <w:p w14:paraId="57A9BFB0" w14:textId="621E596B" w:rsidR="00FF0FD7" w:rsidRDefault="00FF0FD7" w:rsidP="006141CC">
      <w:pPr>
        <w:tabs>
          <w:tab w:val="right" w:pos="850"/>
          <w:tab w:val="left" w:pos="1134"/>
          <w:tab w:val="left" w:pos="1559"/>
          <w:tab w:val="left" w:pos="1984"/>
          <w:tab w:val="left" w:leader="dot" w:pos="8787"/>
          <w:tab w:val="right" w:pos="9638"/>
        </w:tabs>
        <w:spacing w:after="120"/>
        <w:ind w:left="1134" w:hanging="992"/>
        <w:rPr>
          <w:lang w:val="ru-RU"/>
        </w:rPr>
      </w:pPr>
      <w:r>
        <w:rPr>
          <w:lang w:val="ru-RU"/>
        </w:rPr>
        <w:t>…</w:t>
      </w:r>
    </w:p>
    <w:p w14:paraId="194C49E9" w14:textId="77777777" w:rsidR="00FF0FD7" w:rsidRPr="002A51D6" w:rsidRDefault="00FF0FD7" w:rsidP="006141CC">
      <w:pPr>
        <w:tabs>
          <w:tab w:val="right" w:pos="850"/>
          <w:tab w:val="left" w:pos="1134"/>
          <w:tab w:val="left" w:pos="1559"/>
          <w:tab w:val="left" w:pos="1984"/>
          <w:tab w:val="left" w:leader="dot" w:pos="8787"/>
          <w:tab w:val="right" w:pos="9638"/>
        </w:tabs>
        <w:spacing w:after="120"/>
        <w:ind w:left="1134" w:hanging="992"/>
        <w:rPr>
          <w:lang w:val="ru-RU"/>
        </w:rPr>
      </w:pPr>
      <w:r w:rsidRPr="002A51D6">
        <w:rPr>
          <w:lang w:val="ru-RU"/>
        </w:rPr>
        <w:t>Приложения</w:t>
      </w:r>
    </w:p>
    <w:p w14:paraId="1EBC2DC3" w14:textId="77777777" w:rsidR="00FF0FD7" w:rsidRPr="002A51D6" w:rsidRDefault="00FF0FD7" w:rsidP="00FF0FD7">
      <w:pPr>
        <w:tabs>
          <w:tab w:val="right" w:pos="850"/>
          <w:tab w:val="left" w:pos="1134"/>
          <w:tab w:val="left" w:pos="1559"/>
          <w:tab w:val="left" w:pos="1984"/>
          <w:tab w:val="left" w:leader="dot" w:pos="8787"/>
          <w:tab w:val="right" w:pos="9638"/>
        </w:tabs>
        <w:spacing w:after="120"/>
        <w:ind w:left="1134" w:hanging="1134"/>
        <w:rPr>
          <w:lang w:val="ru-RU"/>
        </w:rPr>
      </w:pPr>
      <w:r w:rsidRPr="002A51D6">
        <w:rPr>
          <w:lang w:val="ru-RU"/>
        </w:rPr>
        <w:tab/>
        <w:t>1</w:t>
      </w:r>
      <w:r w:rsidRPr="002A51D6">
        <w:rPr>
          <w:lang w:val="ru-RU"/>
        </w:rPr>
        <w:tab/>
        <w:t xml:space="preserve">Сообщение, касающееся предоставления официального утверждения, </w:t>
      </w:r>
      <w:r w:rsidRPr="002A51D6">
        <w:rPr>
          <w:lang w:val="ru-RU"/>
        </w:rPr>
        <w:br/>
        <w:t xml:space="preserve">распространения официального утверждения, отказа в официальном утверждении, </w:t>
      </w:r>
      <w:r w:rsidRPr="002A51D6">
        <w:rPr>
          <w:lang w:val="ru-RU"/>
        </w:rPr>
        <w:br/>
        <w:t xml:space="preserve">отмены официального утверждения, окончательного прекращения производства </w:t>
      </w:r>
      <w:r w:rsidRPr="002A51D6">
        <w:rPr>
          <w:lang w:val="ru-RU"/>
        </w:rPr>
        <w:br/>
        <w:t xml:space="preserve">типа КВЭС, предназначенного для установки в УВЭС </w:t>
      </w:r>
      <w:r w:rsidRPr="002A51D6">
        <w:rPr>
          <w:strike/>
          <w:lang w:val="ru-RU"/>
        </w:rPr>
        <w:t xml:space="preserve">на транспортных средствах </w:t>
      </w:r>
      <w:r w:rsidRPr="002A51D6">
        <w:rPr>
          <w:strike/>
          <w:lang w:val="ru-RU"/>
        </w:rPr>
        <w:br/>
        <w:t>категорий М</w:t>
      </w:r>
      <w:r w:rsidRPr="002A51D6">
        <w:rPr>
          <w:strike/>
          <w:vertAlign w:val="subscript"/>
          <w:lang w:val="ru-RU"/>
        </w:rPr>
        <w:t>1</w:t>
      </w:r>
      <w:r w:rsidRPr="002A51D6">
        <w:rPr>
          <w:strike/>
          <w:lang w:val="ru-RU"/>
        </w:rPr>
        <w:t xml:space="preserve"> и </w:t>
      </w:r>
      <w:r w:rsidRPr="00BE5A6C">
        <w:rPr>
          <w:strike/>
        </w:rPr>
        <w:t>N</w:t>
      </w:r>
      <w:r w:rsidRPr="002A51D6">
        <w:rPr>
          <w:strike/>
          <w:vertAlign w:val="subscript"/>
          <w:lang w:val="ru-RU"/>
        </w:rPr>
        <w:t>1</w:t>
      </w:r>
      <w:r w:rsidRPr="002A51D6">
        <w:rPr>
          <w:lang w:val="ru-RU"/>
        </w:rPr>
        <w:t xml:space="preserve"> и официально утвержденного на основании части </w:t>
      </w:r>
      <w:r w:rsidRPr="008E7618">
        <w:t>I</w:t>
      </w:r>
      <w:r w:rsidRPr="002A51D6">
        <w:rPr>
          <w:lang w:val="ru-RU"/>
        </w:rPr>
        <w:t xml:space="preserve">а </w:t>
      </w:r>
      <w:r w:rsidRPr="002A51D6">
        <w:rPr>
          <w:lang w:val="ru-RU"/>
        </w:rPr>
        <w:br/>
        <w:t>Правил №</w:t>
      </w:r>
      <w:r w:rsidRPr="008E7618">
        <w:t> </w:t>
      </w:r>
      <w:r w:rsidRPr="002A51D6">
        <w:rPr>
          <w:lang w:val="ru-RU"/>
        </w:rPr>
        <w:t>144 ООН</w:t>
      </w:r>
      <w:r w:rsidRPr="002A51D6">
        <w:rPr>
          <w:lang w:val="ru-RU"/>
        </w:rPr>
        <w:tab/>
      </w:r>
      <w:r w:rsidRPr="002A51D6">
        <w:rPr>
          <w:lang w:val="ru-RU"/>
        </w:rPr>
        <w:tab/>
        <w:t>52</w:t>
      </w:r>
    </w:p>
    <w:p w14:paraId="34345B92" w14:textId="77777777" w:rsidR="00FF0FD7" w:rsidRPr="002A51D6" w:rsidRDefault="00FF0FD7" w:rsidP="00FF0FD7">
      <w:pPr>
        <w:keepLines/>
        <w:tabs>
          <w:tab w:val="right" w:pos="850"/>
          <w:tab w:val="left" w:pos="1134"/>
          <w:tab w:val="left" w:pos="1559"/>
          <w:tab w:val="left" w:pos="1984"/>
          <w:tab w:val="left" w:leader="dot" w:pos="8787"/>
          <w:tab w:val="right" w:pos="9638"/>
        </w:tabs>
        <w:spacing w:after="120"/>
        <w:ind w:left="1134" w:hanging="1134"/>
        <w:rPr>
          <w:lang w:val="ru-RU"/>
        </w:rPr>
      </w:pPr>
      <w:r w:rsidRPr="002A51D6">
        <w:rPr>
          <w:lang w:val="ru-RU"/>
        </w:rPr>
        <w:tab/>
        <w:t>2</w:t>
      </w:r>
      <w:r w:rsidRPr="002A51D6">
        <w:rPr>
          <w:lang w:val="ru-RU"/>
        </w:rPr>
        <w:tab/>
        <w:t xml:space="preserve">Сообщение, касающееся предоставления официального утверждения, </w:t>
      </w:r>
      <w:r w:rsidRPr="002A51D6">
        <w:rPr>
          <w:lang w:val="ru-RU"/>
        </w:rPr>
        <w:br/>
        <w:t xml:space="preserve">распространения официального утверждения, отказа в официальном утверждении, </w:t>
      </w:r>
      <w:r w:rsidRPr="002A51D6">
        <w:rPr>
          <w:lang w:val="ru-RU"/>
        </w:rPr>
        <w:br/>
        <w:t xml:space="preserve">отмены официального утверждения, окончательного прекращения производства </w:t>
      </w:r>
      <w:r w:rsidRPr="002A51D6">
        <w:rPr>
          <w:lang w:val="ru-RU"/>
        </w:rPr>
        <w:br/>
        <w:t xml:space="preserve">типа УВЭС, </w:t>
      </w:r>
      <w:r w:rsidRPr="002A51D6">
        <w:rPr>
          <w:strike/>
          <w:lang w:val="ru-RU"/>
        </w:rPr>
        <w:t xml:space="preserve">предназначенного для установки на транспортных средствах </w:t>
      </w:r>
      <w:r w:rsidRPr="002A51D6">
        <w:rPr>
          <w:strike/>
          <w:lang w:val="ru-RU"/>
        </w:rPr>
        <w:br/>
        <w:t>категорий</w:t>
      </w:r>
      <w:r w:rsidRPr="00BE5A6C">
        <w:rPr>
          <w:strike/>
        </w:rPr>
        <w:t> </w:t>
      </w:r>
      <w:r w:rsidRPr="00BE5A6C">
        <w:rPr>
          <w:strike/>
          <w:lang w:val="en-GB"/>
        </w:rPr>
        <w:t>M</w:t>
      </w:r>
      <w:r w:rsidRPr="002A51D6">
        <w:rPr>
          <w:strike/>
          <w:vertAlign w:val="subscript"/>
          <w:lang w:val="ru-RU"/>
        </w:rPr>
        <w:t>1</w:t>
      </w:r>
      <w:r w:rsidRPr="002A51D6">
        <w:rPr>
          <w:strike/>
          <w:lang w:val="ru-RU"/>
        </w:rPr>
        <w:t xml:space="preserve"> и </w:t>
      </w:r>
      <w:r w:rsidRPr="00BE5A6C">
        <w:rPr>
          <w:strike/>
          <w:lang w:val="en-GB"/>
        </w:rPr>
        <w:t>N</w:t>
      </w:r>
      <w:r w:rsidRPr="002A51D6">
        <w:rPr>
          <w:strike/>
          <w:vertAlign w:val="subscript"/>
          <w:lang w:val="ru-RU"/>
        </w:rPr>
        <w:t>1</w:t>
      </w:r>
      <w:r w:rsidRPr="002A51D6">
        <w:rPr>
          <w:strike/>
          <w:lang w:val="ru-RU"/>
        </w:rPr>
        <w:t xml:space="preserve"> и</w:t>
      </w:r>
      <w:r w:rsidRPr="002A51D6">
        <w:rPr>
          <w:lang w:val="ru-RU"/>
        </w:rPr>
        <w:t xml:space="preserve"> официально утвержденного на основании части </w:t>
      </w:r>
      <w:proofErr w:type="spellStart"/>
      <w:r w:rsidRPr="008E7618">
        <w:t>Ib</w:t>
      </w:r>
      <w:proofErr w:type="spellEnd"/>
      <w:r w:rsidRPr="002A51D6">
        <w:rPr>
          <w:lang w:val="ru-RU"/>
        </w:rPr>
        <w:t xml:space="preserve"> </w:t>
      </w:r>
      <w:r w:rsidRPr="002A51D6">
        <w:rPr>
          <w:lang w:val="ru-RU"/>
        </w:rPr>
        <w:br/>
        <w:t>Правил №</w:t>
      </w:r>
      <w:r w:rsidRPr="008E7618">
        <w:t> </w:t>
      </w:r>
      <w:r w:rsidRPr="002A51D6">
        <w:rPr>
          <w:lang w:val="ru-RU"/>
        </w:rPr>
        <w:t>144 ООН</w:t>
      </w:r>
      <w:r w:rsidRPr="002A51D6">
        <w:rPr>
          <w:lang w:val="ru-RU"/>
        </w:rPr>
        <w:tab/>
      </w:r>
      <w:r w:rsidRPr="002A51D6">
        <w:rPr>
          <w:lang w:val="ru-RU"/>
        </w:rPr>
        <w:tab/>
        <w:t>55</w:t>
      </w:r>
    </w:p>
    <w:p w14:paraId="1177DA6B" w14:textId="07A8AE0B" w:rsidR="00D1018A" w:rsidRDefault="00D1018A">
      <w:pPr>
        <w:suppressAutoHyphens w:val="0"/>
        <w:spacing w:line="240" w:lineRule="auto"/>
        <w:rPr>
          <w:noProof/>
          <w:lang w:val="ru-RU"/>
        </w:rPr>
      </w:pPr>
    </w:p>
    <w:p w14:paraId="212D1F15" w14:textId="77777777" w:rsidR="00CE3AB3" w:rsidRDefault="00CE3AB3">
      <w:pPr>
        <w:suppressAutoHyphens w:val="0"/>
        <w:spacing w:line="240" w:lineRule="auto"/>
        <w:rPr>
          <w:i/>
          <w:lang w:val="ru-RU"/>
        </w:rPr>
      </w:pPr>
      <w:r>
        <w:rPr>
          <w:i/>
          <w:lang w:val="ru-RU"/>
        </w:rPr>
        <w:br w:type="page"/>
      </w:r>
    </w:p>
    <w:p w14:paraId="37A16EE3" w14:textId="1DB418EE" w:rsidR="00091F47" w:rsidRPr="00D606D3" w:rsidRDefault="00D606D3" w:rsidP="0025490E">
      <w:pPr>
        <w:spacing w:after="120" w:line="240" w:lineRule="auto"/>
        <w:ind w:left="567" w:firstLine="567"/>
        <w:rPr>
          <w:noProof/>
          <w:webHidden/>
          <w:lang w:val="ru-RU"/>
        </w:rPr>
      </w:pPr>
      <w:r>
        <w:rPr>
          <w:i/>
          <w:lang w:val="ru-RU"/>
        </w:rPr>
        <w:lastRenderedPageBreak/>
        <w:t>Область применения</w:t>
      </w:r>
      <w:r w:rsidRPr="00D51B11">
        <w:rPr>
          <w:i/>
          <w:lang w:val="ru-RU"/>
        </w:rPr>
        <w:t xml:space="preserve"> изменить следующим образом:</w:t>
      </w:r>
      <w:r w:rsidR="006E5656" w:rsidRPr="00FF0FD7">
        <w:rPr>
          <w:noProof/>
          <w:lang w:val="ru-RU"/>
        </w:rPr>
        <w:t xml:space="preserve">      </w:t>
      </w:r>
    </w:p>
    <w:p w14:paraId="7D107217" w14:textId="77777777" w:rsidR="00BE518E" w:rsidRPr="002E4EE5" w:rsidRDefault="00BE518E" w:rsidP="00BE518E">
      <w:pPr>
        <w:pStyle w:val="SingleTxtGR"/>
        <w:tabs>
          <w:tab w:val="clear" w:pos="1701"/>
        </w:tabs>
        <w:ind w:left="2268" w:hanging="1134"/>
      </w:pPr>
      <w:r w:rsidRPr="002E4EE5">
        <w:t>1.1</w:t>
      </w:r>
      <w:r>
        <w:tab/>
      </w:r>
      <w:r w:rsidRPr="002E4EE5">
        <w:t>Настоящие Правила применяются к:</w:t>
      </w:r>
    </w:p>
    <w:p w14:paraId="4690DAE2" w14:textId="70CF1C07" w:rsidR="00BE518E" w:rsidRDefault="00BE518E" w:rsidP="00287BE7">
      <w:pPr>
        <w:pStyle w:val="SingleTxtGR"/>
        <w:tabs>
          <w:tab w:val="clear" w:pos="1701"/>
          <w:tab w:val="clear" w:pos="2835"/>
          <w:tab w:val="clear" w:pos="3402"/>
          <w:tab w:val="clear" w:pos="3969"/>
        </w:tabs>
        <w:ind w:left="2268" w:hanging="1701"/>
      </w:pPr>
      <w:r>
        <w:rPr>
          <w:b/>
          <w:bCs/>
        </w:rPr>
        <w:tab/>
      </w:r>
      <w:r>
        <w:tab/>
      </w:r>
      <w:r w:rsidRPr="002E4EE5">
        <w:rPr>
          <w:lang w:val="en-GB"/>
        </w:rPr>
        <w:t>b</w:t>
      </w:r>
      <w:r w:rsidRPr="002E4EE5">
        <w:t>)</w:t>
      </w:r>
      <w:r w:rsidRPr="002E4EE5">
        <w:tab/>
        <w:t xml:space="preserve">часть </w:t>
      </w:r>
      <w:proofErr w:type="spellStart"/>
      <w:r w:rsidRPr="002E4EE5">
        <w:t>Ib</w:t>
      </w:r>
      <w:proofErr w:type="spellEnd"/>
      <w:r w:rsidRPr="002E4EE5">
        <w:t>: официальному утверждению УВЭС</w:t>
      </w:r>
      <w:r w:rsidRPr="00287BE7">
        <w:rPr>
          <w:strike/>
        </w:rPr>
        <w:t xml:space="preserve">, которые предназначены для установки на транспортных средствах категорий </w:t>
      </w:r>
      <w:r w:rsidRPr="00287BE7">
        <w:rPr>
          <w:strike/>
          <w:lang w:val="en-GB"/>
        </w:rPr>
        <w:t>M</w:t>
      </w:r>
      <w:r w:rsidRPr="00287BE7">
        <w:rPr>
          <w:strike/>
          <w:vertAlign w:val="subscript"/>
        </w:rPr>
        <w:t>1</w:t>
      </w:r>
      <w:r w:rsidRPr="00287BE7">
        <w:rPr>
          <w:strike/>
        </w:rPr>
        <w:t xml:space="preserve"> и </w:t>
      </w:r>
      <w:r w:rsidRPr="00287BE7">
        <w:rPr>
          <w:strike/>
          <w:lang w:val="en-GB"/>
        </w:rPr>
        <w:t>N</w:t>
      </w:r>
      <w:r w:rsidRPr="00287BE7">
        <w:rPr>
          <w:strike/>
          <w:vertAlign w:val="subscript"/>
        </w:rPr>
        <w:t>1</w:t>
      </w:r>
      <w:r w:rsidRPr="00287BE7">
        <w:rPr>
          <w:strike/>
          <w:vertAlign w:val="superscript"/>
          <w:lang w:val="en-GB"/>
        </w:rPr>
        <w:footnoteReference w:id="2"/>
      </w:r>
      <w:r w:rsidRPr="002E4EE5">
        <w:t>;</w:t>
      </w:r>
    </w:p>
    <w:p w14:paraId="1EE4EB4F" w14:textId="13FF18F0" w:rsidR="00E94C41" w:rsidRPr="002E4EE5" w:rsidRDefault="00E94C41" w:rsidP="00323212">
      <w:pPr>
        <w:pStyle w:val="SingleTxtGR"/>
        <w:tabs>
          <w:tab w:val="clear" w:pos="1701"/>
          <w:tab w:val="clear" w:pos="2835"/>
          <w:tab w:val="clear" w:pos="3402"/>
          <w:tab w:val="clear" w:pos="3969"/>
        </w:tabs>
        <w:ind w:left="2268" w:hanging="1134"/>
      </w:pPr>
      <w:r>
        <w:t>...</w:t>
      </w:r>
    </w:p>
    <w:p w14:paraId="718F8620" w14:textId="77777777" w:rsidR="00E94C41" w:rsidRPr="002E4EE5" w:rsidRDefault="00E94C41" w:rsidP="00E94C41">
      <w:pPr>
        <w:pStyle w:val="SingleTxtGR"/>
        <w:tabs>
          <w:tab w:val="clear" w:pos="1701"/>
        </w:tabs>
        <w:ind w:left="2268" w:hanging="1134"/>
      </w:pPr>
      <w:r w:rsidRPr="00CE3AB3">
        <w:t>1.3</w:t>
      </w:r>
      <w:r w:rsidRPr="00CE3AB3">
        <w:tab/>
        <w:t>Транспортные средства,</w:t>
      </w:r>
    </w:p>
    <w:p w14:paraId="2A197B67" w14:textId="77777777" w:rsidR="00E94C41" w:rsidRPr="002E4EE5" w:rsidRDefault="00E94C41" w:rsidP="00E94C41">
      <w:pPr>
        <w:pStyle w:val="SingleTxtGR"/>
        <w:tabs>
          <w:tab w:val="clear" w:pos="1701"/>
        </w:tabs>
        <w:ind w:left="2835" w:hanging="1701"/>
      </w:pPr>
      <w:r>
        <w:tab/>
      </w:r>
      <w:r w:rsidRPr="002E4EE5">
        <w:rPr>
          <w:lang w:val="en-GB"/>
        </w:rPr>
        <w:t>a</w:t>
      </w:r>
      <w:r w:rsidRPr="002E4EE5">
        <w:t>)</w:t>
      </w:r>
      <w:r w:rsidRPr="002E4EE5">
        <w:tab/>
        <w:t>не относящиеся к области применения ни Правил № 94 ООН, ни Правил № 95 ООН и не оснащенные механизмом автоматического приведения в действие СВЭС;</w:t>
      </w:r>
    </w:p>
    <w:p w14:paraId="2E9FE8F9" w14:textId="77777777" w:rsidR="00E94C41" w:rsidRPr="006A5A40" w:rsidRDefault="00E94C41" w:rsidP="00E94C41">
      <w:pPr>
        <w:pStyle w:val="SingleTxtGR"/>
        <w:tabs>
          <w:tab w:val="clear" w:pos="1701"/>
        </w:tabs>
        <w:ind w:left="2835" w:hanging="1701"/>
        <w:rPr>
          <w:strike/>
        </w:rPr>
      </w:pPr>
      <w:r>
        <w:tab/>
      </w:r>
      <w:r w:rsidRPr="006A5A40">
        <w:rPr>
          <w:strike/>
          <w:lang w:val="en-GB"/>
        </w:rPr>
        <w:t>b</w:t>
      </w:r>
      <w:r w:rsidRPr="006A5A40">
        <w:rPr>
          <w:strike/>
        </w:rPr>
        <w:t>)</w:t>
      </w:r>
      <w:r w:rsidRPr="006A5A40">
        <w:rPr>
          <w:strike/>
        </w:rPr>
        <w:tab/>
        <w:t xml:space="preserve">категории </w:t>
      </w:r>
      <w:r w:rsidRPr="006A5A40">
        <w:rPr>
          <w:strike/>
          <w:lang w:val="en-GB"/>
        </w:rPr>
        <w:t>M</w:t>
      </w:r>
      <w:r w:rsidRPr="006A5A40">
        <w:rPr>
          <w:strike/>
          <w:vertAlign w:val="subscript"/>
        </w:rPr>
        <w:t>1</w:t>
      </w:r>
      <w:r w:rsidRPr="006A5A40">
        <w:rPr>
          <w:strike/>
        </w:rPr>
        <w:t>, относящиеся к области применения Правил № 94 ООН и не оборудованные фронтальной подушкой безопасности;</w:t>
      </w:r>
    </w:p>
    <w:p w14:paraId="47B96808" w14:textId="77777777" w:rsidR="00E94C41" w:rsidRPr="006A5A40" w:rsidRDefault="00E94C41" w:rsidP="00E94C41">
      <w:pPr>
        <w:pStyle w:val="SingleTxtGR"/>
        <w:tabs>
          <w:tab w:val="clear" w:pos="1701"/>
        </w:tabs>
        <w:ind w:left="2835" w:hanging="1701"/>
        <w:rPr>
          <w:strike/>
        </w:rPr>
      </w:pPr>
      <w:r>
        <w:tab/>
      </w:r>
      <w:r w:rsidRPr="006A5A40">
        <w:rPr>
          <w:strike/>
          <w:lang w:val="en-GB"/>
        </w:rPr>
        <w:t>c</w:t>
      </w:r>
      <w:r w:rsidRPr="006A5A40">
        <w:rPr>
          <w:strike/>
        </w:rPr>
        <w:t>)</w:t>
      </w:r>
      <w:r w:rsidRPr="006A5A40">
        <w:rPr>
          <w:strike/>
        </w:rPr>
        <w:tab/>
        <w:t xml:space="preserve">категории </w:t>
      </w:r>
      <w:r w:rsidRPr="006A5A40">
        <w:rPr>
          <w:strike/>
          <w:lang w:val="en-GB"/>
        </w:rPr>
        <w:t>N</w:t>
      </w:r>
      <w:r w:rsidRPr="006A5A40">
        <w:rPr>
          <w:strike/>
          <w:vertAlign w:val="subscript"/>
        </w:rPr>
        <w:t>1</w:t>
      </w:r>
      <w:r w:rsidRPr="006A5A40">
        <w:rPr>
          <w:strike/>
        </w:rPr>
        <w:t xml:space="preserve">, относящиеся к области применения </w:t>
      </w:r>
      <w:proofErr w:type="gramStart"/>
      <w:r w:rsidRPr="006A5A40">
        <w:rPr>
          <w:strike/>
        </w:rPr>
        <w:t>Правил  №</w:t>
      </w:r>
      <w:proofErr w:type="gramEnd"/>
      <w:r w:rsidRPr="006A5A40">
        <w:rPr>
          <w:strike/>
        </w:rPr>
        <w:t xml:space="preserve"> 95 ООН и не оборудованные боковой подушкой безопасности; </w:t>
      </w:r>
    </w:p>
    <w:p w14:paraId="2ED8D100" w14:textId="5EB87DE2" w:rsidR="00E94C41" w:rsidRPr="00053F3D" w:rsidRDefault="00E94C41" w:rsidP="00E94C41">
      <w:pPr>
        <w:pStyle w:val="SingleTxtGR"/>
        <w:tabs>
          <w:tab w:val="clear" w:pos="1701"/>
        </w:tabs>
        <w:ind w:left="2835" w:hanging="1701"/>
      </w:pPr>
      <w:r>
        <w:tab/>
      </w:r>
      <w:r w:rsidRPr="00053F3D">
        <w:rPr>
          <w:strike/>
          <w:lang w:val="en-GB"/>
        </w:rPr>
        <w:t>d</w:t>
      </w:r>
      <w:r w:rsidR="00053F3D" w:rsidRPr="001D74CE">
        <w:rPr>
          <w:b/>
          <w:lang w:val="en-US"/>
        </w:rPr>
        <w:t>b</w:t>
      </w:r>
      <w:r w:rsidRPr="00053F3D">
        <w:t>)</w:t>
      </w:r>
      <w:r w:rsidRPr="00053F3D">
        <w:tab/>
        <w:t xml:space="preserve">категории </w:t>
      </w:r>
      <w:r w:rsidRPr="00053F3D">
        <w:rPr>
          <w:lang w:val="en-GB"/>
        </w:rPr>
        <w:t>M</w:t>
      </w:r>
      <w:r w:rsidRPr="00053F3D">
        <w:rPr>
          <w:vertAlign w:val="subscript"/>
        </w:rPr>
        <w:t>1</w:t>
      </w:r>
      <w:r w:rsidRPr="00053F3D">
        <w:t>, общая допустимая масса которых превышает 3,5 т; и</w:t>
      </w:r>
    </w:p>
    <w:p w14:paraId="4ED6BB86" w14:textId="66C235FE" w:rsidR="00E94C41" w:rsidRDefault="00E94C41" w:rsidP="00E94C41">
      <w:pPr>
        <w:pStyle w:val="SingleTxtGR"/>
        <w:tabs>
          <w:tab w:val="clear" w:pos="1701"/>
        </w:tabs>
        <w:ind w:left="2268" w:hanging="1134"/>
        <w:rPr>
          <w:vertAlign w:val="superscript"/>
        </w:rPr>
      </w:pPr>
      <w:r>
        <w:tab/>
      </w:r>
      <w:r w:rsidRPr="00053F3D">
        <w:rPr>
          <w:strike/>
          <w:lang w:val="en-GB"/>
        </w:rPr>
        <w:t>e</w:t>
      </w:r>
      <w:r w:rsidR="00053F3D" w:rsidRPr="00053F3D">
        <w:rPr>
          <w:b/>
        </w:rPr>
        <w:t>с</w:t>
      </w:r>
      <w:r w:rsidRPr="002E4EE5">
        <w:t>)</w:t>
      </w:r>
      <w:r w:rsidRPr="002E4EE5">
        <w:tab/>
        <w:t>бронированные транспортные средства</w:t>
      </w:r>
      <w:r w:rsidRPr="002E4EE5">
        <w:rPr>
          <w:vertAlign w:val="superscript"/>
        </w:rPr>
        <w:t>1</w:t>
      </w:r>
    </w:p>
    <w:p w14:paraId="59086462" w14:textId="418E3653" w:rsidR="009B4DFB" w:rsidRPr="002E4EE5" w:rsidRDefault="009B4DFB" w:rsidP="00E94C41">
      <w:pPr>
        <w:pStyle w:val="SingleTxtGR"/>
        <w:tabs>
          <w:tab w:val="clear" w:pos="1701"/>
        </w:tabs>
        <w:ind w:left="2268" w:hanging="1134"/>
      </w:pPr>
      <w:r>
        <w:tab/>
      </w:r>
      <w:r w:rsidRPr="002E4EE5">
        <w:t>исключаются из области применения настоящих Правил.</w:t>
      </w:r>
    </w:p>
    <w:p w14:paraId="19E538E2" w14:textId="7D95F5B3" w:rsidR="00091F47" w:rsidRPr="00BE518E" w:rsidRDefault="00091F47" w:rsidP="00BE518E">
      <w:pPr>
        <w:tabs>
          <w:tab w:val="right" w:pos="850"/>
          <w:tab w:val="left" w:pos="1134"/>
          <w:tab w:val="left" w:pos="1559"/>
          <w:tab w:val="left" w:pos="1984"/>
          <w:tab w:val="left" w:leader="dot" w:pos="8929"/>
          <w:tab w:val="right" w:pos="9638"/>
        </w:tabs>
        <w:rPr>
          <w:b/>
          <w:sz w:val="4"/>
          <w:szCs w:val="4"/>
          <w:lang w:val="ru-RU"/>
        </w:rPr>
      </w:pPr>
    </w:p>
    <w:p w14:paraId="72D2AEFD" w14:textId="77777777" w:rsidR="00CF7A93" w:rsidRPr="009B4DFB" w:rsidRDefault="00544872" w:rsidP="004634F7">
      <w:pPr>
        <w:tabs>
          <w:tab w:val="left" w:pos="1134"/>
        </w:tabs>
        <w:suppressAutoHyphens w:val="0"/>
        <w:spacing w:line="240" w:lineRule="auto"/>
        <w:ind w:right="1134"/>
        <w:jc w:val="both"/>
        <w:rPr>
          <w:b/>
          <w:i/>
          <w:color w:val="FF0000"/>
          <w:sz w:val="4"/>
          <w:szCs w:val="4"/>
          <w:lang w:val="ru-RU"/>
        </w:rPr>
      </w:pPr>
      <w:r w:rsidRPr="009B4DFB">
        <w:rPr>
          <w:b/>
          <w:i/>
          <w:color w:val="FF0000"/>
          <w:lang w:val="ru-RU"/>
        </w:rPr>
        <w:tab/>
      </w:r>
    </w:p>
    <w:p w14:paraId="38DF43F8" w14:textId="60A29AF1" w:rsidR="00615B8A" w:rsidRDefault="00930083" w:rsidP="00615B8A">
      <w:pPr>
        <w:tabs>
          <w:tab w:val="left" w:pos="1134"/>
        </w:tabs>
        <w:suppressAutoHyphens w:val="0"/>
        <w:spacing w:before="120" w:after="120" w:line="240" w:lineRule="auto"/>
        <w:ind w:right="1134"/>
        <w:jc w:val="both"/>
        <w:rPr>
          <w:i/>
          <w:lang w:val="ru-RU"/>
        </w:rPr>
      </w:pPr>
      <w:r w:rsidRPr="009B4DFB">
        <w:rPr>
          <w:b/>
          <w:i/>
          <w:color w:val="FF0000"/>
          <w:lang w:val="ru-RU"/>
        </w:rPr>
        <w:tab/>
      </w:r>
      <w:bookmarkStart w:id="0" w:name="_Toc387935149"/>
      <w:r w:rsidR="00615B8A" w:rsidRPr="00615B8A">
        <w:rPr>
          <w:i/>
          <w:lang w:val="ru-RU"/>
        </w:rPr>
        <w:t xml:space="preserve">Часть </w:t>
      </w:r>
      <w:proofErr w:type="spellStart"/>
      <w:r w:rsidR="002D6010" w:rsidRPr="00615B8A">
        <w:rPr>
          <w:i/>
          <w:lang w:val="en-US"/>
        </w:rPr>
        <w:t>Ia</w:t>
      </w:r>
      <w:proofErr w:type="spellEnd"/>
      <w:r w:rsidR="002D6010" w:rsidRPr="00615B8A">
        <w:rPr>
          <w:i/>
          <w:lang w:val="ru-RU"/>
        </w:rPr>
        <w:t xml:space="preserve">, </w:t>
      </w:r>
      <w:r w:rsidR="00615B8A" w:rsidRPr="00615B8A">
        <w:rPr>
          <w:i/>
          <w:lang w:val="ru-RU"/>
        </w:rPr>
        <w:t xml:space="preserve">пункт </w:t>
      </w:r>
      <w:r w:rsidR="002D6010" w:rsidRPr="00615B8A">
        <w:rPr>
          <w:i/>
          <w:lang w:val="ru-RU"/>
        </w:rPr>
        <w:t xml:space="preserve">7.3.11 </w:t>
      </w:r>
      <w:r w:rsidR="00615B8A" w:rsidRPr="00D51B11">
        <w:rPr>
          <w:i/>
          <w:lang w:val="ru-RU"/>
        </w:rPr>
        <w:t>изменить следующим образом:</w:t>
      </w:r>
    </w:p>
    <w:p w14:paraId="1F789FB4" w14:textId="6CE14AD3" w:rsidR="001D40B8" w:rsidRPr="002E4EE5" w:rsidRDefault="00091F47" w:rsidP="001D40B8">
      <w:pPr>
        <w:pStyle w:val="SingleTxtGR"/>
        <w:tabs>
          <w:tab w:val="clear" w:pos="1701"/>
        </w:tabs>
        <w:ind w:left="2268" w:hanging="1134"/>
        <w:rPr>
          <w:bCs/>
        </w:rPr>
      </w:pPr>
      <w:r w:rsidRPr="00053F3D">
        <w:t>7.3.11.</w:t>
      </w:r>
      <w:r w:rsidRPr="00053F3D">
        <w:tab/>
      </w:r>
      <w:r w:rsidR="001D40B8" w:rsidRPr="002E4EE5">
        <w:rPr>
          <w:bCs/>
        </w:rPr>
        <w:t xml:space="preserve">Процедурам испытания по приложению </w:t>
      </w:r>
      <w:r w:rsidR="001D40B8" w:rsidRPr="001D40B8">
        <w:rPr>
          <w:strike/>
        </w:rPr>
        <w:t xml:space="preserve"> 8</w:t>
      </w:r>
      <w:r w:rsidR="001D40B8" w:rsidRPr="001D40B8">
        <w:t xml:space="preserve"> </w:t>
      </w:r>
      <w:r w:rsidR="001D40B8" w:rsidRPr="001D40B8">
        <w:rPr>
          <w:b/>
        </w:rPr>
        <w:t>10</w:t>
      </w:r>
      <w:r w:rsidR="001D40B8" w:rsidRPr="001D40B8">
        <w:t xml:space="preserve"> </w:t>
      </w:r>
      <w:r w:rsidR="001D40B8" w:rsidRPr="002E4EE5">
        <w:rPr>
          <w:bCs/>
        </w:rPr>
        <w:t>подвергают либо блок КВЭС, включая функцию постобработки, либо непосредственно приемник ГНСС как составной элемент КВЭС.</w:t>
      </w:r>
    </w:p>
    <w:p w14:paraId="33703AD5" w14:textId="77777777" w:rsidR="001D40B8" w:rsidRDefault="001D40B8" w:rsidP="00091F47">
      <w:pPr>
        <w:pStyle w:val="ListParagraph"/>
        <w:tabs>
          <w:tab w:val="left" w:pos="2268"/>
        </w:tabs>
        <w:spacing w:before="120" w:after="120" w:line="240" w:lineRule="auto"/>
        <w:ind w:left="2268" w:right="1134" w:hanging="1134"/>
        <w:contextualSpacing w:val="0"/>
        <w:jc w:val="both"/>
        <w:rPr>
          <w:lang w:val="ru-RU"/>
        </w:rPr>
      </w:pPr>
    </w:p>
    <w:p w14:paraId="2CD8948F" w14:textId="3B21B899" w:rsidR="00405D05" w:rsidRPr="00C0698D" w:rsidRDefault="001D40B8" w:rsidP="00405D05">
      <w:pPr>
        <w:pStyle w:val="ListParagraph"/>
        <w:tabs>
          <w:tab w:val="left" w:pos="2268"/>
        </w:tabs>
        <w:spacing w:before="120" w:after="120" w:line="240" w:lineRule="auto"/>
        <w:ind w:left="2268" w:right="1134" w:hanging="1134"/>
        <w:contextualSpacing w:val="0"/>
        <w:jc w:val="both"/>
        <w:rPr>
          <w:i/>
          <w:lang w:val="ru-RU"/>
        </w:rPr>
      </w:pPr>
      <w:bookmarkStart w:id="1" w:name="_Toc456777141"/>
      <w:bookmarkEnd w:id="0"/>
      <w:r w:rsidRPr="00615B8A">
        <w:rPr>
          <w:i/>
          <w:lang w:val="ru-RU"/>
        </w:rPr>
        <w:t xml:space="preserve">Часть </w:t>
      </w:r>
      <w:proofErr w:type="spellStart"/>
      <w:r w:rsidRPr="00615B8A">
        <w:rPr>
          <w:i/>
          <w:lang w:val="en-US"/>
        </w:rPr>
        <w:t>I</w:t>
      </w:r>
      <w:r>
        <w:rPr>
          <w:i/>
          <w:lang w:val="en-US"/>
        </w:rPr>
        <w:t>b</w:t>
      </w:r>
      <w:proofErr w:type="spellEnd"/>
      <w:r w:rsidRPr="00615B8A">
        <w:rPr>
          <w:i/>
          <w:lang w:val="ru-RU"/>
        </w:rPr>
        <w:t xml:space="preserve">, пункт </w:t>
      </w:r>
      <w:r w:rsidRPr="001D40B8">
        <w:rPr>
          <w:i/>
          <w:lang w:val="ru-RU"/>
        </w:rPr>
        <w:t>1</w:t>
      </w:r>
      <w:r w:rsidR="00C0698D">
        <w:rPr>
          <w:i/>
          <w:lang w:val="ru-RU"/>
        </w:rPr>
        <w:t>6</w:t>
      </w:r>
      <w:r>
        <w:rPr>
          <w:i/>
          <w:lang w:val="ru-RU"/>
        </w:rPr>
        <w:t>.</w:t>
      </w:r>
      <w:r w:rsidR="00C0698D">
        <w:rPr>
          <w:i/>
          <w:lang w:val="ru-RU"/>
        </w:rPr>
        <w:t>1</w:t>
      </w:r>
      <w:r w:rsidRPr="00615B8A">
        <w:rPr>
          <w:i/>
          <w:lang w:val="ru-RU"/>
        </w:rPr>
        <w:t xml:space="preserve"> </w:t>
      </w:r>
      <w:r w:rsidRPr="00D51B11">
        <w:rPr>
          <w:i/>
          <w:lang w:val="ru-RU"/>
        </w:rPr>
        <w:t>изменить следующим образом:</w:t>
      </w:r>
    </w:p>
    <w:p w14:paraId="73C9CD98" w14:textId="4C59F801" w:rsidR="00C0698D" w:rsidRPr="002E4EE5" w:rsidRDefault="00C0698D" w:rsidP="00C0698D">
      <w:pPr>
        <w:pStyle w:val="SingleTxtGR"/>
        <w:tabs>
          <w:tab w:val="clear" w:pos="1701"/>
        </w:tabs>
        <w:ind w:left="2268" w:hanging="1134"/>
        <w:rPr>
          <w:bCs/>
        </w:rPr>
      </w:pPr>
      <w:r w:rsidRPr="002E4EE5">
        <w:t>16.1</w:t>
      </w:r>
      <w:r>
        <w:tab/>
        <w:t>…</w:t>
      </w:r>
    </w:p>
    <w:p w14:paraId="1FE13230" w14:textId="328C223E" w:rsidR="00C0698D" w:rsidRPr="002E4EE5" w:rsidRDefault="00C0698D" w:rsidP="00C0698D">
      <w:pPr>
        <w:pStyle w:val="SingleTxtGR"/>
        <w:keepLines/>
        <w:tabs>
          <w:tab w:val="clear" w:pos="1701"/>
        </w:tabs>
        <w:ind w:left="2268" w:hanging="1134"/>
        <w:rPr>
          <w:bCs/>
        </w:rPr>
      </w:pPr>
      <w:r>
        <w:rPr>
          <w:bCs/>
        </w:rPr>
        <w:tab/>
      </w:r>
      <w:r w:rsidRPr="002E4EE5">
        <w:rPr>
          <w:bCs/>
        </w:rPr>
        <w:t>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последующим официальным утверждением в отношении установки УВЭС на</w:t>
      </w:r>
      <w:r>
        <w:rPr>
          <w:bCs/>
        </w:rPr>
        <w:t xml:space="preserve"> </w:t>
      </w:r>
      <w:r w:rsidRPr="00C0698D">
        <w:rPr>
          <w:b/>
          <w:bCs/>
        </w:rPr>
        <w:t>транспортном средстве</w:t>
      </w:r>
      <w:r w:rsidRPr="002E4EE5">
        <w:rPr>
          <w:bCs/>
        </w:rPr>
        <w:t xml:space="preserve"> </w:t>
      </w:r>
      <w:r w:rsidRPr="00C0698D">
        <w:rPr>
          <w:bCs/>
          <w:strike/>
        </w:rPr>
        <w:t xml:space="preserve">основании части </w:t>
      </w:r>
      <w:r w:rsidRPr="00C0698D">
        <w:rPr>
          <w:bCs/>
          <w:strike/>
          <w:lang w:val="en-US"/>
        </w:rPr>
        <w:t>II</w:t>
      </w:r>
      <w:r w:rsidRPr="002E4EE5">
        <w:rPr>
          <w:bCs/>
        </w:rPr>
        <w:t>.</w:t>
      </w:r>
    </w:p>
    <w:p w14:paraId="4FC239E4" w14:textId="34603ED1" w:rsidR="00C0698D" w:rsidRDefault="00C0698D" w:rsidP="00405D05">
      <w:pPr>
        <w:pStyle w:val="ListParagraph"/>
        <w:tabs>
          <w:tab w:val="left" w:pos="2268"/>
        </w:tabs>
        <w:spacing w:before="120" w:after="120" w:line="240" w:lineRule="auto"/>
        <w:ind w:left="2268" w:right="1134" w:hanging="1134"/>
        <w:contextualSpacing w:val="0"/>
        <w:jc w:val="both"/>
        <w:rPr>
          <w:bCs/>
          <w:lang w:val="ru-RU"/>
        </w:rPr>
      </w:pPr>
    </w:p>
    <w:p w14:paraId="7CFC7085" w14:textId="77777777" w:rsidR="00C0698D" w:rsidRPr="00C0698D" w:rsidRDefault="00C0698D" w:rsidP="00405D05">
      <w:pPr>
        <w:pStyle w:val="ListParagraph"/>
        <w:tabs>
          <w:tab w:val="left" w:pos="2268"/>
        </w:tabs>
        <w:spacing w:before="120" w:after="120" w:line="240" w:lineRule="auto"/>
        <w:ind w:left="2268" w:right="1134" w:hanging="1134"/>
        <w:contextualSpacing w:val="0"/>
        <w:jc w:val="both"/>
        <w:rPr>
          <w:i/>
          <w:lang w:val="ru-RU"/>
        </w:rPr>
      </w:pPr>
    </w:p>
    <w:p w14:paraId="4B1B7B97" w14:textId="39DEBBE7" w:rsidR="00C0698D" w:rsidRPr="00C0698D" w:rsidRDefault="00C0698D" w:rsidP="002F095B">
      <w:pPr>
        <w:pStyle w:val="SingleTxtGR"/>
        <w:tabs>
          <w:tab w:val="clear" w:pos="1701"/>
        </w:tabs>
        <w:ind w:left="2268" w:hanging="1134"/>
      </w:pPr>
      <w:r>
        <w:rPr>
          <w:i/>
        </w:rPr>
        <w:t>П</w:t>
      </w:r>
      <w:r w:rsidRPr="00615B8A">
        <w:rPr>
          <w:i/>
        </w:rPr>
        <w:t xml:space="preserve">ункт </w:t>
      </w:r>
      <w:r w:rsidRPr="001D40B8">
        <w:rPr>
          <w:i/>
        </w:rPr>
        <w:t>1</w:t>
      </w:r>
      <w:r>
        <w:rPr>
          <w:i/>
        </w:rPr>
        <w:t>7.</w:t>
      </w:r>
      <w:r w:rsidRPr="002F095B">
        <w:rPr>
          <w:i/>
        </w:rPr>
        <w:t>3</w:t>
      </w:r>
      <w:r w:rsidRPr="00615B8A">
        <w:rPr>
          <w:i/>
        </w:rPr>
        <w:t xml:space="preserve"> </w:t>
      </w:r>
      <w:r w:rsidRPr="00D51B11">
        <w:rPr>
          <w:i/>
        </w:rPr>
        <w:t>изменить следующим образом:</w:t>
      </w:r>
    </w:p>
    <w:p w14:paraId="7D64ECA2" w14:textId="77777777" w:rsidR="002F095B" w:rsidRPr="002E4EE5" w:rsidRDefault="002F095B" w:rsidP="002F095B">
      <w:pPr>
        <w:pStyle w:val="SingleTxtGR"/>
        <w:tabs>
          <w:tab w:val="clear" w:pos="1701"/>
        </w:tabs>
        <w:ind w:left="2268" w:hanging="1134"/>
        <w:rPr>
          <w:b/>
        </w:rPr>
      </w:pPr>
      <w:r w:rsidRPr="002E4EE5">
        <w:t>17.3</w:t>
      </w:r>
      <w:r>
        <w:tab/>
      </w:r>
      <w:r w:rsidRPr="002E4EE5">
        <w:t>Определение местоположения</w:t>
      </w:r>
    </w:p>
    <w:p w14:paraId="23D6EE00" w14:textId="282E4EFF" w:rsidR="002F095B" w:rsidRPr="00053F3D" w:rsidRDefault="002F095B" w:rsidP="002F095B">
      <w:pPr>
        <w:pStyle w:val="SingleTxtGR"/>
        <w:tabs>
          <w:tab w:val="clear" w:pos="1701"/>
        </w:tabs>
        <w:ind w:left="2268" w:hanging="1134"/>
      </w:pPr>
      <w:r>
        <w:tab/>
      </w:r>
      <w:r w:rsidRPr="00053F3D">
        <w:t>…</w:t>
      </w:r>
    </w:p>
    <w:p w14:paraId="07754641" w14:textId="7CDC9CE2" w:rsidR="002F095B" w:rsidRPr="002E4EE5" w:rsidRDefault="002F095B" w:rsidP="002F095B">
      <w:pPr>
        <w:pStyle w:val="SingleTxtGR"/>
        <w:tabs>
          <w:tab w:val="clear" w:pos="1701"/>
        </w:tabs>
        <w:ind w:left="2268" w:hanging="1134"/>
      </w:pPr>
      <w:r>
        <w:tab/>
      </w:r>
      <w:r w:rsidRPr="002E4EE5">
        <w:t xml:space="preserve">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Pr="00911DE2">
        <w:rPr>
          <w:bCs/>
          <w:strike/>
        </w:rPr>
        <w:t>11</w:t>
      </w:r>
      <w:r w:rsidRPr="00911DE2">
        <w:rPr>
          <w:b/>
          <w:bCs/>
        </w:rPr>
        <w:t>12</w:t>
      </w:r>
      <w:r w:rsidRPr="002E4EE5">
        <w:t xml:space="preserve"> карточки сообщения, содержащейся в приложении 2.</w:t>
      </w:r>
    </w:p>
    <w:bookmarkEnd w:id="1"/>
    <w:p w14:paraId="3DF519AF" w14:textId="1146AF2B" w:rsidR="0016506D" w:rsidRPr="002A51D6" w:rsidRDefault="0016506D" w:rsidP="004722BC">
      <w:pPr>
        <w:pStyle w:val="ListParagraph"/>
        <w:tabs>
          <w:tab w:val="left" w:pos="2268"/>
        </w:tabs>
        <w:spacing w:before="120" w:after="120" w:line="240" w:lineRule="auto"/>
        <w:ind w:left="2268" w:right="1134" w:hanging="1134"/>
        <w:contextualSpacing w:val="0"/>
        <w:jc w:val="both"/>
        <w:rPr>
          <w:i/>
          <w:color w:val="FF0000"/>
          <w:lang w:val="ru-RU"/>
        </w:rPr>
      </w:pPr>
    </w:p>
    <w:p w14:paraId="3ECE57AB" w14:textId="10312D67" w:rsidR="00F80EA8" w:rsidRPr="00F80EA8" w:rsidRDefault="00F80EA8" w:rsidP="00F80EA8">
      <w:pPr>
        <w:pStyle w:val="ListParagraph"/>
        <w:tabs>
          <w:tab w:val="left" w:pos="2268"/>
        </w:tabs>
        <w:spacing w:before="120" w:after="120" w:line="240" w:lineRule="auto"/>
        <w:ind w:left="2268" w:right="1134" w:hanging="1134"/>
        <w:contextualSpacing w:val="0"/>
        <w:jc w:val="both"/>
        <w:rPr>
          <w:i/>
          <w:lang w:val="ru-RU"/>
        </w:rPr>
      </w:pPr>
      <w:r>
        <w:rPr>
          <w:i/>
          <w:lang w:val="ru-RU"/>
        </w:rPr>
        <w:t>П</w:t>
      </w:r>
      <w:r w:rsidRPr="00615B8A">
        <w:rPr>
          <w:i/>
          <w:lang w:val="ru-RU"/>
        </w:rPr>
        <w:t xml:space="preserve">ункт </w:t>
      </w:r>
      <w:r w:rsidRPr="001D40B8">
        <w:rPr>
          <w:i/>
          <w:lang w:val="ru-RU"/>
        </w:rPr>
        <w:t>1</w:t>
      </w:r>
      <w:r>
        <w:rPr>
          <w:i/>
          <w:lang w:val="ru-RU"/>
        </w:rPr>
        <w:t>7.5</w:t>
      </w:r>
      <w:r w:rsidRPr="00615B8A">
        <w:rPr>
          <w:i/>
          <w:lang w:val="ru-RU"/>
        </w:rPr>
        <w:t xml:space="preserve"> </w:t>
      </w:r>
      <w:r w:rsidRPr="00D51B11">
        <w:rPr>
          <w:i/>
          <w:lang w:val="ru-RU"/>
        </w:rPr>
        <w:t>изменить следующим образом:</w:t>
      </w:r>
    </w:p>
    <w:p w14:paraId="37EB9FB0" w14:textId="77777777" w:rsidR="00F80EA8" w:rsidRPr="002E4EE5" w:rsidRDefault="00F80EA8" w:rsidP="00F80EA8">
      <w:pPr>
        <w:pStyle w:val="SingleTxtGR"/>
        <w:tabs>
          <w:tab w:val="clear" w:pos="1701"/>
        </w:tabs>
        <w:ind w:left="2268" w:hanging="1134"/>
      </w:pPr>
      <w:r w:rsidRPr="002E4EE5">
        <w:lastRenderedPageBreak/>
        <w:t>17.5</w:t>
      </w:r>
      <w:r>
        <w:tab/>
      </w:r>
      <w:r w:rsidRPr="002E4EE5">
        <w:rPr>
          <w:iCs/>
        </w:rPr>
        <w:t>Информационный и предупреждающий сигналы УВЭС</w:t>
      </w:r>
    </w:p>
    <w:p w14:paraId="655A0132" w14:textId="1A39D4BC" w:rsidR="00F80EA8" w:rsidRPr="002E4EE5" w:rsidRDefault="00F80EA8" w:rsidP="00F80EA8">
      <w:pPr>
        <w:pStyle w:val="SingleTxtGR"/>
        <w:tabs>
          <w:tab w:val="clear" w:pos="1701"/>
        </w:tabs>
        <w:ind w:left="2268" w:hanging="1134"/>
      </w:pPr>
      <w:r>
        <w:tab/>
      </w:r>
      <w:r w:rsidRPr="002E4EE5">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Pr="002E4EE5">
        <w:rPr>
          <w:iCs/>
        </w:rPr>
        <w:t xml:space="preserve">информационных и предупреждающих сигналов УВЭС. </w:t>
      </w:r>
      <w:r w:rsidRPr="002E4EE5">
        <w:t xml:space="preserve">В данном случае применяют положения пунктов 17.5.1–17.5.3. Это указывают в пункте </w:t>
      </w:r>
      <w:r w:rsidR="007040AC" w:rsidRPr="00053F3D">
        <w:rPr>
          <w:strike/>
        </w:rPr>
        <w:t xml:space="preserve">12 </w:t>
      </w:r>
      <w:r w:rsidR="007040AC" w:rsidRPr="00053F3D">
        <w:rPr>
          <w:b/>
        </w:rPr>
        <w:t>13</w:t>
      </w:r>
      <w:r w:rsidRPr="002E4EE5">
        <w:t xml:space="preserve"> карточки сообщения, содержащейся в приложении 2. Если процедурой официального утверждения УВЭС (часть </w:t>
      </w:r>
      <w:proofErr w:type="spellStart"/>
      <w:r w:rsidRPr="002E4EE5">
        <w:t>Ib</w:t>
      </w:r>
      <w:proofErr w:type="spellEnd"/>
      <w:r w:rsidRPr="002E4EE5">
        <w:t xml:space="preserve">) проверка </w:t>
      </w:r>
      <w:r w:rsidRPr="002E4EE5">
        <w:rPr>
          <w:iCs/>
        </w:rPr>
        <w:t xml:space="preserve">информационных и предупреждающих сигналов не предусматривается, то тогда устройство подлежит </w:t>
      </w:r>
      <w:r w:rsidRPr="002E4EE5">
        <w:t>официальному утверждению</w:t>
      </w:r>
      <w:r w:rsidRPr="002E4EE5">
        <w:rPr>
          <w:iCs/>
        </w:rPr>
        <w:t xml:space="preserve"> на основании части </w:t>
      </w:r>
      <w:r w:rsidRPr="002E4EE5">
        <w:rPr>
          <w:lang w:val="en-GB"/>
        </w:rPr>
        <w:t>II</w:t>
      </w:r>
      <w:r w:rsidRPr="002E4EE5">
        <w:t>.</w:t>
      </w:r>
    </w:p>
    <w:p w14:paraId="443ECA81" w14:textId="77777777" w:rsidR="00F80EA8" w:rsidRPr="00F80EA8" w:rsidRDefault="00F80EA8" w:rsidP="004722BC">
      <w:pPr>
        <w:pStyle w:val="ListParagraph"/>
        <w:tabs>
          <w:tab w:val="left" w:pos="2268"/>
        </w:tabs>
        <w:spacing w:before="120" w:after="120" w:line="240" w:lineRule="auto"/>
        <w:ind w:left="2268" w:right="1134" w:hanging="1134"/>
        <w:contextualSpacing w:val="0"/>
        <w:jc w:val="both"/>
        <w:rPr>
          <w:i/>
          <w:lang w:val="ru-RU"/>
        </w:rPr>
      </w:pPr>
    </w:p>
    <w:p w14:paraId="73FA26CC" w14:textId="77777777" w:rsidR="00AF3D37" w:rsidRDefault="00AF3D37" w:rsidP="00FD6ABD">
      <w:pPr>
        <w:tabs>
          <w:tab w:val="left" w:pos="2250"/>
        </w:tabs>
        <w:suppressAutoHyphens w:val="0"/>
        <w:spacing w:after="120" w:line="240" w:lineRule="auto"/>
        <w:ind w:left="2250" w:right="1134" w:firstLine="18"/>
        <w:jc w:val="both"/>
        <w:rPr>
          <w:lang w:val="ru-RU"/>
        </w:rPr>
      </w:pPr>
    </w:p>
    <w:p w14:paraId="49578E5C" w14:textId="4CBD7B96" w:rsidR="00257391" w:rsidRPr="00F80EA8" w:rsidRDefault="00257391" w:rsidP="00257391">
      <w:pPr>
        <w:pStyle w:val="ListParagraph"/>
        <w:tabs>
          <w:tab w:val="left" w:pos="2268"/>
        </w:tabs>
        <w:spacing w:before="120" w:after="120" w:line="240" w:lineRule="auto"/>
        <w:ind w:left="2268" w:right="1134" w:hanging="1134"/>
        <w:contextualSpacing w:val="0"/>
        <w:jc w:val="both"/>
        <w:rPr>
          <w:i/>
          <w:lang w:val="ru-RU"/>
        </w:rPr>
      </w:pPr>
      <w:r>
        <w:rPr>
          <w:i/>
          <w:lang w:val="ru-RU"/>
        </w:rPr>
        <w:t>П</w:t>
      </w:r>
      <w:r w:rsidRPr="00615B8A">
        <w:rPr>
          <w:i/>
          <w:lang w:val="ru-RU"/>
        </w:rPr>
        <w:t xml:space="preserve">ункт </w:t>
      </w:r>
      <w:r w:rsidRPr="001D40B8">
        <w:rPr>
          <w:i/>
          <w:lang w:val="ru-RU"/>
        </w:rPr>
        <w:t>1</w:t>
      </w:r>
      <w:r>
        <w:rPr>
          <w:i/>
          <w:lang w:val="ru-RU"/>
        </w:rPr>
        <w:t>7.6.4</w:t>
      </w:r>
      <w:r w:rsidRPr="00615B8A">
        <w:rPr>
          <w:i/>
          <w:lang w:val="ru-RU"/>
        </w:rPr>
        <w:t xml:space="preserve"> </w:t>
      </w:r>
      <w:r w:rsidRPr="00D51B11">
        <w:rPr>
          <w:i/>
          <w:lang w:val="ru-RU"/>
        </w:rPr>
        <w:t>изменить следующим образом:</w:t>
      </w:r>
    </w:p>
    <w:p w14:paraId="1EE1C6B8" w14:textId="7FA89B49" w:rsidR="00257391" w:rsidRPr="002E4EE5" w:rsidRDefault="00257391" w:rsidP="00257391">
      <w:pPr>
        <w:pStyle w:val="SingleTxtGR"/>
        <w:tabs>
          <w:tab w:val="clear" w:pos="1701"/>
        </w:tabs>
        <w:ind w:left="2268" w:hanging="1134"/>
      </w:pPr>
      <w:r w:rsidRPr="002E4EE5">
        <w:t>17.6.4</w:t>
      </w:r>
      <w:r>
        <w:tab/>
      </w:r>
      <w:r w:rsidRPr="002E4EE5">
        <w:t xml:space="preserve">Если УВЭС оснащено резервным источником питания, то по просьбе подателя заявки проводят проверку на предмет способности УВЭС работать автономно: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указывают в пункте </w:t>
      </w:r>
      <w:r w:rsidRPr="00053F3D">
        <w:rPr>
          <w:strike/>
        </w:rPr>
        <w:t>10</w:t>
      </w:r>
      <w:r w:rsidRPr="00053F3D">
        <w:rPr>
          <w:b/>
        </w:rPr>
        <w:t>11</w:t>
      </w:r>
      <w:r w:rsidRPr="002E4EE5">
        <w:t xml:space="preserve"> карточки сообщения, содержащейся в приложении 2.</w:t>
      </w:r>
    </w:p>
    <w:p w14:paraId="1037AEED" w14:textId="77777777" w:rsidR="002F2F3C" w:rsidRDefault="00091F47" w:rsidP="002F2F3C">
      <w:pPr>
        <w:keepNext/>
        <w:keepLines/>
        <w:tabs>
          <w:tab w:val="left" w:pos="1134"/>
        </w:tabs>
        <w:suppressAutoHyphens w:val="0"/>
        <w:spacing w:line="160" w:lineRule="exact"/>
        <w:ind w:left="2268" w:right="1134" w:hanging="2268"/>
        <w:rPr>
          <w:b/>
          <w:sz w:val="28"/>
          <w:lang w:val="ru-RU"/>
        </w:rPr>
      </w:pPr>
      <w:r w:rsidRPr="00053F3D">
        <w:rPr>
          <w:b/>
          <w:sz w:val="28"/>
          <w:lang w:val="ru-RU"/>
        </w:rPr>
        <w:tab/>
      </w:r>
    </w:p>
    <w:p w14:paraId="448C6F57" w14:textId="3F26FB69" w:rsidR="002F2F3C" w:rsidRPr="00F80EA8" w:rsidRDefault="002F2F3C" w:rsidP="002F2F3C">
      <w:pPr>
        <w:pStyle w:val="ListParagraph"/>
        <w:tabs>
          <w:tab w:val="left" w:pos="2268"/>
        </w:tabs>
        <w:spacing w:before="120" w:after="120" w:line="240" w:lineRule="auto"/>
        <w:ind w:left="2268" w:right="1134" w:hanging="1134"/>
        <w:contextualSpacing w:val="0"/>
        <w:jc w:val="both"/>
        <w:rPr>
          <w:i/>
          <w:lang w:val="ru-RU"/>
        </w:rPr>
      </w:pPr>
      <w:r w:rsidRPr="006B5E53">
        <w:rPr>
          <w:i/>
          <w:lang w:val="ru-RU"/>
        </w:rPr>
        <w:t xml:space="preserve">Часть </w:t>
      </w:r>
      <w:r w:rsidRPr="006B5E53">
        <w:rPr>
          <w:i/>
          <w:lang w:val="en-US"/>
        </w:rPr>
        <w:t>II</w:t>
      </w:r>
      <w:r w:rsidRPr="006B5E53">
        <w:rPr>
          <w:i/>
          <w:lang w:val="ru-RU"/>
        </w:rPr>
        <w:t>, пункт 26.2.1.2.2</w:t>
      </w:r>
      <w:r w:rsidRPr="002F2F3C">
        <w:rPr>
          <w:i/>
          <w:lang w:val="ru-RU"/>
        </w:rPr>
        <w:t xml:space="preserve"> </w:t>
      </w:r>
      <w:r w:rsidRPr="00D51B11">
        <w:rPr>
          <w:i/>
          <w:lang w:val="ru-RU"/>
        </w:rPr>
        <w:t>изменить следующим образом:</w:t>
      </w:r>
    </w:p>
    <w:p w14:paraId="020A616A" w14:textId="77777777" w:rsidR="00C46CBE" w:rsidRPr="002E4EE5" w:rsidRDefault="00C46CBE" w:rsidP="00C46CBE">
      <w:pPr>
        <w:pStyle w:val="SingleTxtGR"/>
        <w:tabs>
          <w:tab w:val="clear" w:pos="1701"/>
        </w:tabs>
        <w:ind w:left="2268" w:hanging="1134"/>
      </w:pPr>
      <w:r w:rsidRPr="002E4EE5">
        <w:t>26.2.1.2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14:paraId="17FFC750" w14:textId="77777777" w:rsidR="00C46CBE" w:rsidRDefault="00C46CBE" w:rsidP="00C46CBE">
      <w:pPr>
        <w:pStyle w:val="SingleTxtGR"/>
        <w:tabs>
          <w:tab w:val="clear" w:pos="1701"/>
        </w:tabs>
        <w:ind w:left="2268" w:hanging="1134"/>
      </w:pPr>
      <w:r>
        <w:t>…</w:t>
      </w:r>
    </w:p>
    <w:p w14:paraId="56F42E05" w14:textId="4A8DFE3C" w:rsidR="00C46CBE" w:rsidRPr="002E4EE5" w:rsidRDefault="00C46CBE" w:rsidP="00C46CBE">
      <w:pPr>
        <w:pStyle w:val="SingleTxtGR"/>
        <w:tabs>
          <w:tab w:val="clear" w:pos="1701"/>
        </w:tabs>
        <w:ind w:left="2268" w:hanging="1134"/>
      </w:pPr>
      <w:r w:rsidRPr="002E4EE5">
        <w:t>26.2.1.2.2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C46CBE">
        <w:rPr>
          <w:strike/>
        </w:rPr>
        <w:t>или Правил № 95 ООН</w:t>
      </w:r>
      <w:r w:rsidRPr="002E4EE5">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14:paraId="70965B31" w14:textId="77777777" w:rsidR="00C46CBE" w:rsidRPr="002E4EE5" w:rsidRDefault="00C46CBE" w:rsidP="00C46CBE">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53355DC9" w14:textId="77777777" w:rsidR="00C46CBE" w:rsidRPr="002E4EE5" w:rsidRDefault="00C46CBE" w:rsidP="00C46CBE">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5D71E338" w14:textId="77777777" w:rsidR="00C95FE3" w:rsidRDefault="00C95FE3" w:rsidP="00C46CBE">
      <w:pPr>
        <w:pStyle w:val="ListParagraph"/>
        <w:tabs>
          <w:tab w:val="left" w:pos="2268"/>
        </w:tabs>
        <w:spacing w:before="120" w:after="120" w:line="240" w:lineRule="auto"/>
        <w:ind w:left="2268" w:right="1134" w:hanging="1134"/>
        <w:contextualSpacing w:val="0"/>
        <w:jc w:val="both"/>
        <w:rPr>
          <w:i/>
          <w:lang w:val="ru-RU"/>
        </w:rPr>
      </w:pPr>
    </w:p>
    <w:p w14:paraId="45B09E27" w14:textId="212F6A97" w:rsidR="00C46CBE" w:rsidRPr="00F80EA8" w:rsidRDefault="00C46CBE" w:rsidP="00C46CBE">
      <w:pPr>
        <w:pStyle w:val="ListParagraph"/>
        <w:tabs>
          <w:tab w:val="left" w:pos="2268"/>
        </w:tabs>
        <w:spacing w:before="120" w:after="120" w:line="240" w:lineRule="auto"/>
        <w:ind w:left="2268" w:right="1134" w:hanging="1134"/>
        <w:contextualSpacing w:val="0"/>
        <w:jc w:val="both"/>
        <w:rPr>
          <w:i/>
          <w:lang w:val="ru-RU"/>
        </w:rPr>
      </w:pPr>
      <w:r w:rsidRPr="00D802F0">
        <w:rPr>
          <w:i/>
          <w:lang w:val="ru-RU"/>
        </w:rPr>
        <w:t>Пункт 26.2.1.3.2 изменить следующим образом:</w:t>
      </w:r>
    </w:p>
    <w:p w14:paraId="3DA7B848" w14:textId="77777777" w:rsidR="00C46CBE" w:rsidRPr="002E4EE5" w:rsidRDefault="00C46CBE" w:rsidP="00C46CBE">
      <w:pPr>
        <w:pStyle w:val="SingleTxtGR"/>
        <w:tabs>
          <w:tab w:val="clear" w:pos="1701"/>
        </w:tabs>
        <w:ind w:left="2268" w:hanging="1134"/>
      </w:pPr>
      <w:r w:rsidRPr="002E4EE5">
        <w:t>26.2.1.3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14:paraId="66557E9E" w14:textId="31D6223D" w:rsidR="00C46CBE" w:rsidRPr="002E4EE5" w:rsidRDefault="00C95FE3" w:rsidP="00C46CBE">
      <w:pPr>
        <w:pStyle w:val="SingleTxtGR"/>
        <w:tabs>
          <w:tab w:val="clear" w:pos="1701"/>
        </w:tabs>
        <w:ind w:left="2268" w:hanging="1134"/>
      </w:pPr>
      <w:r>
        <w:t>…</w:t>
      </w:r>
    </w:p>
    <w:p w14:paraId="78E752C7" w14:textId="77777777" w:rsidR="00C46CBE" w:rsidRPr="002E4EE5" w:rsidRDefault="00C46CBE" w:rsidP="00C46CBE">
      <w:pPr>
        <w:pStyle w:val="SingleTxtGR"/>
        <w:tabs>
          <w:tab w:val="clear" w:pos="1701"/>
        </w:tabs>
        <w:ind w:left="2268" w:hanging="1134"/>
      </w:pPr>
      <w:r w:rsidRPr="002E4EE5">
        <w:t>26.2.1.3.2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497070">
        <w:rPr>
          <w:strike/>
        </w:rPr>
        <w:t>Правил № 94 ООН или</w:t>
      </w:r>
      <w:r w:rsidRPr="002E4EE5">
        <w:t xml:space="preserve"> Правил № 95 ООН до вступления в силу настоящих Правил, с представлением имеющейся документации (протокол, фотографии, данные моделирования или </w:t>
      </w:r>
      <w:r w:rsidRPr="002E4EE5">
        <w:lastRenderedPageBreak/>
        <w:t>эквивалентные сведения), подтверждающей, что при испытании на удар в соответствии с Правилами № 95 ООН (боковое столкновение):</w:t>
      </w:r>
    </w:p>
    <w:p w14:paraId="5D5FA543" w14:textId="77777777" w:rsidR="00C46CBE" w:rsidRPr="002E4EE5" w:rsidRDefault="00C46CBE" w:rsidP="00C46CBE">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3953D6AE" w14:textId="77777777" w:rsidR="00C46CBE" w:rsidRPr="002E4EE5" w:rsidRDefault="00C46CBE" w:rsidP="00C46CBE">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28A84550" w14:textId="77777777" w:rsidR="00C4454D" w:rsidRDefault="00C4454D" w:rsidP="009D2C5B">
      <w:pPr>
        <w:tabs>
          <w:tab w:val="left" w:pos="2250"/>
        </w:tabs>
        <w:spacing w:before="120" w:after="120" w:line="240" w:lineRule="auto"/>
        <w:ind w:left="2268" w:right="1134" w:hanging="1134"/>
        <w:jc w:val="both"/>
        <w:rPr>
          <w:b/>
          <w:i/>
          <w:color w:val="FF0000"/>
          <w:lang w:val="ru-RU"/>
        </w:rPr>
      </w:pPr>
    </w:p>
    <w:p w14:paraId="5A77E833" w14:textId="6D69F0C3" w:rsidR="00C4454D" w:rsidRPr="00C4454D" w:rsidRDefault="00C4454D" w:rsidP="00C4454D">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Пункт 26.2.2.1.2 изменить следующим образом:</w:t>
      </w:r>
    </w:p>
    <w:p w14:paraId="03B759F2" w14:textId="77777777" w:rsidR="00C4454D" w:rsidRPr="002E4EE5" w:rsidRDefault="00C4454D" w:rsidP="00C4454D">
      <w:pPr>
        <w:pStyle w:val="SingleTxtGR"/>
        <w:tabs>
          <w:tab w:val="clear" w:pos="1701"/>
        </w:tabs>
        <w:ind w:left="2268" w:hanging="1134"/>
      </w:pPr>
      <w:r w:rsidRPr="002E4EE5">
        <w:t>26.2.2.1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14:paraId="2C025AB4" w14:textId="626551EB" w:rsidR="00C4454D" w:rsidRPr="002E4EE5" w:rsidRDefault="00C4454D" w:rsidP="00C4454D">
      <w:pPr>
        <w:pStyle w:val="SingleTxtGR"/>
        <w:tabs>
          <w:tab w:val="clear" w:pos="1701"/>
        </w:tabs>
        <w:ind w:left="2268" w:hanging="1134"/>
      </w:pPr>
      <w:r>
        <w:t>…</w:t>
      </w:r>
    </w:p>
    <w:p w14:paraId="715E714C" w14:textId="77777777" w:rsidR="00C4454D" w:rsidRPr="002E4EE5" w:rsidRDefault="00C4454D" w:rsidP="00C4454D">
      <w:pPr>
        <w:pStyle w:val="SingleTxtGR"/>
        <w:tabs>
          <w:tab w:val="clear" w:pos="1701"/>
        </w:tabs>
        <w:ind w:left="2268" w:hanging="1134"/>
      </w:pPr>
      <w:r w:rsidRPr="002E4EE5">
        <w:t>26.2.2.1.2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C4454D">
        <w:rPr>
          <w:strike/>
        </w:rPr>
        <w:t>Правил № 94 ООН или</w:t>
      </w:r>
      <w:r w:rsidRPr="002E4EE5">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ООН (боковое столкновение):</w:t>
      </w:r>
    </w:p>
    <w:p w14:paraId="4F2D5C81" w14:textId="77777777" w:rsidR="00C4454D" w:rsidRPr="002E4EE5" w:rsidRDefault="00C4454D" w:rsidP="00C4454D">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1A42B049" w14:textId="77777777" w:rsidR="00C4454D" w:rsidRPr="002E4EE5" w:rsidRDefault="00C4454D" w:rsidP="00C4454D">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2AF13F89" w14:textId="569ABB20" w:rsidR="009D2C5B" w:rsidRPr="00C4454D" w:rsidRDefault="009D2C5B" w:rsidP="009D2C5B">
      <w:pPr>
        <w:tabs>
          <w:tab w:val="left" w:pos="2250"/>
        </w:tabs>
        <w:spacing w:before="120" w:after="120" w:line="240" w:lineRule="auto"/>
        <w:ind w:left="2268" w:right="1134" w:hanging="1134"/>
        <w:jc w:val="both"/>
        <w:rPr>
          <w:lang w:val="ru-RU"/>
        </w:rPr>
      </w:pPr>
      <w:r w:rsidRPr="00C4454D">
        <w:rPr>
          <w:b/>
          <w:i/>
          <w:color w:val="FF0000"/>
          <w:lang w:val="ru-RU"/>
        </w:rPr>
        <w:tab/>
      </w:r>
      <w:r w:rsidRPr="002A51D6">
        <w:rPr>
          <w:i/>
          <w:color w:val="FF0000"/>
          <w:lang w:val="ru-RU"/>
        </w:rPr>
        <w:t xml:space="preserve"> </w:t>
      </w:r>
    </w:p>
    <w:p w14:paraId="604172B8" w14:textId="6FA6787D" w:rsidR="008F402D" w:rsidRPr="00C4454D" w:rsidRDefault="008F402D" w:rsidP="008F402D">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Пункт 26.</w:t>
      </w:r>
      <w:r>
        <w:rPr>
          <w:i/>
          <w:lang w:val="ru-RU"/>
        </w:rPr>
        <w:t>3</w:t>
      </w:r>
      <w:r w:rsidRPr="00C4454D">
        <w:rPr>
          <w:i/>
          <w:lang w:val="ru-RU"/>
        </w:rPr>
        <w:t xml:space="preserve"> изменить следующим образом:</w:t>
      </w:r>
    </w:p>
    <w:p w14:paraId="31194CAB" w14:textId="77777777" w:rsidR="008F402D" w:rsidRPr="002E4EE5" w:rsidRDefault="008F402D" w:rsidP="008F402D">
      <w:pPr>
        <w:pStyle w:val="SingleTxtGR"/>
        <w:tabs>
          <w:tab w:val="clear" w:pos="1701"/>
        </w:tabs>
        <w:ind w:left="2268" w:hanging="1134"/>
      </w:pPr>
      <w:r w:rsidRPr="002E4EE5">
        <w:t>26.3</w:t>
      </w:r>
      <w:r>
        <w:tab/>
      </w:r>
      <w:r w:rsidRPr="002E4EE5">
        <w:t>Определение местоположения</w:t>
      </w:r>
    </w:p>
    <w:p w14:paraId="329F040E" w14:textId="5A7F7B1B" w:rsidR="008F402D" w:rsidRPr="002E4EE5" w:rsidRDefault="008F402D" w:rsidP="008F402D">
      <w:pPr>
        <w:pStyle w:val="SingleTxtGR"/>
        <w:tabs>
          <w:tab w:val="clear" w:pos="1701"/>
        </w:tabs>
        <w:ind w:left="2268" w:hanging="1134"/>
        <w:rPr>
          <w:bCs/>
        </w:rPr>
      </w:pPr>
      <w:r>
        <w:tab/>
        <w:t>…</w:t>
      </w:r>
    </w:p>
    <w:p w14:paraId="196B4EF3" w14:textId="2C6A9A75" w:rsidR="008F402D" w:rsidRDefault="008F402D" w:rsidP="008F402D">
      <w:pPr>
        <w:pStyle w:val="SingleTxtGR"/>
        <w:tabs>
          <w:tab w:val="clear" w:pos="1701"/>
        </w:tabs>
        <w:ind w:left="2268" w:hanging="1134"/>
        <w:rPr>
          <w:bCs/>
        </w:rPr>
      </w:pPr>
      <w:r>
        <w:rPr>
          <w:bCs/>
        </w:rPr>
        <w:tab/>
      </w:r>
      <w:r w:rsidRPr="002E4EE5">
        <w:rPr>
          <w:bCs/>
        </w:rPr>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Pr="00570F77">
        <w:rPr>
          <w:strike/>
        </w:rPr>
        <w:t xml:space="preserve">11 </w:t>
      </w:r>
      <w:r w:rsidRPr="00570F77">
        <w:rPr>
          <w:b/>
        </w:rPr>
        <w:t>10</w:t>
      </w:r>
      <w:r w:rsidRPr="002E4EE5">
        <w:rPr>
          <w:bCs/>
        </w:rPr>
        <w:t xml:space="preserve"> карточки сообщения, содержащейся в приложении 3.</w:t>
      </w:r>
    </w:p>
    <w:p w14:paraId="79314984" w14:textId="72DE4DAD" w:rsidR="00E90DF5" w:rsidRPr="002E4EE5" w:rsidRDefault="00E90DF5" w:rsidP="00E90DF5">
      <w:pPr>
        <w:pStyle w:val="SingleTxtGR"/>
        <w:tabs>
          <w:tab w:val="clear" w:pos="1701"/>
        </w:tabs>
        <w:ind w:left="2268" w:hanging="1134"/>
      </w:pPr>
      <w:r w:rsidRPr="002E4EE5">
        <w:rPr>
          <w:bCs/>
        </w:rPr>
        <w:t>26.3.1</w:t>
      </w:r>
      <w:r>
        <w:rPr>
          <w:bCs/>
        </w:rPr>
        <w:tab/>
      </w:r>
      <w:r w:rsidRPr="002E4EE5">
        <w:rPr>
          <w:bCs/>
        </w:rPr>
        <w:t>СВЭС должна обеспечивать возможность получен</w:t>
      </w:r>
      <w:r w:rsidRPr="002E4EE5">
        <w:t xml:space="preserve">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w:t>
      </w:r>
      <w:r w:rsidRPr="00E90DF5">
        <w:rPr>
          <w:b/>
        </w:rPr>
        <w:t>С</w:t>
      </w:r>
      <w:r w:rsidRPr="00E90DF5">
        <w:rPr>
          <w:strike/>
        </w:rPr>
        <w:t>У</w:t>
      </w:r>
      <w:r w:rsidRPr="002E4EE5">
        <w:t xml:space="preserve">ВЭС на вывод сообщений </w:t>
      </w:r>
      <w:r w:rsidRPr="002E4EE5">
        <w:rPr>
          <w:lang w:val="en-GB"/>
        </w:rPr>
        <w:t>NMEA</w:t>
      </w:r>
      <w:r w:rsidRPr="002E4EE5">
        <w:t>-0183 на внешние устройства приводится в руководстве по эксплуатации.</w:t>
      </w:r>
    </w:p>
    <w:p w14:paraId="26128F89" w14:textId="77777777" w:rsidR="008F402D" w:rsidRDefault="008F402D" w:rsidP="00091F47">
      <w:pPr>
        <w:tabs>
          <w:tab w:val="left" w:pos="2250"/>
        </w:tabs>
        <w:spacing w:before="120" w:after="120" w:line="240" w:lineRule="auto"/>
        <w:ind w:left="2268" w:right="1134" w:hanging="1134"/>
        <w:jc w:val="both"/>
        <w:rPr>
          <w:lang w:val="ru-RU"/>
        </w:rPr>
      </w:pPr>
    </w:p>
    <w:p w14:paraId="57F90AB4" w14:textId="2EE7A27D" w:rsidR="00570F77" w:rsidRPr="00300C1F" w:rsidRDefault="00570F77" w:rsidP="00570F77">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Пункт</w:t>
      </w:r>
      <w:r w:rsidRPr="00300C1F">
        <w:rPr>
          <w:i/>
          <w:lang w:val="ru-RU"/>
        </w:rPr>
        <w:t xml:space="preserve"> 26.5.</w:t>
      </w:r>
      <w:r>
        <w:rPr>
          <w:i/>
          <w:lang w:val="ru-RU"/>
        </w:rPr>
        <w:t>3</w:t>
      </w:r>
      <w:r w:rsidRPr="00300C1F">
        <w:rPr>
          <w:i/>
          <w:lang w:val="ru-RU"/>
        </w:rPr>
        <w:t xml:space="preserve"> </w:t>
      </w:r>
      <w:r w:rsidRPr="00C4454D">
        <w:rPr>
          <w:i/>
          <w:lang w:val="ru-RU"/>
        </w:rPr>
        <w:t>изменить</w:t>
      </w:r>
      <w:r w:rsidRPr="00300C1F">
        <w:rPr>
          <w:i/>
          <w:lang w:val="ru-RU"/>
        </w:rPr>
        <w:t xml:space="preserve"> </w:t>
      </w:r>
      <w:r w:rsidRPr="00C4454D">
        <w:rPr>
          <w:i/>
          <w:lang w:val="ru-RU"/>
        </w:rPr>
        <w:t>следующим</w:t>
      </w:r>
      <w:r w:rsidRPr="00300C1F">
        <w:rPr>
          <w:i/>
          <w:lang w:val="ru-RU"/>
        </w:rPr>
        <w:t xml:space="preserve"> </w:t>
      </w:r>
      <w:r w:rsidRPr="00C4454D">
        <w:rPr>
          <w:i/>
          <w:lang w:val="ru-RU"/>
        </w:rPr>
        <w:t>образом</w:t>
      </w:r>
      <w:r w:rsidRPr="00300C1F">
        <w:rPr>
          <w:i/>
          <w:lang w:val="ru-RU"/>
        </w:rPr>
        <w:t>:</w:t>
      </w:r>
    </w:p>
    <w:p w14:paraId="1346AF96" w14:textId="65C0006C" w:rsidR="00300C1F" w:rsidRPr="002E4EE5" w:rsidRDefault="00300C1F" w:rsidP="00300C1F">
      <w:pPr>
        <w:pStyle w:val="SingleTxtGR"/>
        <w:tabs>
          <w:tab w:val="clear" w:pos="1701"/>
        </w:tabs>
        <w:ind w:left="2268" w:hanging="1134"/>
      </w:pPr>
      <w:r w:rsidRPr="002E4EE5">
        <w:t>26.5.3</w:t>
      </w:r>
      <w:r>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300C1F">
        <w:rPr>
          <w:b/>
          <w:iCs/>
        </w:rPr>
        <w:t>С</w:t>
      </w:r>
      <w:r w:rsidRPr="00300C1F">
        <w:rPr>
          <w:strike/>
        </w:rPr>
        <w:t>У</w:t>
      </w:r>
      <w:r w:rsidRPr="002E4EE5">
        <w:t xml:space="preserve">ВЭС. Визуальный индикатор неисправности </w:t>
      </w:r>
      <w:r w:rsidRPr="00300C1F">
        <w:rPr>
          <w:b/>
          <w:iCs/>
        </w:rPr>
        <w:t>С</w:t>
      </w:r>
      <w:r w:rsidRPr="00300C1F">
        <w:rPr>
          <w:strike/>
        </w:rPr>
        <w:t>У</w:t>
      </w:r>
      <w:r w:rsidRPr="002E4EE5">
        <w:t>ВЭС</w:t>
      </w:r>
      <w:r w:rsidRPr="002E4EE5">
        <w:rPr>
          <w:iCs/>
        </w:rPr>
        <w:t xml:space="preserve"> не должен гаснуть, пока сохраняется сбой. Он может на время отключаться, однако должен вновь загораться всякий раз,</w:t>
      </w:r>
      <w:r>
        <w:rPr>
          <w:iCs/>
        </w:rPr>
        <w:t xml:space="preserve"> </w:t>
      </w:r>
      <w:r w:rsidRPr="002E4EE5">
        <w:rPr>
          <w:iCs/>
        </w:rPr>
        <w:t>когда включается зажигание или активируется функция центрального управления транспортным средством (в зависимости от того, что применимо).</w:t>
      </w:r>
    </w:p>
    <w:p w14:paraId="12A9AB31" w14:textId="77777777" w:rsidR="00865B2C" w:rsidRDefault="00091F47" w:rsidP="00865B2C">
      <w:pPr>
        <w:pStyle w:val="ListParagraph"/>
        <w:tabs>
          <w:tab w:val="left" w:pos="2268"/>
        </w:tabs>
        <w:spacing w:before="120" w:after="120" w:line="240" w:lineRule="auto"/>
        <w:ind w:left="2268" w:right="1134" w:hanging="1134"/>
        <w:contextualSpacing w:val="0"/>
        <w:jc w:val="both"/>
        <w:rPr>
          <w:b/>
          <w:sz w:val="28"/>
          <w:lang w:val="ru-RU"/>
        </w:rPr>
      </w:pPr>
      <w:r w:rsidRPr="00053F3D">
        <w:rPr>
          <w:b/>
          <w:sz w:val="28"/>
          <w:lang w:val="ru-RU"/>
        </w:rPr>
        <w:tab/>
      </w:r>
    </w:p>
    <w:p w14:paraId="689BC5C0" w14:textId="77777777" w:rsidR="00E3727D" w:rsidRDefault="00E3727D" w:rsidP="00865B2C">
      <w:pPr>
        <w:pStyle w:val="ListParagraph"/>
        <w:tabs>
          <w:tab w:val="left" w:pos="2268"/>
        </w:tabs>
        <w:spacing w:before="120" w:after="120" w:line="240" w:lineRule="auto"/>
        <w:ind w:left="2268" w:right="1134" w:hanging="1134"/>
        <w:contextualSpacing w:val="0"/>
        <w:jc w:val="both"/>
        <w:rPr>
          <w:i/>
          <w:lang w:val="ru-RU"/>
        </w:rPr>
      </w:pPr>
    </w:p>
    <w:p w14:paraId="3AFE4F89" w14:textId="77777777" w:rsidR="00E3727D" w:rsidRDefault="00E3727D" w:rsidP="00865B2C">
      <w:pPr>
        <w:pStyle w:val="ListParagraph"/>
        <w:tabs>
          <w:tab w:val="left" w:pos="2268"/>
        </w:tabs>
        <w:spacing w:before="120" w:after="120" w:line="240" w:lineRule="auto"/>
        <w:ind w:left="2268" w:right="1134" w:hanging="1134"/>
        <w:contextualSpacing w:val="0"/>
        <w:jc w:val="both"/>
        <w:rPr>
          <w:i/>
          <w:lang w:val="ru-RU"/>
        </w:rPr>
      </w:pPr>
    </w:p>
    <w:p w14:paraId="74A90174" w14:textId="74DCF299" w:rsidR="00865B2C" w:rsidRPr="00300C1F" w:rsidRDefault="00865B2C" w:rsidP="00865B2C">
      <w:pPr>
        <w:pStyle w:val="ListParagraph"/>
        <w:tabs>
          <w:tab w:val="left" w:pos="2268"/>
        </w:tabs>
        <w:spacing w:before="120" w:after="120" w:line="240" w:lineRule="auto"/>
        <w:ind w:left="2268" w:right="1134" w:hanging="1134"/>
        <w:contextualSpacing w:val="0"/>
        <w:jc w:val="both"/>
        <w:rPr>
          <w:i/>
          <w:lang w:val="ru-RU"/>
        </w:rPr>
      </w:pPr>
      <w:r>
        <w:rPr>
          <w:i/>
          <w:lang w:val="ru-RU"/>
        </w:rPr>
        <w:lastRenderedPageBreak/>
        <w:t>Часть</w:t>
      </w:r>
      <w:r w:rsidR="005B5787" w:rsidRPr="00865B2C">
        <w:rPr>
          <w:i/>
          <w:lang w:val="ru-RU"/>
        </w:rPr>
        <w:t xml:space="preserve"> </w:t>
      </w:r>
      <w:r w:rsidR="005B5787" w:rsidRPr="002D6010">
        <w:rPr>
          <w:i/>
          <w:lang w:val="en-US"/>
        </w:rPr>
        <w:t>I</w:t>
      </w:r>
      <w:r w:rsidR="005B5787">
        <w:rPr>
          <w:i/>
          <w:lang w:val="en-US"/>
        </w:rPr>
        <w:t>II</w:t>
      </w:r>
      <w:r w:rsidR="005B5787" w:rsidRPr="00865B2C">
        <w:rPr>
          <w:i/>
          <w:lang w:val="ru-RU"/>
        </w:rPr>
        <w:t xml:space="preserve">, </w:t>
      </w:r>
      <w:r w:rsidR="00CB27EA">
        <w:rPr>
          <w:i/>
          <w:lang w:val="ru-RU"/>
        </w:rPr>
        <w:t>п</w:t>
      </w:r>
      <w:r w:rsidRPr="00C4454D">
        <w:rPr>
          <w:i/>
          <w:lang w:val="ru-RU"/>
        </w:rPr>
        <w:t>ункт</w:t>
      </w:r>
      <w:r w:rsidRPr="00300C1F">
        <w:rPr>
          <w:i/>
          <w:lang w:val="ru-RU"/>
        </w:rPr>
        <w:t xml:space="preserve"> </w:t>
      </w:r>
      <w:r>
        <w:rPr>
          <w:i/>
          <w:lang w:val="ru-RU"/>
        </w:rPr>
        <w:t>34</w:t>
      </w:r>
      <w:r w:rsidRPr="00300C1F">
        <w:rPr>
          <w:i/>
          <w:lang w:val="ru-RU"/>
        </w:rPr>
        <w:t>.</w:t>
      </w:r>
      <w:r>
        <w:rPr>
          <w:i/>
          <w:lang w:val="ru-RU"/>
        </w:rPr>
        <w:t>1</w:t>
      </w:r>
      <w:r w:rsidRPr="00300C1F">
        <w:rPr>
          <w:i/>
          <w:lang w:val="ru-RU"/>
        </w:rPr>
        <w:t xml:space="preserve"> </w:t>
      </w:r>
      <w:r w:rsidRPr="00C4454D">
        <w:rPr>
          <w:i/>
          <w:lang w:val="ru-RU"/>
        </w:rPr>
        <w:t>изменить</w:t>
      </w:r>
      <w:r w:rsidRPr="00300C1F">
        <w:rPr>
          <w:i/>
          <w:lang w:val="ru-RU"/>
        </w:rPr>
        <w:t xml:space="preserve"> </w:t>
      </w:r>
      <w:r w:rsidRPr="00C4454D">
        <w:rPr>
          <w:i/>
          <w:lang w:val="ru-RU"/>
        </w:rPr>
        <w:t>следующим</w:t>
      </w:r>
      <w:r w:rsidRPr="00300C1F">
        <w:rPr>
          <w:i/>
          <w:lang w:val="ru-RU"/>
        </w:rPr>
        <w:t xml:space="preserve"> </w:t>
      </w:r>
      <w:r w:rsidRPr="00C4454D">
        <w:rPr>
          <w:i/>
          <w:lang w:val="ru-RU"/>
        </w:rPr>
        <w:t>образом</w:t>
      </w:r>
      <w:r w:rsidRPr="00300C1F">
        <w:rPr>
          <w:i/>
          <w:lang w:val="ru-RU"/>
        </w:rPr>
        <w:t>:</w:t>
      </w:r>
    </w:p>
    <w:p w14:paraId="62247A1D" w14:textId="2EE584EB" w:rsidR="00865B2C" w:rsidRPr="002E4EE5" w:rsidRDefault="00865B2C" w:rsidP="00865B2C">
      <w:pPr>
        <w:pStyle w:val="SingleTxtGR"/>
        <w:tabs>
          <w:tab w:val="clear" w:pos="1701"/>
        </w:tabs>
        <w:ind w:left="2268" w:hanging="1134"/>
      </w:pPr>
      <w:r w:rsidRPr="002E4EE5">
        <w:t>34.1</w:t>
      </w:r>
      <w:r>
        <w:tab/>
        <w:t>…</w:t>
      </w:r>
      <w:r w:rsidRPr="002E4EE5">
        <w:t xml:space="preserve"> </w:t>
      </w:r>
    </w:p>
    <w:p w14:paraId="2C6DA711" w14:textId="0D57B9C6" w:rsidR="00865B2C" w:rsidRPr="002E4EE5" w:rsidRDefault="00865B2C" w:rsidP="00865B2C">
      <w:pPr>
        <w:pStyle w:val="SingleTxtGR"/>
        <w:tabs>
          <w:tab w:val="clear" w:pos="1701"/>
        </w:tabs>
        <w:ind w:left="2268" w:hanging="1134"/>
      </w:pPr>
      <w:r>
        <w:tab/>
      </w:r>
      <w:r w:rsidRPr="002E4EE5">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w:t>
      </w:r>
      <w:r w:rsidRPr="002E4EE5">
        <w:rPr>
          <w:lang w:val="en-US"/>
        </w:rPr>
        <w:t> </w:t>
      </w:r>
      <w:r w:rsidRPr="006937CE">
        <w:rPr>
          <w:strike/>
        </w:rPr>
        <w:t>17.67.1.</w:t>
      </w:r>
      <w:r w:rsidR="006937CE">
        <w:t xml:space="preserve"> </w:t>
      </w:r>
      <w:r w:rsidR="006937CE" w:rsidRPr="006937CE">
        <w:rPr>
          <w:b/>
        </w:rPr>
        <w:t>35.10.1</w:t>
      </w:r>
      <w:r w:rsidRPr="002E4EE5">
        <w:t xml:space="preserve">, были подвергнуты испытанию по приложению 9. Если подачу электропитания на СВЭС обеспечивает источник питания, кроме резервного источника питания, указанного в пункте </w:t>
      </w:r>
      <w:r w:rsidRPr="006937CE">
        <w:rPr>
          <w:strike/>
        </w:rPr>
        <w:t>17.67.2</w:t>
      </w:r>
      <w:r w:rsidRPr="00865B2C">
        <w:t>.</w:t>
      </w:r>
      <w:r w:rsidR="006937CE">
        <w:t xml:space="preserve"> </w:t>
      </w:r>
      <w:r w:rsidR="006937CE" w:rsidRPr="006937CE">
        <w:rPr>
          <w:b/>
        </w:rPr>
        <w:t>35.10.2</w:t>
      </w:r>
      <w:r w:rsidRPr="002E4EE5">
        <w:t>, то этот источник питания также подвергают испытанию в соответствии с приложением 9 к настоящим Правилам.</w:t>
      </w:r>
    </w:p>
    <w:p w14:paraId="439BC5C7" w14:textId="438597C0" w:rsidR="00091F47" w:rsidRPr="00053F3D" w:rsidRDefault="00091F47" w:rsidP="00452C37">
      <w:pPr>
        <w:tabs>
          <w:tab w:val="left" w:pos="2250"/>
        </w:tabs>
        <w:spacing w:before="120" w:after="120" w:line="240" w:lineRule="auto"/>
        <w:ind w:left="2268" w:right="1134"/>
        <w:jc w:val="both"/>
        <w:rPr>
          <w:lang w:val="ru-RU"/>
        </w:rPr>
      </w:pPr>
    </w:p>
    <w:p w14:paraId="4DBB1E0D" w14:textId="565A1E32" w:rsidR="00CB27EA" w:rsidRPr="00C4454D" w:rsidRDefault="00CB27EA" w:rsidP="00CB27EA">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 xml:space="preserve">Пункт </w:t>
      </w:r>
      <w:r w:rsidRPr="00CB27EA">
        <w:rPr>
          <w:i/>
          <w:lang w:val="ru-RU"/>
        </w:rPr>
        <w:t>35.5.1.2.2.</w:t>
      </w:r>
      <w:r>
        <w:rPr>
          <w:i/>
          <w:lang w:val="ru-RU"/>
        </w:rPr>
        <w:t xml:space="preserve"> </w:t>
      </w:r>
      <w:r w:rsidRPr="00C4454D">
        <w:rPr>
          <w:i/>
          <w:lang w:val="ru-RU"/>
        </w:rPr>
        <w:t>изменить следующим образом:</w:t>
      </w:r>
    </w:p>
    <w:p w14:paraId="0B0D9C00" w14:textId="77777777" w:rsidR="00CB27EA" w:rsidRPr="002E4EE5" w:rsidRDefault="00CB27EA" w:rsidP="00CB27EA">
      <w:pPr>
        <w:pStyle w:val="SingleTxtGR"/>
        <w:tabs>
          <w:tab w:val="clear" w:pos="1701"/>
        </w:tabs>
        <w:ind w:left="2268" w:hanging="1134"/>
      </w:pPr>
      <w:r w:rsidRPr="002E4EE5">
        <w:t>35.5.1.2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14:paraId="242650A4" w14:textId="72B24716" w:rsidR="00CB27EA" w:rsidRPr="002E4EE5" w:rsidRDefault="00CB27EA" w:rsidP="00CB27EA">
      <w:pPr>
        <w:pStyle w:val="SingleTxtGR"/>
        <w:tabs>
          <w:tab w:val="clear" w:pos="1701"/>
        </w:tabs>
        <w:ind w:left="2268" w:hanging="1134"/>
      </w:pPr>
      <w:r>
        <w:tab/>
        <w:t>…</w:t>
      </w:r>
    </w:p>
    <w:p w14:paraId="6CF07699" w14:textId="77777777" w:rsidR="00CB27EA" w:rsidRPr="002E4EE5" w:rsidRDefault="00CB27EA" w:rsidP="00CB27EA">
      <w:pPr>
        <w:pStyle w:val="SingleTxtGR"/>
        <w:tabs>
          <w:tab w:val="clear" w:pos="1701"/>
        </w:tabs>
        <w:ind w:left="2268" w:hanging="1134"/>
      </w:pPr>
      <w:r w:rsidRPr="002E4EE5">
        <w:t>35.5.1.2.2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CB27EA">
        <w:rPr>
          <w:strike/>
        </w:rPr>
        <w:t>или Правил № 95 ООН</w:t>
      </w:r>
      <w:r w:rsidRPr="002E4EE5">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14:paraId="6002AF4F" w14:textId="77777777" w:rsidR="00CB27EA" w:rsidRPr="002E4EE5" w:rsidRDefault="00CB27EA" w:rsidP="00CB27EA">
      <w:pPr>
        <w:pStyle w:val="SingleTxtGR"/>
        <w:tabs>
          <w:tab w:val="clear" w:pos="1701"/>
        </w:tabs>
        <w:ind w:left="2268" w:hanging="1134"/>
      </w:pPr>
      <w:r>
        <w:tab/>
      </w:r>
      <w:r w:rsidRPr="002E4EE5">
        <w:rPr>
          <w:lang w:val="en-GB"/>
        </w:rPr>
        <w:t>a</w:t>
      </w:r>
      <w:r w:rsidRPr="002E4EE5">
        <w:t>)</w:t>
      </w:r>
      <w:r w:rsidRPr="002E4EE5">
        <w:tab/>
        <w:t>инициирующий сигнал был генерирован;</w:t>
      </w:r>
    </w:p>
    <w:p w14:paraId="620C60E9" w14:textId="77777777" w:rsidR="00CB27EA" w:rsidRDefault="00CB27EA" w:rsidP="00CB27EA">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установленной СВЭС.</w:t>
      </w:r>
    </w:p>
    <w:p w14:paraId="67CE8E8A" w14:textId="77777777" w:rsidR="00FF369D" w:rsidRPr="002E4EE5" w:rsidRDefault="00FF369D" w:rsidP="00CB27EA">
      <w:pPr>
        <w:pStyle w:val="SingleTxtGR"/>
        <w:tabs>
          <w:tab w:val="clear" w:pos="1701"/>
        </w:tabs>
        <w:ind w:left="2835" w:hanging="1701"/>
      </w:pPr>
    </w:p>
    <w:p w14:paraId="17753333" w14:textId="41ADDC90" w:rsidR="00B802B2" w:rsidRPr="00C4454D" w:rsidRDefault="00B802B2" w:rsidP="00B802B2">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 xml:space="preserve">Пункт </w:t>
      </w:r>
      <w:r w:rsidRPr="00CB27EA">
        <w:rPr>
          <w:i/>
          <w:lang w:val="ru-RU"/>
        </w:rPr>
        <w:t>35.5.1.</w:t>
      </w:r>
      <w:r>
        <w:rPr>
          <w:i/>
          <w:lang w:val="ru-RU"/>
        </w:rPr>
        <w:t>3</w:t>
      </w:r>
      <w:r w:rsidRPr="00CB27EA">
        <w:rPr>
          <w:i/>
          <w:lang w:val="ru-RU"/>
        </w:rPr>
        <w:t>.</w:t>
      </w:r>
      <w:r w:rsidR="00C517DA">
        <w:rPr>
          <w:i/>
          <w:lang w:val="ru-RU"/>
        </w:rPr>
        <w:t xml:space="preserve">2 </w:t>
      </w:r>
      <w:r>
        <w:rPr>
          <w:i/>
          <w:lang w:val="ru-RU"/>
        </w:rPr>
        <w:t xml:space="preserve"> </w:t>
      </w:r>
      <w:r w:rsidRPr="00C4454D">
        <w:rPr>
          <w:i/>
          <w:lang w:val="ru-RU"/>
        </w:rPr>
        <w:t>изменить следующим образом:</w:t>
      </w:r>
    </w:p>
    <w:p w14:paraId="13881139" w14:textId="77777777" w:rsidR="00FF369D" w:rsidRPr="002E4EE5" w:rsidRDefault="00FF369D" w:rsidP="00FF369D">
      <w:pPr>
        <w:pStyle w:val="SingleTxtGR"/>
        <w:tabs>
          <w:tab w:val="clear" w:pos="1701"/>
        </w:tabs>
        <w:ind w:left="2268" w:hanging="1134"/>
      </w:pPr>
      <w:r w:rsidRPr="002E4EE5">
        <w:t>35.5.1.3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14:paraId="66097944" w14:textId="5ED2368B" w:rsidR="00FF369D" w:rsidRPr="002E4EE5" w:rsidRDefault="00FF369D" w:rsidP="00FF369D">
      <w:pPr>
        <w:pStyle w:val="SingleTxtGR"/>
        <w:tabs>
          <w:tab w:val="clear" w:pos="1701"/>
        </w:tabs>
        <w:ind w:left="2268" w:hanging="1134"/>
      </w:pPr>
      <w:r>
        <w:t>…</w:t>
      </w:r>
    </w:p>
    <w:p w14:paraId="147E2370" w14:textId="77777777" w:rsidR="00FF369D" w:rsidRPr="002E4EE5" w:rsidRDefault="00FF369D" w:rsidP="00FF369D">
      <w:pPr>
        <w:pStyle w:val="SingleTxtGR"/>
        <w:tabs>
          <w:tab w:val="clear" w:pos="1701"/>
        </w:tabs>
        <w:ind w:left="2268" w:hanging="1134"/>
      </w:pPr>
      <w:r w:rsidRPr="002E4EE5">
        <w:t>35.5.1.3.2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FF369D">
        <w:rPr>
          <w:strike/>
        </w:rPr>
        <w:t>Правил № 94 ООН или</w:t>
      </w:r>
      <w:r w:rsidRPr="002E4EE5">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14:paraId="46222B39" w14:textId="77777777" w:rsidR="00FF369D" w:rsidRPr="002E4EE5" w:rsidRDefault="00FF369D" w:rsidP="00FF369D">
      <w:pPr>
        <w:pStyle w:val="SingleTxtGR"/>
        <w:tabs>
          <w:tab w:val="clear" w:pos="1701"/>
        </w:tabs>
        <w:ind w:left="2268" w:hanging="1134"/>
      </w:pPr>
      <w:r>
        <w:tab/>
      </w:r>
      <w:r w:rsidRPr="002E4EE5">
        <w:rPr>
          <w:lang w:val="en-GB"/>
        </w:rPr>
        <w:t>a</w:t>
      </w:r>
      <w:r w:rsidRPr="002E4EE5">
        <w:t>)</w:t>
      </w:r>
      <w:r w:rsidRPr="002E4EE5">
        <w:tab/>
        <w:t>инициирующий сигнал был генерирован;</w:t>
      </w:r>
    </w:p>
    <w:p w14:paraId="27E0F1A4" w14:textId="77777777" w:rsidR="00FF369D" w:rsidRPr="002E4EE5" w:rsidRDefault="00FF369D" w:rsidP="00FF369D">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установленной СВЭС.</w:t>
      </w:r>
    </w:p>
    <w:p w14:paraId="5F4A1B9A" w14:textId="77777777" w:rsidR="00FF369D" w:rsidRPr="002E4EE5" w:rsidRDefault="00FF369D" w:rsidP="00FF369D">
      <w:pPr>
        <w:pStyle w:val="SingleTxtGR"/>
        <w:tabs>
          <w:tab w:val="clear" w:pos="1701"/>
        </w:tabs>
        <w:ind w:left="2835" w:hanging="1701"/>
      </w:pPr>
    </w:p>
    <w:p w14:paraId="3911CAB9" w14:textId="3A203951" w:rsidR="00FF369D" w:rsidRPr="00C4454D" w:rsidRDefault="00FF369D" w:rsidP="00FF369D">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 xml:space="preserve">Пункт </w:t>
      </w:r>
      <w:r w:rsidRPr="00CB27EA">
        <w:rPr>
          <w:i/>
          <w:lang w:val="ru-RU"/>
        </w:rPr>
        <w:t>35.5.</w:t>
      </w:r>
      <w:r>
        <w:rPr>
          <w:i/>
          <w:lang w:val="ru-RU"/>
        </w:rPr>
        <w:t>2.</w:t>
      </w:r>
      <w:r w:rsidRPr="00CB27EA">
        <w:rPr>
          <w:i/>
          <w:lang w:val="ru-RU"/>
        </w:rPr>
        <w:t>1.</w:t>
      </w:r>
      <w:r>
        <w:rPr>
          <w:i/>
          <w:lang w:val="ru-RU"/>
        </w:rPr>
        <w:t>2</w:t>
      </w:r>
      <w:r w:rsidRPr="00CB27EA">
        <w:rPr>
          <w:i/>
          <w:lang w:val="ru-RU"/>
        </w:rPr>
        <w:t>.</w:t>
      </w:r>
      <w:r>
        <w:rPr>
          <w:i/>
          <w:lang w:val="ru-RU"/>
        </w:rPr>
        <w:t xml:space="preserve"> </w:t>
      </w:r>
      <w:r w:rsidRPr="00C4454D">
        <w:rPr>
          <w:i/>
          <w:lang w:val="ru-RU"/>
        </w:rPr>
        <w:t>изменить следующим образом:</w:t>
      </w:r>
    </w:p>
    <w:p w14:paraId="231847D8" w14:textId="77777777" w:rsidR="005E7AF4" w:rsidRPr="002E4EE5" w:rsidRDefault="005E7AF4" w:rsidP="005E7AF4">
      <w:pPr>
        <w:pStyle w:val="SingleTxtGR"/>
        <w:tabs>
          <w:tab w:val="clear" w:pos="1701"/>
        </w:tabs>
        <w:ind w:left="2268" w:hanging="1134"/>
      </w:pPr>
      <w:r w:rsidRPr="002E4EE5">
        <w:t>35.5.2.1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14:paraId="7588E602" w14:textId="3827F9DC" w:rsidR="005E7AF4" w:rsidRPr="002E4EE5" w:rsidRDefault="005E7AF4" w:rsidP="005E7AF4">
      <w:pPr>
        <w:pStyle w:val="SingleTxtGR"/>
        <w:tabs>
          <w:tab w:val="clear" w:pos="1701"/>
        </w:tabs>
        <w:ind w:left="2268" w:hanging="1134"/>
      </w:pPr>
      <w:r>
        <w:lastRenderedPageBreak/>
        <w:t>…</w:t>
      </w:r>
    </w:p>
    <w:p w14:paraId="1FECD1F1" w14:textId="77777777" w:rsidR="005E7AF4" w:rsidRPr="002E4EE5" w:rsidRDefault="005E7AF4" w:rsidP="005E7AF4">
      <w:pPr>
        <w:pStyle w:val="SingleTxtGR"/>
        <w:tabs>
          <w:tab w:val="clear" w:pos="1701"/>
        </w:tabs>
        <w:ind w:left="2268" w:hanging="1134"/>
      </w:pPr>
      <w:r w:rsidRPr="002E4EE5">
        <w:t>35.5.2.1.2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975784">
        <w:rPr>
          <w:strike/>
        </w:rPr>
        <w:t>Правил № 94 ООН или</w:t>
      </w:r>
      <w:r w:rsidRPr="002E4EE5">
        <w:t xml:space="preserve">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w:t>
      </w:r>
      <w:r w:rsidRPr="00975784">
        <w:rPr>
          <w:strike/>
        </w:rPr>
        <w:t xml:space="preserve">Правилами № 94 ООН и </w:t>
      </w:r>
      <w:r w:rsidRPr="002E4EE5">
        <w:t>Правилами № 95 ООН:</w:t>
      </w:r>
    </w:p>
    <w:p w14:paraId="5B3EBDBA" w14:textId="77777777" w:rsidR="005E7AF4" w:rsidRPr="002E4EE5" w:rsidRDefault="005E7AF4" w:rsidP="005E7AF4">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110164BC" w14:textId="77777777" w:rsidR="005E7AF4" w:rsidRPr="002E4EE5" w:rsidRDefault="005E7AF4" w:rsidP="005E7AF4">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7BC4DFFF" w14:textId="77777777" w:rsidR="005E303A" w:rsidRPr="00FF369D" w:rsidRDefault="005E303A" w:rsidP="00091F47">
      <w:pPr>
        <w:tabs>
          <w:tab w:val="left" w:pos="2268"/>
        </w:tabs>
        <w:spacing w:before="120" w:after="120" w:line="240" w:lineRule="auto"/>
        <w:ind w:left="2268" w:right="1134" w:hanging="1134"/>
        <w:jc w:val="both"/>
        <w:rPr>
          <w:lang w:val="ru-RU"/>
        </w:rPr>
      </w:pPr>
    </w:p>
    <w:p w14:paraId="125763C2" w14:textId="77777777" w:rsidR="00AA43AA" w:rsidRPr="00053F3D" w:rsidRDefault="00AA43AA">
      <w:pPr>
        <w:suppressAutoHyphens w:val="0"/>
        <w:spacing w:line="240" w:lineRule="auto"/>
        <w:rPr>
          <w:b/>
          <w:sz w:val="28"/>
          <w:lang w:val="ru-RU"/>
        </w:rPr>
      </w:pPr>
      <w:r w:rsidRPr="00053F3D">
        <w:rPr>
          <w:b/>
          <w:sz w:val="28"/>
          <w:lang w:val="ru-RU"/>
        </w:rPr>
        <w:br w:type="page"/>
      </w:r>
    </w:p>
    <w:p w14:paraId="3E7C7352" w14:textId="3C330977" w:rsidR="00AA43AA" w:rsidRPr="00AA43AA" w:rsidRDefault="00AA43AA" w:rsidP="00AA43AA">
      <w:pPr>
        <w:spacing w:before="120" w:after="120" w:line="240" w:lineRule="auto"/>
        <w:ind w:right="1134" w:firstLine="567"/>
        <w:jc w:val="both"/>
        <w:rPr>
          <w:i/>
          <w:lang w:val="ru-RU"/>
        </w:rPr>
      </w:pPr>
      <w:r w:rsidRPr="00AA43AA">
        <w:rPr>
          <w:i/>
          <w:lang w:val="ru-RU"/>
        </w:rPr>
        <w:lastRenderedPageBreak/>
        <w:t>Приложение</w:t>
      </w:r>
      <w:r w:rsidR="00C60A8E" w:rsidRPr="00AA43AA">
        <w:rPr>
          <w:i/>
          <w:lang w:val="ru-RU"/>
        </w:rPr>
        <w:t xml:space="preserve"> 1</w:t>
      </w:r>
      <w:r w:rsidRPr="00AA43AA">
        <w:rPr>
          <w:i/>
          <w:lang w:val="ru-RU"/>
        </w:rPr>
        <w:t>, Сообщение изменить следующим образом:</w:t>
      </w:r>
    </w:p>
    <w:p w14:paraId="50D60BF5" w14:textId="4157C47B" w:rsidR="00AA43AA" w:rsidRPr="002E4EE5" w:rsidRDefault="00AA43AA" w:rsidP="00AA43AA">
      <w:pPr>
        <w:pStyle w:val="HChGR"/>
      </w:pPr>
      <w:r>
        <w:tab/>
      </w:r>
      <w:r>
        <w:tab/>
      </w:r>
      <w:r w:rsidRPr="002E4EE5">
        <w:t>Сообщение</w:t>
      </w:r>
    </w:p>
    <w:p w14:paraId="3E959E15" w14:textId="77777777" w:rsidR="00AA43AA" w:rsidRDefault="00AA43AA" w:rsidP="00AA43AA">
      <w:pPr>
        <w:pStyle w:val="SingleTxtGR"/>
        <w:rPr>
          <w:bCs/>
        </w:rPr>
      </w:pPr>
      <w:r w:rsidRPr="002E4EE5">
        <w:rPr>
          <w:bCs/>
        </w:rPr>
        <w:t xml:space="preserve">(максимальный формат: </w:t>
      </w:r>
      <w:r w:rsidRPr="002E4EE5">
        <w:rPr>
          <w:bCs/>
          <w:lang w:val="fr-FR"/>
        </w:rPr>
        <w:t>A</w:t>
      </w:r>
      <w:r w:rsidRPr="002E4EE5">
        <w:rPr>
          <w:bCs/>
        </w:rPr>
        <w:t xml:space="preserve">4 (210 </w:t>
      </w:r>
      <w:r w:rsidRPr="002E4EE5">
        <w:rPr>
          <w:bCs/>
          <w:lang w:val="fr-FR"/>
        </w:rPr>
        <w:t>x</w:t>
      </w:r>
      <w:r w:rsidRPr="002E4EE5">
        <w:rPr>
          <w:bCs/>
        </w:rPr>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AA43AA" w:rsidRPr="006028E5" w14:paraId="6C32AC66" w14:textId="77777777" w:rsidTr="004E6747">
        <w:tc>
          <w:tcPr>
            <w:tcW w:w="1843" w:type="dxa"/>
          </w:tcPr>
          <w:p w14:paraId="0CDE6193" w14:textId="77777777" w:rsidR="00AA43AA" w:rsidRPr="006028E5" w:rsidRDefault="00AA43AA" w:rsidP="004E6747">
            <w:pPr>
              <w:pStyle w:val="SingleTxtGR"/>
              <w:spacing w:before="120"/>
              <w:ind w:left="0" w:right="36"/>
              <w:rPr>
                <w:bCs/>
              </w:rPr>
            </w:pPr>
            <w:r w:rsidRPr="006028E5">
              <w:rPr>
                <w:noProof/>
                <w:lang w:eastAsia="ru-RU"/>
              </w:rPr>
              <w:drawing>
                <wp:inline distT="0" distB="0" distL="0" distR="0" wp14:anchorId="772048E0" wp14:editId="2C98B203">
                  <wp:extent cx="900430" cy="90043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3"/>
              <w:t> </w:t>
            </w:r>
          </w:p>
        </w:tc>
        <w:tc>
          <w:tcPr>
            <w:tcW w:w="2126" w:type="dxa"/>
          </w:tcPr>
          <w:p w14:paraId="4A5204FD" w14:textId="77777777" w:rsidR="00AA43AA" w:rsidRPr="006028E5" w:rsidRDefault="00AA43AA" w:rsidP="004E6747">
            <w:pPr>
              <w:pStyle w:val="SingleTxtGR"/>
              <w:spacing w:before="120"/>
              <w:ind w:left="0" w:right="186"/>
              <w:jc w:val="right"/>
              <w:rPr>
                <w:bCs/>
              </w:rPr>
            </w:pPr>
            <w:r w:rsidRPr="006028E5">
              <w:rPr>
                <w:bCs/>
              </w:rPr>
              <w:t>направленное:</w:t>
            </w:r>
          </w:p>
        </w:tc>
        <w:tc>
          <w:tcPr>
            <w:tcW w:w="3686" w:type="dxa"/>
          </w:tcPr>
          <w:p w14:paraId="47964DC7" w14:textId="77777777" w:rsidR="00AA43AA" w:rsidRPr="006028E5" w:rsidRDefault="00AA43AA" w:rsidP="004E6747">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6F0CAE7A" w14:textId="77777777" w:rsidR="00AA43AA" w:rsidRPr="002E4EE5" w:rsidRDefault="00AA43AA" w:rsidP="00AA43AA">
      <w:pPr>
        <w:pStyle w:val="SingleTxtGR"/>
        <w:jc w:val="left"/>
        <w:rPr>
          <w:b/>
        </w:rPr>
      </w:pPr>
      <w:r w:rsidRPr="002E4EE5">
        <w:rPr>
          <w:bCs/>
        </w:rPr>
        <w:t>касающееся</w:t>
      </w:r>
      <w:r w:rsidRPr="002E4EE5">
        <w:rPr>
          <w:bCs/>
          <w:vertAlign w:val="superscript"/>
        </w:rPr>
        <w:footnoteReference w:customMarkFollows="1" w:id="4"/>
        <w:t>2</w:t>
      </w:r>
      <w:r w:rsidRPr="002E4EE5">
        <w:rPr>
          <w:bCs/>
        </w:rPr>
        <w:t>:</w:t>
      </w:r>
      <w:r w:rsidRPr="002E4EE5">
        <w:rPr>
          <w:bCs/>
        </w:rPr>
        <w:tab/>
        <w:t>предоставления официального утверждения</w:t>
      </w:r>
      <w:r>
        <w:rPr>
          <w:bCs/>
        </w:rPr>
        <w:br/>
      </w:r>
      <w:r>
        <w:rPr>
          <w:bCs/>
        </w:rPr>
        <w:tab/>
      </w:r>
      <w:r>
        <w:rPr>
          <w:bCs/>
        </w:rPr>
        <w:tab/>
      </w:r>
      <w:r w:rsidRPr="002E4EE5">
        <w:rPr>
          <w:bCs/>
        </w:rPr>
        <w:tab/>
        <w:t>распространения официального утверждения</w:t>
      </w:r>
      <w:r>
        <w:rPr>
          <w:bCs/>
        </w:rPr>
        <w:br/>
      </w:r>
      <w:r>
        <w:rPr>
          <w:bCs/>
        </w:rPr>
        <w:tab/>
      </w:r>
      <w:r>
        <w:rPr>
          <w:bCs/>
        </w:rPr>
        <w:tab/>
      </w:r>
      <w:r w:rsidRPr="002E4EE5">
        <w:rPr>
          <w:bCs/>
        </w:rPr>
        <w:tab/>
        <w:t>отказа в официальном утверждении</w:t>
      </w:r>
      <w:r>
        <w:rPr>
          <w:bCs/>
        </w:rPr>
        <w:br/>
      </w:r>
      <w:r>
        <w:rPr>
          <w:bCs/>
        </w:rPr>
        <w:tab/>
      </w:r>
      <w:r>
        <w:rPr>
          <w:bCs/>
        </w:rPr>
        <w:tab/>
      </w:r>
      <w:r w:rsidRPr="002E4EE5">
        <w:rPr>
          <w:bCs/>
        </w:rPr>
        <w:tab/>
        <w:t>отмены официального утверждения</w:t>
      </w:r>
      <w:r>
        <w:rPr>
          <w:bCs/>
        </w:rPr>
        <w:br/>
      </w:r>
      <w:r>
        <w:rPr>
          <w:bCs/>
        </w:rPr>
        <w:tab/>
      </w:r>
      <w:r>
        <w:rPr>
          <w:bCs/>
        </w:rPr>
        <w:tab/>
      </w:r>
      <w:r w:rsidRPr="002E4EE5">
        <w:rPr>
          <w:bCs/>
        </w:rPr>
        <w:tab/>
        <w:t>окончательного прекращения производства</w:t>
      </w:r>
    </w:p>
    <w:p w14:paraId="548E6E0A" w14:textId="77777777" w:rsidR="00AA43AA" w:rsidRPr="002E4EE5" w:rsidRDefault="00AA43AA" w:rsidP="00AA43AA">
      <w:pPr>
        <w:pStyle w:val="SingleTxtGR"/>
        <w:rPr>
          <w:bCs/>
        </w:rPr>
      </w:pPr>
      <w:r w:rsidRPr="002E4EE5">
        <w:rPr>
          <w:bCs/>
        </w:rPr>
        <w:t xml:space="preserve">типа КВЭС, предназначенного для установки в УВЭС </w:t>
      </w:r>
      <w:r w:rsidRPr="008A1670">
        <w:rPr>
          <w:bCs/>
          <w:strike/>
        </w:rPr>
        <w:t>на транспортных средствах категорий М</w:t>
      </w:r>
      <w:r w:rsidRPr="008A1670">
        <w:rPr>
          <w:bCs/>
          <w:strike/>
          <w:vertAlign w:val="subscript"/>
        </w:rPr>
        <w:t>1</w:t>
      </w:r>
      <w:r w:rsidRPr="008A1670">
        <w:rPr>
          <w:bCs/>
          <w:strike/>
        </w:rPr>
        <w:t xml:space="preserve"> и </w:t>
      </w:r>
      <w:r w:rsidRPr="008A1670">
        <w:rPr>
          <w:bCs/>
          <w:strike/>
          <w:lang w:val="en-US"/>
        </w:rPr>
        <w:t>N</w:t>
      </w:r>
      <w:r w:rsidRPr="008A1670">
        <w:rPr>
          <w:bCs/>
          <w:strike/>
          <w:vertAlign w:val="subscript"/>
        </w:rPr>
        <w:t>1</w:t>
      </w:r>
      <w:r w:rsidRPr="002E4EE5">
        <w:rPr>
          <w:bCs/>
        </w:rPr>
        <w:t xml:space="preserve"> и официально утвержденного на основании части </w:t>
      </w:r>
      <w:proofErr w:type="spellStart"/>
      <w:proofErr w:type="gramStart"/>
      <w:r w:rsidRPr="002E4EE5">
        <w:rPr>
          <w:bCs/>
        </w:rPr>
        <w:t>Iа</w:t>
      </w:r>
      <w:proofErr w:type="spellEnd"/>
      <w:r w:rsidRPr="002E4EE5">
        <w:rPr>
          <w:bCs/>
        </w:rPr>
        <w:t xml:space="preserve"> Правил</w:t>
      </w:r>
      <w:proofErr w:type="gramEnd"/>
      <w:r w:rsidRPr="002E4EE5">
        <w:rPr>
          <w:bCs/>
        </w:rPr>
        <w:t xml:space="preserve"> № 144 ООН</w:t>
      </w:r>
    </w:p>
    <w:p w14:paraId="29662DC4" w14:textId="77777777" w:rsidR="008A1670" w:rsidRDefault="008A1670" w:rsidP="008A1670">
      <w:pPr>
        <w:spacing w:before="120" w:after="120" w:line="240" w:lineRule="auto"/>
        <w:ind w:right="1134" w:firstLine="567"/>
        <w:jc w:val="both"/>
        <w:rPr>
          <w:i/>
          <w:lang w:val="ru-RU"/>
        </w:rPr>
      </w:pPr>
    </w:p>
    <w:p w14:paraId="776644B1" w14:textId="5371447D" w:rsidR="008A1670" w:rsidRPr="00AA43AA" w:rsidRDefault="008A1670" w:rsidP="008A1670">
      <w:pPr>
        <w:spacing w:before="120" w:after="120" w:line="240" w:lineRule="auto"/>
        <w:ind w:right="1134" w:firstLine="567"/>
        <w:jc w:val="both"/>
        <w:rPr>
          <w:i/>
          <w:lang w:val="ru-RU"/>
        </w:rPr>
      </w:pPr>
      <w:r w:rsidRPr="00AA43AA">
        <w:rPr>
          <w:i/>
          <w:lang w:val="ru-RU"/>
        </w:rPr>
        <w:t>Приложение</w:t>
      </w:r>
      <w:r>
        <w:rPr>
          <w:i/>
          <w:lang w:val="ru-RU"/>
        </w:rPr>
        <w:t xml:space="preserve"> 2</w:t>
      </w:r>
      <w:r w:rsidRPr="00AA43AA">
        <w:rPr>
          <w:i/>
          <w:lang w:val="ru-RU"/>
        </w:rPr>
        <w:t>, Сообщение изменить следующим образом:</w:t>
      </w:r>
    </w:p>
    <w:p w14:paraId="2DEE4DE7" w14:textId="5441D374" w:rsidR="0023459E" w:rsidRPr="002E4EE5" w:rsidRDefault="0023459E" w:rsidP="0023459E">
      <w:pPr>
        <w:pStyle w:val="HChGR"/>
      </w:pPr>
      <w:r>
        <w:tab/>
      </w:r>
      <w:r>
        <w:tab/>
      </w:r>
      <w:r w:rsidRPr="002E4EE5">
        <w:t>Сообщение</w:t>
      </w:r>
    </w:p>
    <w:p w14:paraId="2A2F61B3" w14:textId="77777777" w:rsidR="0023459E" w:rsidRDefault="0023459E" w:rsidP="0023459E">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23459E" w:rsidRPr="006028E5" w14:paraId="1C6451EA" w14:textId="77777777" w:rsidTr="004E6747">
        <w:tc>
          <w:tcPr>
            <w:tcW w:w="1843" w:type="dxa"/>
          </w:tcPr>
          <w:p w14:paraId="76C3CE24" w14:textId="77777777" w:rsidR="0023459E" w:rsidRPr="006028E5" w:rsidRDefault="0023459E" w:rsidP="004E6747">
            <w:pPr>
              <w:pStyle w:val="SingleTxtGR"/>
              <w:spacing w:before="120"/>
              <w:ind w:left="0" w:right="36"/>
              <w:rPr>
                <w:bCs/>
              </w:rPr>
            </w:pPr>
            <w:r w:rsidRPr="006028E5">
              <w:rPr>
                <w:noProof/>
                <w:lang w:eastAsia="ru-RU"/>
              </w:rPr>
              <w:drawing>
                <wp:inline distT="0" distB="0" distL="0" distR="0" wp14:anchorId="775185C6" wp14:editId="0D85F112">
                  <wp:extent cx="900430" cy="90043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5"/>
              <w:t> </w:t>
            </w:r>
          </w:p>
        </w:tc>
        <w:tc>
          <w:tcPr>
            <w:tcW w:w="2126" w:type="dxa"/>
          </w:tcPr>
          <w:p w14:paraId="50C82B2C" w14:textId="77777777" w:rsidR="0023459E" w:rsidRPr="006028E5" w:rsidRDefault="0023459E" w:rsidP="004E6747">
            <w:pPr>
              <w:pStyle w:val="SingleTxtGR"/>
              <w:spacing w:before="120"/>
              <w:ind w:left="0" w:right="186"/>
              <w:jc w:val="right"/>
              <w:rPr>
                <w:bCs/>
              </w:rPr>
            </w:pPr>
            <w:r w:rsidRPr="006028E5">
              <w:rPr>
                <w:bCs/>
              </w:rPr>
              <w:t>направленное:</w:t>
            </w:r>
          </w:p>
        </w:tc>
        <w:tc>
          <w:tcPr>
            <w:tcW w:w="3686" w:type="dxa"/>
          </w:tcPr>
          <w:p w14:paraId="2A2D06A3" w14:textId="77777777" w:rsidR="0023459E" w:rsidRPr="006028E5" w:rsidRDefault="0023459E" w:rsidP="004E6747">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4FA74869" w14:textId="77777777" w:rsidR="0023459E" w:rsidRPr="002E4EE5" w:rsidRDefault="0023459E" w:rsidP="0023459E">
      <w:pPr>
        <w:pStyle w:val="SingleTxtGR"/>
        <w:jc w:val="left"/>
      </w:pPr>
      <w:r w:rsidRPr="002E4EE5">
        <w:t>касающееся</w:t>
      </w:r>
      <w:r w:rsidRPr="002E4EE5">
        <w:rPr>
          <w:vertAlign w:val="superscript"/>
        </w:rPr>
        <w:footnoteReference w:customMarkFollows="1" w:id="6"/>
        <w:t>2</w:t>
      </w:r>
      <w:r w:rsidRPr="002E4EE5">
        <w:t>:</w:t>
      </w:r>
      <w:r w:rsidRPr="002E4EE5">
        <w:tab/>
        <w:t>предоставления официального утверждения</w:t>
      </w:r>
      <w:r>
        <w:br/>
      </w:r>
      <w:r>
        <w:tab/>
      </w:r>
      <w:r>
        <w:tab/>
      </w:r>
      <w:r w:rsidRPr="002E4EE5">
        <w:tab/>
        <w:t>распространения официального утверждения</w:t>
      </w:r>
      <w:r>
        <w:br/>
      </w:r>
      <w:r>
        <w:tab/>
      </w:r>
      <w:r>
        <w:tab/>
      </w:r>
      <w:r w:rsidRPr="002E4EE5">
        <w:tab/>
        <w:t>отказа в официальном утверждении</w:t>
      </w:r>
      <w:r>
        <w:br/>
      </w:r>
      <w:r>
        <w:tab/>
      </w:r>
      <w:r>
        <w:tab/>
      </w:r>
      <w:r w:rsidRPr="002E4EE5">
        <w:tab/>
        <w:t>отмены официального утверждения</w:t>
      </w:r>
      <w:r>
        <w:br/>
      </w:r>
      <w:r>
        <w:tab/>
      </w:r>
      <w:r>
        <w:tab/>
      </w:r>
      <w:r w:rsidRPr="002E4EE5">
        <w:tab/>
        <w:t>окончательного прекращения производства</w:t>
      </w:r>
    </w:p>
    <w:p w14:paraId="5F91CC25" w14:textId="77777777" w:rsidR="0023459E" w:rsidRPr="002E4EE5" w:rsidRDefault="0023459E" w:rsidP="0023459E">
      <w:pPr>
        <w:pStyle w:val="SingleTxtGR"/>
      </w:pPr>
      <w:r w:rsidRPr="002E4EE5">
        <w:t xml:space="preserve">типа УВЭС, </w:t>
      </w:r>
      <w:r w:rsidRPr="0023459E">
        <w:rPr>
          <w:strike/>
        </w:rPr>
        <w:t xml:space="preserve">предназначенного для установки на транспортных средствах категорий </w:t>
      </w:r>
      <w:r w:rsidRPr="0023459E">
        <w:rPr>
          <w:strike/>
          <w:lang w:val="en-GB"/>
        </w:rPr>
        <w:t>M</w:t>
      </w:r>
      <w:r w:rsidRPr="0023459E">
        <w:rPr>
          <w:strike/>
          <w:vertAlign w:val="subscript"/>
        </w:rPr>
        <w:t>1</w:t>
      </w:r>
      <w:r w:rsidRPr="0023459E">
        <w:rPr>
          <w:strike/>
        </w:rPr>
        <w:t xml:space="preserve"> и </w:t>
      </w:r>
      <w:r w:rsidRPr="0023459E">
        <w:rPr>
          <w:strike/>
          <w:lang w:val="en-GB"/>
        </w:rPr>
        <w:t>N</w:t>
      </w:r>
      <w:r w:rsidRPr="0023459E">
        <w:rPr>
          <w:strike/>
          <w:vertAlign w:val="subscript"/>
        </w:rPr>
        <w:t>1</w:t>
      </w:r>
      <w:r w:rsidRPr="0023459E">
        <w:rPr>
          <w:strike/>
        </w:rPr>
        <w:t xml:space="preserve"> и </w:t>
      </w:r>
      <w:r w:rsidRPr="002E4EE5">
        <w:t xml:space="preserve">официально утвержденного на основании части </w:t>
      </w:r>
      <w:proofErr w:type="spellStart"/>
      <w:r w:rsidRPr="002E4EE5">
        <w:t>Ib</w:t>
      </w:r>
      <w:proofErr w:type="spellEnd"/>
      <w:r w:rsidRPr="002E4EE5">
        <w:t xml:space="preserve"> Правил</w:t>
      </w:r>
      <w:r>
        <w:t xml:space="preserve"> </w:t>
      </w:r>
      <w:r w:rsidRPr="002E4EE5">
        <w:t>№ 144 ООН</w:t>
      </w:r>
    </w:p>
    <w:p w14:paraId="0648D554" w14:textId="77777777" w:rsidR="00091F47" w:rsidRPr="0023459E" w:rsidRDefault="00091F47" w:rsidP="00091F47">
      <w:pPr>
        <w:suppressAutoHyphens w:val="0"/>
        <w:spacing w:line="240" w:lineRule="auto"/>
        <w:rPr>
          <w:sz w:val="24"/>
          <w:lang w:val="ru-RU"/>
        </w:rPr>
      </w:pPr>
    </w:p>
    <w:p w14:paraId="6E8AC4BA" w14:textId="77777777" w:rsidR="00091F47" w:rsidRPr="00053F3D" w:rsidRDefault="00091F47" w:rsidP="00091F47">
      <w:pPr>
        <w:suppressAutoHyphens w:val="0"/>
        <w:spacing w:line="240" w:lineRule="auto"/>
        <w:rPr>
          <w:bCs/>
          <w:sz w:val="24"/>
          <w:lang w:val="ru-RU"/>
        </w:rPr>
        <w:sectPr w:rsidR="00091F47" w:rsidRPr="00053F3D" w:rsidSect="00CE3AB3">
          <w:headerReference w:type="first" r:id="rId9"/>
          <w:footerReference w:type="first" r:id="rId10"/>
          <w:footnotePr>
            <w:numRestart w:val="eachSect"/>
          </w:footnotePr>
          <w:endnotePr>
            <w:numFmt w:val="lowerLetter"/>
          </w:endnotePr>
          <w:pgSz w:w="11906" w:h="16838" w:code="9"/>
          <w:pgMar w:top="1418" w:right="1134" w:bottom="851" w:left="1134" w:header="964" w:footer="1701" w:gutter="0"/>
          <w:cols w:space="720"/>
          <w:docGrid w:linePitch="326"/>
        </w:sectPr>
      </w:pPr>
    </w:p>
    <w:p w14:paraId="311BF5E3" w14:textId="77777777" w:rsidR="007F3A98" w:rsidRPr="002A51D6" w:rsidRDefault="007F3A98" w:rsidP="007F3A98">
      <w:pPr>
        <w:rPr>
          <w:b/>
          <w:sz w:val="28"/>
          <w:lang w:val="ru-RU"/>
        </w:rPr>
      </w:pPr>
      <w:r w:rsidRPr="007D36FA">
        <w:rPr>
          <w:b/>
          <w:sz w:val="28"/>
          <w:lang w:val="en-US"/>
        </w:rPr>
        <w:lastRenderedPageBreak/>
        <w:t>II</w:t>
      </w:r>
      <w:r w:rsidRPr="002A51D6">
        <w:rPr>
          <w:b/>
          <w:sz w:val="28"/>
          <w:lang w:val="ru-RU"/>
        </w:rPr>
        <w:t>.</w:t>
      </w:r>
      <w:r w:rsidRPr="002A51D6">
        <w:rPr>
          <w:b/>
          <w:sz w:val="28"/>
          <w:lang w:val="ru-RU"/>
        </w:rPr>
        <w:tab/>
        <w:t>Обоснование</w:t>
      </w:r>
    </w:p>
    <w:p w14:paraId="18B4D4F7" w14:textId="77777777" w:rsidR="007F3A98" w:rsidRPr="002A51D6" w:rsidRDefault="007F3A98" w:rsidP="007F3A98">
      <w:pPr>
        <w:spacing w:before="120" w:after="120"/>
        <w:ind w:left="567" w:right="1134" w:hanging="567"/>
        <w:jc w:val="both"/>
        <w:rPr>
          <w:lang w:val="ru-RU"/>
        </w:rPr>
      </w:pPr>
      <w:r w:rsidRPr="002A51D6">
        <w:rPr>
          <w:lang w:val="ru-RU"/>
        </w:rPr>
        <w:t>1.</w:t>
      </w:r>
      <w:r w:rsidRPr="002A51D6">
        <w:rPr>
          <w:lang w:val="ru-RU"/>
        </w:rPr>
        <w:tab/>
        <w:t>Правила ООН № 144 были разработаны неофициальной рабочей группой по системам экстренного реагирования при авариях (</w:t>
      </w:r>
      <w:r>
        <w:rPr>
          <w:lang w:val="en-US"/>
        </w:rPr>
        <w:t>AECS</w:t>
      </w:r>
      <w:r w:rsidRPr="002A51D6">
        <w:rPr>
          <w:lang w:val="ru-RU"/>
        </w:rPr>
        <w:t xml:space="preserve">) и согласованы на 173-ей сессии Всемирного форума  по согласованию требований безопасности в области транспортных средств </w:t>
      </w:r>
      <w:r>
        <w:rPr>
          <w:lang w:val="en-US"/>
        </w:rPr>
        <w:t>WP</w:t>
      </w:r>
      <w:r w:rsidRPr="002A51D6">
        <w:rPr>
          <w:lang w:val="ru-RU"/>
        </w:rPr>
        <w:t xml:space="preserve">.29 в ноябре 2017 года на основании документа </w:t>
      </w:r>
      <w:r w:rsidRPr="007D36FA">
        <w:rPr>
          <w:lang w:val="en-US"/>
        </w:rPr>
        <w:t>ECE</w:t>
      </w:r>
      <w:r w:rsidRPr="002A51D6">
        <w:rPr>
          <w:lang w:val="ru-RU"/>
        </w:rPr>
        <w:t>/</w:t>
      </w:r>
      <w:r w:rsidRPr="007D36FA">
        <w:rPr>
          <w:lang w:val="en-US"/>
        </w:rPr>
        <w:t>TRANS</w:t>
      </w:r>
      <w:r w:rsidRPr="002A51D6">
        <w:rPr>
          <w:lang w:val="ru-RU"/>
        </w:rPr>
        <w:t>/</w:t>
      </w:r>
      <w:r w:rsidRPr="007D36FA">
        <w:rPr>
          <w:lang w:val="en-US"/>
        </w:rPr>
        <w:t>WP</w:t>
      </w:r>
      <w:r w:rsidRPr="002A51D6">
        <w:rPr>
          <w:lang w:val="ru-RU"/>
        </w:rPr>
        <w:t>.29/2017/132 (проект Правил ООН № 144). Правила ООН № 144 вступили в силу 19 июля 2018 года.</w:t>
      </w:r>
    </w:p>
    <w:p w14:paraId="6C5AD6DA" w14:textId="77777777" w:rsidR="007F3A98" w:rsidRPr="002A51D6" w:rsidRDefault="007F3A98" w:rsidP="007F3A98">
      <w:pPr>
        <w:spacing w:before="120" w:after="120"/>
        <w:ind w:left="567" w:right="1134" w:hanging="567"/>
        <w:jc w:val="both"/>
        <w:rPr>
          <w:lang w:val="ru-RU"/>
        </w:rPr>
      </w:pPr>
      <w:r w:rsidRPr="002A51D6">
        <w:rPr>
          <w:lang w:val="ru-RU"/>
        </w:rPr>
        <w:t>2.</w:t>
      </w:r>
      <w:r w:rsidRPr="002A51D6">
        <w:rPr>
          <w:lang w:val="ru-RU"/>
        </w:rPr>
        <w:tab/>
        <w:t xml:space="preserve">Однако, при формировании проекта Правил ООН, неофициальной рабочей группой </w:t>
      </w:r>
      <w:proofErr w:type="gramStart"/>
      <w:r w:rsidRPr="002A51D6">
        <w:rPr>
          <w:lang w:val="ru-RU"/>
        </w:rPr>
        <w:t>непреднамеренно  в</w:t>
      </w:r>
      <w:proofErr w:type="gramEnd"/>
      <w:r w:rsidRPr="002A51D6">
        <w:rPr>
          <w:lang w:val="ru-RU"/>
        </w:rPr>
        <w:t xml:space="preserve"> пункте 1.3(</w:t>
      </w:r>
      <w:r w:rsidRPr="007D36FA">
        <w:rPr>
          <w:lang w:val="en-US"/>
        </w:rPr>
        <w:t>c</w:t>
      </w:r>
      <w:r w:rsidRPr="002A51D6">
        <w:rPr>
          <w:lang w:val="ru-RU"/>
        </w:rPr>
        <w:t xml:space="preserve">) (Область применения) не были упомянуты транспортные средства категории </w:t>
      </w:r>
      <w:r w:rsidRPr="007D36FA">
        <w:rPr>
          <w:lang w:val="en-US"/>
        </w:rPr>
        <w:t>M</w:t>
      </w:r>
      <w:r w:rsidRPr="002A51D6">
        <w:rPr>
          <w:vertAlign w:val="subscript"/>
          <w:lang w:val="ru-RU"/>
        </w:rPr>
        <w:t>1</w:t>
      </w:r>
      <w:r w:rsidRPr="002A51D6">
        <w:rPr>
          <w:lang w:val="ru-RU"/>
        </w:rPr>
        <w:t xml:space="preserve"> ,которые также входят в область применения Правил ООН № 95 и не оснащены боковой подушкой безопасности. </w:t>
      </w:r>
    </w:p>
    <w:p w14:paraId="73F16234" w14:textId="77777777" w:rsidR="007F3A98" w:rsidRPr="002A51D6" w:rsidRDefault="007F3A98" w:rsidP="007F3A98">
      <w:pPr>
        <w:spacing w:before="120" w:after="120"/>
        <w:ind w:left="567" w:right="1134" w:hanging="567"/>
        <w:jc w:val="both"/>
        <w:rPr>
          <w:lang w:val="ru-RU"/>
        </w:rPr>
      </w:pPr>
      <w:r w:rsidRPr="002A51D6">
        <w:rPr>
          <w:lang w:val="ru-RU"/>
        </w:rPr>
        <w:t>3.</w:t>
      </w:r>
      <w:r w:rsidRPr="002A51D6">
        <w:rPr>
          <w:lang w:val="ru-RU"/>
        </w:rPr>
        <w:tab/>
        <w:t xml:space="preserve">В рамках 115-ой сессии </w:t>
      </w:r>
      <w:r>
        <w:rPr>
          <w:lang w:val="en-US"/>
        </w:rPr>
        <w:t>GRSG</w:t>
      </w:r>
      <w:r w:rsidRPr="002A51D6">
        <w:rPr>
          <w:lang w:val="ru-RU"/>
        </w:rPr>
        <w:t xml:space="preserve"> представители </w:t>
      </w:r>
      <w:r>
        <w:rPr>
          <w:lang w:val="en-US"/>
        </w:rPr>
        <w:t>OICA</w:t>
      </w:r>
      <w:r w:rsidRPr="002A51D6">
        <w:rPr>
          <w:lang w:val="ru-RU"/>
        </w:rPr>
        <w:t xml:space="preserve"> представили предложения по изменению положений Правил ООН № 144, с введением дополнений в части ссылок на технологии и требования, применяемые в области пассивной безопасности (</w:t>
      </w:r>
      <w:r w:rsidRPr="009E1BFB">
        <w:rPr>
          <w:lang w:val="en-US"/>
        </w:rPr>
        <w:t>ECE</w:t>
      </w:r>
      <w:r w:rsidRPr="002A51D6">
        <w:rPr>
          <w:lang w:val="ru-RU"/>
        </w:rPr>
        <w:t>/</w:t>
      </w:r>
      <w:r w:rsidRPr="009E1BFB">
        <w:rPr>
          <w:lang w:val="en-US"/>
        </w:rPr>
        <w:t>TRANS</w:t>
      </w:r>
      <w:r w:rsidRPr="002A51D6">
        <w:rPr>
          <w:lang w:val="ru-RU"/>
        </w:rPr>
        <w:t>/</w:t>
      </w:r>
      <w:r w:rsidRPr="009E1BFB">
        <w:rPr>
          <w:lang w:val="en-US"/>
        </w:rPr>
        <w:t>WP</w:t>
      </w:r>
      <w:r w:rsidRPr="002A51D6">
        <w:rPr>
          <w:lang w:val="ru-RU"/>
        </w:rPr>
        <w:t>.29/</w:t>
      </w:r>
      <w:r w:rsidRPr="009E1BFB">
        <w:rPr>
          <w:lang w:val="en-US"/>
        </w:rPr>
        <w:t>GRSG</w:t>
      </w:r>
      <w:r w:rsidRPr="002A51D6">
        <w:rPr>
          <w:lang w:val="ru-RU"/>
        </w:rPr>
        <w:t xml:space="preserve">/2018/23, </w:t>
      </w:r>
      <w:r>
        <w:rPr>
          <w:lang w:val="en-US"/>
        </w:rPr>
        <w:t>GRSG</w:t>
      </w:r>
      <w:r w:rsidRPr="002A51D6">
        <w:rPr>
          <w:lang w:val="ru-RU"/>
        </w:rPr>
        <w:t>-115-</w:t>
      </w:r>
      <w:proofErr w:type="gramStart"/>
      <w:r w:rsidRPr="002A51D6">
        <w:rPr>
          <w:lang w:val="ru-RU"/>
        </w:rPr>
        <w:t>22,</w:t>
      </w:r>
      <w:r w:rsidRPr="009E1BFB">
        <w:rPr>
          <w:lang w:val="en-US"/>
        </w:rPr>
        <w:t>GRSG</w:t>
      </w:r>
      <w:proofErr w:type="gramEnd"/>
      <w:r w:rsidRPr="002A51D6">
        <w:rPr>
          <w:lang w:val="ru-RU"/>
        </w:rPr>
        <w:t xml:space="preserve">-115-23). </w:t>
      </w:r>
    </w:p>
    <w:p w14:paraId="0E514C38" w14:textId="77777777" w:rsidR="007F3A98" w:rsidRPr="002A51D6" w:rsidRDefault="007F3A98" w:rsidP="007F3A98">
      <w:pPr>
        <w:spacing w:before="120" w:after="120"/>
        <w:ind w:left="567" w:right="1134" w:hanging="567"/>
        <w:jc w:val="both"/>
        <w:rPr>
          <w:lang w:val="ru-RU"/>
        </w:rPr>
      </w:pPr>
      <w:proofErr w:type="gramStart"/>
      <w:r w:rsidRPr="002A51D6">
        <w:rPr>
          <w:lang w:val="ru-RU"/>
        </w:rPr>
        <w:t>4.</w:t>
      </w:r>
      <w:r w:rsidRPr="002A51D6">
        <w:rPr>
          <w:lang w:val="ru-RU"/>
        </w:rPr>
        <w:tab/>
        <w:t>С</w:t>
      </w:r>
      <w:proofErr w:type="gramEnd"/>
      <w:r w:rsidRPr="002A51D6">
        <w:rPr>
          <w:lang w:val="ru-RU"/>
        </w:rPr>
        <w:t xml:space="preserve"> учетом большого количества комментариев, озвученных в рамках обсуждения вышеуказанных документов, а также в соответствии с принятым решением по итогам 115-ой сессии </w:t>
      </w:r>
      <w:r>
        <w:rPr>
          <w:lang w:val="en-US"/>
        </w:rPr>
        <w:t>GRGS</w:t>
      </w:r>
      <w:r w:rsidRPr="002A51D6">
        <w:rPr>
          <w:lang w:val="ru-RU"/>
        </w:rPr>
        <w:t xml:space="preserve"> (отчет </w:t>
      </w:r>
      <w:r>
        <w:rPr>
          <w:lang w:val="en-US"/>
        </w:rPr>
        <w:t>ECE</w:t>
      </w:r>
      <w:r w:rsidRPr="002A51D6">
        <w:rPr>
          <w:lang w:val="ru-RU"/>
        </w:rPr>
        <w:t>/</w:t>
      </w:r>
      <w:r>
        <w:rPr>
          <w:lang w:val="en-US"/>
        </w:rPr>
        <w:t>TRANS</w:t>
      </w:r>
      <w:r w:rsidRPr="002A51D6">
        <w:rPr>
          <w:lang w:val="ru-RU"/>
        </w:rPr>
        <w:t>/</w:t>
      </w:r>
      <w:r>
        <w:rPr>
          <w:lang w:val="en-US"/>
        </w:rPr>
        <w:t>WP</w:t>
      </w:r>
      <w:r w:rsidRPr="002A51D6">
        <w:rPr>
          <w:lang w:val="ru-RU"/>
        </w:rPr>
        <w:t>.29/</w:t>
      </w:r>
      <w:r>
        <w:rPr>
          <w:lang w:val="en-US"/>
        </w:rPr>
        <w:t>GRSG</w:t>
      </w:r>
      <w:r w:rsidRPr="002A51D6">
        <w:rPr>
          <w:lang w:val="ru-RU"/>
        </w:rPr>
        <w:t xml:space="preserve">/94, </w:t>
      </w:r>
      <w:r>
        <w:rPr>
          <w:lang w:val="en-US"/>
        </w:rPr>
        <w:t>item</w:t>
      </w:r>
      <w:r w:rsidRPr="002A51D6">
        <w:rPr>
          <w:lang w:val="ru-RU"/>
        </w:rPr>
        <w:t xml:space="preserve"> 56), представителями Российской Федерации были разработаны настоящие предложения.</w:t>
      </w:r>
    </w:p>
    <w:p w14:paraId="5FE5C666" w14:textId="77777777" w:rsidR="007F3A98" w:rsidRPr="002A51D6" w:rsidRDefault="007F3A98" w:rsidP="007F3A98">
      <w:pPr>
        <w:spacing w:before="120" w:after="120"/>
        <w:ind w:left="567" w:right="1134" w:hanging="567"/>
        <w:jc w:val="both"/>
        <w:rPr>
          <w:lang w:val="ru-RU"/>
        </w:rPr>
      </w:pPr>
      <w:r w:rsidRPr="002A51D6">
        <w:rPr>
          <w:lang w:val="ru-RU"/>
        </w:rPr>
        <w:t>5.</w:t>
      </w:r>
      <w:r w:rsidRPr="002A51D6">
        <w:rPr>
          <w:lang w:val="ru-RU"/>
        </w:rPr>
        <w:tab/>
        <w:t xml:space="preserve">В рамках работы неофициальной группы </w:t>
      </w:r>
      <w:r>
        <w:rPr>
          <w:lang w:val="en-US"/>
        </w:rPr>
        <w:t>AECS</w:t>
      </w:r>
      <w:r w:rsidRPr="002A51D6">
        <w:rPr>
          <w:lang w:val="ru-RU"/>
        </w:rPr>
        <w:t xml:space="preserve"> (работа которой началась в 2013 году) изначально было принято решение о </w:t>
      </w:r>
      <w:proofErr w:type="gramStart"/>
      <w:r w:rsidRPr="002A51D6">
        <w:rPr>
          <w:lang w:val="ru-RU"/>
        </w:rPr>
        <w:t>введении  исключений</w:t>
      </w:r>
      <w:proofErr w:type="gramEnd"/>
      <w:r w:rsidRPr="002A51D6">
        <w:rPr>
          <w:lang w:val="ru-RU"/>
        </w:rPr>
        <w:t xml:space="preserve"> в рамках Области применения Правил ООН №144, указанных в </w:t>
      </w:r>
      <w:proofErr w:type="spellStart"/>
      <w:r w:rsidRPr="002A51D6">
        <w:rPr>
          <w:lang w:val="ru-RU"/>
        </w:rPr>
        <w:t>п.п</w:t>
      </w:r>
      <w:proofErr w:type="spellEnd"/>
      <w:r w:rsidRPr="002A51D6">
        <w:rPr>
          <w:lang w:val="ru-RU"/>
        </w:rPr>
        <w:t>. (</w:t>
      </w:r>
      <w:r w:rsidRPr="00C157CD">
        <w:rPr>
          <w:lang w:val="en-GB"/>
        </w:rPr>
        <w:t>b</w:t>
      </w:r>
      <w:r w:rsidRPr="002A51D6">
        <w:rPr>
          <w:lang w:val="ru-RU"/>
        </w:rPr>
        <w:t>)-(</w:t>
      </w:r>
      <w:r w:rsidRPr="00C157CD">
        <w:rPr>
          <w:lang w:val="en-GB"/>
        </w:rPr>
        <w:t>d</w:t>
      </w:r>
      <w:r w:rsidRPr="002A51D6">
        <w:rPr>
          <w:lang w:val="ru-RU"/>
        </w:rPr>
        <w:t xml:space="preserve">). Соответствующие решения были приняты на начальном этапе работы группы </w:t>
      </w:r>
      <w:r>
        <w:rPr>
          <w:lang w:val="en-US"/>
        </w:rPr>
        <w:t>AECS</w:t>
      </w:r>
      <w:r w:rsidRPr="002A51D6">
        <w:rPr>
          <w:lang w:val="ru-RU"/>
        </w:rPr>
        <w:t xml:space="preserve"> на основе результатов исследовательских испытаний. На данном этапе не было большого объема данных в отношении сертификационных испытаний транспортных средств в части оценки работоспособности системы экстренного реагирования при авариях.</w:t>
      </w:r>
    </w:p>
    <w:p w14:paraId="0CF930E4" w14:textId="77777777" w:rsidR="007F3A98" w:rsidRPr="002A51D6" w:rsidRDefault="007F3A98" w:rsidP="007F3A98">
      <w:pPr>
        <w:spacing w:before="120" w:after="120"/>
        <w:ind w:left="567" w:right="1134" w:hanging="567"/>
        <w:jc w:val="both"/>
        <w:rPr>
          <w:lang w:val="ru-RU"/>
        </w:rPr>
      </w:pPr>
      <w:r w:rsidRPr="002A51D6">
        <w:rPr>
          <w:lang w:val="ru-RU"/>
        </w:rPr>
        <w:t>6.</w:t>
      </w:r>
      <w:r w:rsidRPr="002A51D6">
        <w:rPr>
          <w:lang w:val="ru-RU"/>
        </w:rPr>
        <w:tab/>
        <w:t xml:space="preserve">Требования Таможенного союза предписывают, что все транспортные средства </w:t>
      </w:r>
      <w:r w:rsidRPr="00C157CD">
        <w:rPr>
          <w:lang w:val="en-GB"/>
        </w:rPr>
        <w:t>M</w:t>
      </w:r>
      <w:r w:rsidRPr="002A51D6">
        <w:rPr>
          <w:vertAlign w:val="subscript"/>
          <w:lang w:val="ru-RU"/>
        </w:rPr>
        <w:t>1</w:t>
      </w:r>
      <w:r w:rsidRPr="002A51D6">
        <w:rPr>
          <w:lang w:val="ru-RU"/>
        </w:rPr>
        <w:t xml:space="preserve">, входящие в область применения Правил ООН № 94 и 95 и категории </w:t>
      </w:r>
      <w:r w:rsidRPr="00C157CD">
        <w:rPr>
          <w:lang w:val="en-GB"/>
        </w:rPr>
        <w:t>N</w:t>
      </w:r>
      <w:r w:rsidRPr="002A51D6">
        <w:rPr>
          <w:vertAlign w:val="subscript"/>
          <w:lang w:val="ru-RU"/>
        </w:rPr>
        <w:t xml:space="preserve">1, </w:t>
      </w:r>
      <w:r w:rsidRPr="002A51D6">
        <w:rPr>
          <w:lang w:val="ru-RU"/>
        </w:rPr>
        <w:t xml:space="preserve">входящие в область применения Правил ООН № 95 должны комплектоваться системой вызова экстренных оперативных служб, которая должна обеспечить передачу МНД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определяющих уровень замедления транспортного средства при проведении испытаний, предусмотренных Правилами ООН № 94 и 95 (какое применимо). </w:t>
      </w:r>
    </w:p>
    <w:p w14:paraId="4ED55BA4" w14:textId="77777777" w:rsidR="007F3A98" w:rsidRPr="002A51D6" w:rsidRDefault="007F3A98" w:rsidP="007F3A98">
      <w:pPr>
        <w:spacing w:before="120" w:after="120"/>
        <w:ind w:left="567" w:right="1134" w:hanging="567"/>
        <w:jc w:val="both"/>
        <w:rPr>
          <w:lang w:val="ru-RU"/>
        </w:rPr>
      </w:pPr>
      <w:proofErr w:type="gramStart"/>
      <w:r w:rsidRPr="002A51D6">
        <w:rPr>
          <w:lang w:val="ru-RU"/>
        </w:rPr>
        <w:t>7.</w:t>
      </w:r>
      <w:r w:rsidRPr="002A51D6">
        <w:rPr>
          <w:lang w:val="ru-RU"/>
        </w:rPr>
        <w:tab/>
        <w:t>К</w:t>
      </w:r>
      <w:proofErr w:type="gramEnd"/>
      <w:r w:rsidRPr="002A51D6">
        <w:rPr>
          <w:lang w:val="ru-RU"/>
        </w:rPr>
        <w:t xml:space="preserve"> настоящему времени проведены сотни сертификационных испытаний транспортных средств, оборудованных системами экстренного реагирования при авариях на соответствие вышеуказанным требованиям Таможенного союза, и:</w:t>
      </w:r>
    </w:p>
    <w:p w14:paraId="6A2980FC" w14:textId="77777777" w:rsidR="007F3A98" w:rsidRPr="002A51D6" w:rsidRDefault="007F3A98" w:rsidP="007F3A98">
      <w:pPr>
        <w:spacing w:before="120" w:after="120" w:line="240" w:lineRule="auto"/>
        <w:ind w:left="567" w:right="1134" w:hanging="567"/>
        <w:jc w:val="both"/>
        <w:rPr>
          <w:lang w:val="ru-RU"/>
        </w:rPr>
      </w:pPr>
      <w:r w:rsidRPr="002A51D6">
        <w:rPr>
          <w:lang w:val="ru-RU"/>
        </w:rPr>
        <w:t>-</w:t>
      </w:r>
      <w:r w:rsidRPr="002A51D6">
        <w:rPr>
          <w:lang w:val="ru-RU"/>
        </w:rPr>
        <w:tab/>
        <w:t>все транспортные средства, входящие в область применения Правил ООН № 94 и/или 95 (какое применимо) были испытаны с целью оценки работоспособности системы (передача МНД и установление двустороннего голосового соединения) с целью оценки их соответствия требованиям, указанным выше;</w:t>
      </w:r>
    </w:p>
    <w:p w14:paraId="55463EA7" w14:textId="77777777" w:rsidR="007F3A98" w:rsidRPr="002A51D6" w:rsidRDefault="007F3A98" w:rsidP="007F3A98">
      <w:pPr>
        <w:spacing w:before="120" w:after="120" w:line="240" w:lineRule="auto"/>
        <w:ind w:left="567" w:right="1134" w:hanging="567"/>
        <w:jc w:val="both"/>
        <w:rPr>
          <w:lang w:val="ru-RU"/>
        </w:rPr>
      </w:pPr>
      <w:r w:rsidRPr="002A51D6">
        <w:rPr>
          <w:lang w:val="ru-RU"/>
        </w:rPr>
        <w:t>-</w:t>
      </w:r>
      <w:r w:rsidRPr="002A51D6">
        <w:rPr>
          <w:lang w:val="ru-RU"/>
        </w:rPr>
        <w:tab/>
        <w:t>некоторые испытанные транспортные средства не были оснащены боковой подушкой безопасности и успешно прошли испытания в части оценки работоспособности системы при проведении испытаний, предусмотренных Правилами ООН № 95;</w:t>
      </w:r>
    </w:p>
    <w:p w14:paraId="02DE7738" w14:textId="77777777" w:rsidR="007F3A98" w:rsidRPr="002A51D6" w:rsidRDefault="007F3A98" w:rsidP="007F3A98">
      <w:pPr>
        <w:spacing w:before="120" w:after="120" w:line="240" w:lineRule="auto"/>
        <w:ind w:left="567" w:right="1134" w:hanging="567"/>
        <w:jc w:val="both"/>
        <w:rPr>
          <w:lang w:val="ru-RU"/>
        </w:rPr>
      </w:pPr>
      <w:r w:rsidRPr="002A51D6">
        <w:rPr>
          <w:lang w:val="ru-RU"/>
        </w:rPr>
        <w:t>-</w:t>
      </w:r>
      <w:r w:rsidRPr="002A51D6">
        <w:rPr>
          <w:lang w:val="ru-RU"/>
        </w:rPr>
        <w:tab/>
        <w:t xml:space="preserve">некоторые транспортные средства, имеющие одобрения типа (выпущенные в обращение на территории Таможенного союза) были испытаны в рамках программ Государственного надзора в части их оценки требованиям в отношении работоспособности системы. </w:t>
      </w:r>
    </w:p>
    <w:p w14:paraId="2B905E0F" w14:textId="77777777" w:rsidR="007F3A98" w:rsidRPr="002A51D6" w:rsidRDefault="007F3A98" w:rsidP="007F3A98">
      <w:pPr>
        <w:spacing w:before="120" w:after="120"/>
        <w:ind w:left="567" w:right="1134" w:hanging="567"/>
        <w:jc w:val="both"/>
        <w:rPr>
          <w:lang w:val="ru-RU"/>
        </w:rPr>
      </w:pPr>
      <w:r w:rsidRPr="002A51D6">
        <w:rPr>
          <w:lang w:val="ru-RU"/>
        </w:rPr>
        <w:t>8.</w:t>
      </w:r>
      <w:r w:rsidRPr="002A51D6">
        <w:rPr>
          <w:lang w:val="ru-RU"/>
        </w:rPr>
        <w:tab/>
        <w:t xml:space="preserve">Основная идея оценки </w:t>
      </w:r>
      <w:proofErr w:type="gramStart"/>
      <w:r w:rsidRPr="002A51D6">
        <w:rPr>
          <w:lang w:val="ru-RU"/>
        </w:rPr>
        <w:t>соответствия  согласно</w:t>
      </w:r>
      <w:proofErr w:type="gramEnd"/>
      <w:r w:rsidRPr="002A51D6">
        <w:rPr>
          <w:lang w:val="ru-RU"/>
        </w:rPr>
        <w:t xml:space="preserve"> Правилам ООН № 144 – проверка работоспособности системы экстренного реагирования при авариях (передача МНД, установление двустороннего голосового соединения), а не оценка работоспособности систем (технологий) пассивной безопасности, для оценки которых применяются другие Правила ООН.</w:t>
      </w:r>
    </w:p>
    <w:p w14:paraId="5C754090" w14:textId="2AAB9260" w:rsidR="007F3A98" w:rsidRPr="002A51D6" w:rsidRDefault="007F3A98" w:rsidP="007F3A98">
      <w:pPr>
        <w:spacing w:before="120" w:after="120"/>
        <w:ind w:left="567" w:right="1134" w:hanging="567"/>
        <w:jc w:val="both"/>
        <w:rPr>
          <w:lang w:val="ru-RU"/>
        </w:rPr>
      </w:pPr>
      <w:r w:rsidRPr="002A51D6">
        <w:rPr>
          <w:lang w:val="ru-RU"/>
        </w:rPr>
        <w:t>9.</w:t>
      </w:r>
      <w:r w:rsidRPr="002A51D6">
        <w:rPr>
          <w:lang w:val="ru-RU"/>
        </w:rPr>
        <w:tab/>
        <w:t>Принимая во внимание вышеизложенное, мы предлагаем исключить из Области применения (пункт 1.3) подпункты (</w:t>
      </w:r>
      <w:r w:rsidRPr="00551960">
        <w:rPr>
          <w:lang w:val="en-GB"/>
        </w:rPr>
        <w:t>b</w:t>
      </w:r>
      <w:r w:rsidRPr="002A51D6">
        <w:rPr>
          <w:lang w:val="ru-RU"/>
        </w:rPr>
        <w:t>)-(</w:t>
      </w:r>
      <w:r w:rsidR="00053F3D">
        <w:rPr>
          <w:lang w:val="ru-RU"/>
        </w:rPr>
        <w:t>с</w:t>
      </w:r>
      <w:r w:rsidRPr="002A51D6">
        <w:rPr>
          <w:lang w:val="ru-RU"/>
        </w:rPr>
        <w:t xml:space="preserve">). </w:t>
      </w:r>
    </w:p>
    <w:p w14:paraId="193AC05D" w14:textId="77777777" w:rsidR="007F3A98" w:rsidRPr="002A51D6" w:rsidRDefault="007F3A98" w:rsidP="007F3A98">
      <w:pPr>
        <w:spacing w:before="120" w:after="120"/>
        <w:ind w:left="567" w:right="1134" w:hanging="567"/>
        <w:jc w:val="both"/>
        <w:rPr>
          <w:lang w:val="ru-RU"/>
        </w:rPr>
      </w:pPr>
      <w:r w:rsidRPr="002A51D6">
        <w:rPr>
          <w:lang w:val="ru-RU"/>
        </w:rPr>
        <w:lastRenderedPageBreak/>
        <w:t>10.</w:t>
      </w:r>
      <w:r w:rsidRPr="002A51D6">
        <w:rPr>
          <w:lang w:val="ru-RU"/>
        </w:rPr>
        <w:tab/>
        <w:t xml:space="preserve">Исключение ссылок на “транспортные средства категорий </w:t>
      </w:r>
      <w:r w:rsidRPr="00551960">
        <w:rPr>
          <w:lang w:val="en-GB"/>
        </w:rPr>
        <w:t>M</w:t>
      </w:r>
      <w:r w:rsidRPr="002A51D6">
        <w:rPr>
          <w:vertAlign w:val="subscript"/>
          <w:lang w:val="ru-RU"/>
        </w:rPr>
        <w:t>1</w:t>
      </w:r>
      <w:r w:rsidRPr="002A51D6">
        <w:rPr>
          <w:lang w:val="ru-RU"/>
        </w:rPr>
        <w:t xml:space="preserve"> и </w:t>
      </w:r>
      <w:r w:rsidRPr="00551960">
        <w:rPr>
          <w:lang w:val="en-GB"/>
        </w:rPr>
        <w:t>N</w:t>
      </w:r>
      <w:r w:rsidRPr="002A51D6">
        <w:rPr>
          <w:vertAlign w:val="subscript"/>
          <w:lang w:val="ru-RU"/>
        </w:rPr>
        <w:t>1</w:t>
      </w:r>
      <w:r w:rsidRPr="002A51D6">
        <w:rPr>
          <w:lang w:val="ru-RU"/>
        </w:rPr>
        <w:t xml:space="preserve"> ” в разделах, касающихся устройства/компонента устройства (Область применения (1.1 (</w:t>
      </w:r>
      <w:r>
        <w:rPr>
          <w:lang w:val="en-GB"/>
        </w:rPr>
        <w:t>b</w:t>
      </w:r>
      <w:r w:rsidRPr="002A51D6">
        <w:rPr>
          <w:lang w:val="ru-RU"/>
        </w:rPr>
        <w:t xml:space="preserve">), Приложение 1 и Приложение 2) позволит Договаривающимся сторонам применять соответствующие требования на национальном уровне для оценки соответствия устройств вызова экстренных служб, предназначенных для установки на транспортные средства категорий отличных от </w:t>
      </w:r>
      <w:r w:rsidRPr="00551960">
        <w:rPr>
          <w:lang w:val="en-GB"/>
        </w:rPr>
        <w:t>M</w:t>
      </w:r>
      <w:r w:rsidRPr="002A51D6">
        <w:rPr>
          <w:vertAlign w:val="subscript"/>
          <w:lang w:val="ru-RU"/>
        </w:rPr>
        <w:t>1</w:t>
      </w:r>
      <w:r w:rsidRPr="002A51D6">
        <w:rPr>
          <w:lang w:val="ru-RU"/>
        </w:rPr>
        <w:t xml:space="preserve"> и </w:t>
      </w:r>
      <w:r w:rsidRPr="00551960">
        <w:rPr>
          <w:lang w:val="en-GB"/>
        </w:rPr>
        <w:t>N</w:t>
      </w:r>
      <w:r w:rsidRPr="002A51D6">
        <w:rPr>
          <w:vertAlign w:val="subscript"/>
          <w:lang w:val="ru-RU"/>
        </w:rPr>
        <w:t>1</w:t>
      </w:r>
      <w:r w:rsidRPr="002A51D6">
        <w:rPr>
          <w:lang w:val="ru-RU"/>
        </w:rPr>
        <w:t>. Соответствующие изменения не меняют требований безопасности Правил ООН № 144.</w:t>
      </w:r>
    </w:p>
    <w:p w14:paraId="7DF26069" w14:textId="0302CA4A" w:rsidR="007F3A98" w:rsidRPr="002A51D6" w:rsidRDefault="007F3A98" w:rsidP="007F3A98">
      <w:pPr>
        <w:spacing w:before="120" w:after="120"/>
        <w:ind w:left="567" w:right="1134" w:hanging="567"/>
        <w:jc w:val="both"/>
        <w:rPr>
          <w:lang w:val="ru-RU"/>
        </w:rPr>
      </w:pPr>
      <w:r w:rsidRPr="002A51D6">
        <w:rPr>
          <w:lang w:val="ru-RU"/>
        </w:rPr>
        <w:t xml:space="preserve">11. </w:t>
      </w:r>
      <w:r w:rsidR="00F6097F">
        <w:rPr>
          <w:lang w:val="ru-RU"/>
        </w:rPr>
        <w:tab/>
      </w:r>
      <w:r w:rsidRPr="002A51D6">
        <w:rPr>
          <w:lang w:val="ru-RU"/>
        </w:rPr>
        <w:t xml:space="preserve">Другие исправления по тексту </w:t>
      </w:r>
      <w:proofErr w:type="gramStart"/>
      <w:r w:rsidRPr="002A51D6">
        <w:rPr>
          <w:lang w:val="ru-RU"/>
        </w:rPr>
        <w:t>носят  характер</w:t>
      </w:r>
      <w:proofErr w:type="gramEnd"/>
      <w:r w:rsidRPr="002A51D6">
        <w:rPr>
          <w:lang w:val="ru-RU"/>
        </w:rPr>
        <w:t xml:space="preserve"> редакционных правок.</w:t>
      </w:r>
    </w:p>
    <w:p w14:paraId="566997ED" w14:textId="3F905E4B" w:rsidR="007F3A98" w:rsidRPr="002A51D6" w:rsidRDefault="002A51D6" w:rsidP="002A51D6">
      <w:pPr>
        <w:spacing w:before="120" w:after="120"/>
        <w:ind w:left="851" w:right="1134"/>
        <w:jc w:val="center"/>
      </w:pPr>
      <w:r>
        <w:t>_________________________</w:t>
      </w:r>
      <w:bookmarkStart w:id="2" w:name="_GoBack"/>
      <w:bookmarkEnd w:id="2"/>
    </w:p>
    <w:sectPr w:rsidR="007F3A98" w:rsidRPr="002A51D6" w:rsidSect="007F3A9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F88F" w14:textId="77777777" w:rsidR="00291500" w:rsidRDefault="00291500"/>
  </w:endnote>
  <w:endnote w:type="continuationSeparator" w:id="0">
    <w:p w14:paraId="19B3D736" w14:textId="77777777" w:rsidR="00291500" w:rsidRDefault="00291500"/>
  </w:endnote>
  <w:endnote w:type="continuationNotice" w:id="1">
    <w:p w14:paraId="6846CF01" w14:textId="77777777" w:rsidR="00291500" w:rsidRDefault="0029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CD55" w14:textId="77777777" w:rsidR="00C243B6" w:rsidRPr="00D6579D" w:rsidRDefault="00C243B6"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72CE" w14:textId="77777777" w:rsidR="00291500" w:rsidRPr="00D27D5E" w:rsidRDefault="00291500" w:rsidP="00D27D5E">
      <w:pPr>
        <w:tabs>
          <w:tab w:val="right" w:pos="2155"/>
        </w:tabs>
        <w:spacing w:after="80"/>
        <w:ind w:left="680"/>
        <w:rPr>
          <w:u w:val="single"/>
        </w:rPr>
      </w:pPr>
      <w:r>
        <w:rPr>
          <w:u w:val="single"/>
        </w:rPr>
        <w:tab/>
      </w:r>
    </w:p>
  </w:footnote>
  <w:footnote w:type="continuationSeparator" w:id="0">
    <w:p w14:paraId="1160F670" w14:textId="77777777" w:rsidR="00291500" w:rsidRDefault="00291500">
      <w:r>
        <w:rPr>
          <w:u w:val="single"/>
        </w:rPr>
        <w:tab/>
      </w:r>
      <w:r>
        <w:rPr>
          <w:u w:val="single"/>
        </w:rPr>
        <w:tab/>
      </w:r>
      <w:r>
        <w:rPr>
          <w:u w:val="single"/>
        </w:rPr>
        <w:tab/>
      </w:r>
      <w:r>
        <w:rPr>
          <w:u w:val="single"/>
        </w:rPr>
        <w:tab/>
      </w:r>
    </w:p>
  </w:footnote>
  <w:footnote w:type="continuationNotice" w:id="1">
    <w:p w14:paraId="1A800877" w14:textId="77777777" w:rsidR="00291500" w:rsidRDefault="00291500"/>
  </w:footnote>
  <w:footnote w:id="2">
    <w:p w14:paraId="3E29F1E2" w14:textId="54732364" w:rsidR="00BE518E" w:rsidRPr="00307F64" w:rsidRDefault="00BE518E" w:rsidP="00BE518E">
      <w:pPr>
        <w:pStyle w:val="FootnoteText"/>
        <w:widowControl w:val="0"/>
        <w:tabs>
          <w:tab w:val="clear" w:pos="1021"/>
          <w:tab w:val="right" w:pos="1020"/>
        </w:tabs>
      </w:pPr>
      <w:r w:rsidRPr="00307F64">
        <w:t>.</w:t>
      </w:r>
    </w:p>
  </w:footnote>
  <w:footnote w:id="3">
    <w:p w14:paraId="78F1E1A5" w14:textId="6B171862" w:rsidR="00AA43AA" w:rsidRPr="0023459E" w:rsidRDefault="00AA43AA" w:rsidP="00AA43AA">
      <w:pPr>
        <w:pStyle w:val="FootnoteText"/>
        <w:rPr>
          <w:vertAlign w:val="superscript"/>
          <w:lang w:val="ru-RU"/>
        </w:rPr>
      </w:pPr>
      <w:r>
        <w:tab/>
      </w:r>
      <w:r>
        <w:rPr>
          <w:rStyle w:val="FootnoteReference"/>
        </w:rPr>
        <w:t> </w:t>
      </w:r>
    </w:p>
  </w:footnote>
  <w:footnote w:id="4">
    <w:p w14:paraId="726A7EDC" w14:textId="0FE586E8" w:rsidR="00AA43AA" w:rsidRPr="008A16FC" w:rsidRDefault="00AA43AA" w:rsidP="00AA43AA">
      <w:pPr>
        <w:pStyle w:val="FootnoteText"/>
        <w:rPr>
          <w:b/>
          <w:bCs/>
        </w:rPr>
      </w:pPr>
      <w:r w:rsidRPr="007B0E2C">
        <w:tab/>
      </w:r>
      <w:r w:rsidRPr="007B0E2C">
        <w:tab/>
      </w:r>
    </w:p>
  </w:footnote>
  <w:footnote w:id="5">
    <w:p w14:paraId="667E07FE" w14:textId="0333DBFC" w:rsidR="0023459E" w:rsidRPr="0023459E" w:rsidRDefault="0023459E" w:rsidP="0023459E">
      <w:pPr>
        <w:pStyle w:val="FootnoteText"/>
        <w:rPr>
          <w:vertAlign w:val="superscript"/>
          <w:lang w:val="ru-RU"/>
        </w:rPr>
      </w:pPr>
      <w:r>
        <w:tab/>
      </w:r>
      <w:r>
        <w:rPr>
          <w:rStyle w:val="FootnoteReference"/>
        </w:rPr>
        <w:t> </w:t>
      </w:r>
      <w:r w:rsidRPr="007B0E2C">
        <w:t xml:space="preserve"> </w:t>
      </w:r>
    </w:p>
  </w:footnote>
  <w:footnote w:id="6">
    <w:p w14:paraId="0C058DEB" w14:textId="5914A326" w:rsidR="0023459E" w:rsidRPr="0024642E" w:rsidRDefault="0023459E" w:rsidP="0023459E">
      <w:pPr>
        <w:pStyle w:val="FootnoteText"/>
        <w:ind w:left="0" w:firstLine="0"/>
      </w:pPr>
      <w:r w:rsidRPr="009B21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DB10" w14:textId="77777777" w:rsidR="00C243B6" w:rsidRPr="00734D34" w:rsidRDefault="00C243B6" w:rsidP="00091F47">
    <w:pPr>
      <w:pStyle w:val="Header"/>
    </w:pPr>
    <w:r w:rsidRPr="00734D34">
      <w:t>ECE/TRANS/WP.29/GRSG/2016/19</w:t>
    </w:r>
  </w:p>
  <w:p w14:paraId="6385D804" w14:textId="77777777" w:rsidR="00C243B6" w:rsidRPr="00734D34" w:rsidRDefault="00C243B6" w:rsidP="00091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4DD6ACA"/>
    <w:multiLevelType w:val="hybridMultilevel"/>
    <w:tmpl w:val="4E9E6FEA"/>
    <w:lvl w:ilvl="0" w:tplc="F9AE26F0">
      <w:start w:val="1"/>
      <w:numFmt w:val="bullet"/>
      <w:lvlText w:val="-"/>
      <w:lvlJc w:val="left"/>
      <w:pPr>
        <w:ind w:left="2628" w:hanging="360"/>
      </w:pPr>
      <w:rPr>
        <w:rFonts w:ascii="Times New Roman" w:eastAsia="MS Mincho"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1"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5"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3"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4"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8"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1"/>
  </w:num>
  <w:num w:numId="2">
    <w:abstractNumId w:val="17"/>
  </w:num>
  <w:num w:numId="3">
    <w:abstractNumId w:val="26"/>
  </w:num>
  <w:num w:numId="4">
    <w:abstractNumId w:val="5"/>
  </w:num>
  <w:num w:numId="5">
    <w:abstractNumId w:val="3"/>
  </w:num>
  <w:num w:numId="6">
    <w:abstractNumId w:val="12"/>
  </w:num>
  <w:num w:numId="7">
    <w:abstractNumId w:val="18"/>
  </w:num>
  <w:num w:numId="8">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0"/>
  </w:num>
  <w:num w:numId="11">
    <w:abstractNumId w:val="10"/>
  </w:num>
  <w:num w:numId="12">
    <w:abstractNumId w:val="34"/>
  </w:num>
  <w:num w:numId="13">
    <w:abstractNumId w:val="9"/>
  </w:num>
  <w:num w:numId="14">
    <w:abstractNumId w:val="25"/>
  </w:num>
  <w:num w:numId="15">
    <w:abstractNumId w:val="27"/>
  </w:num>
  <w:num w:numId="16">
    <w:abstractNumId w:val="19"/>
  </w:num>
  <w:num w:numId="17">
    <w:abstractNumId w:val="39"/>
  </w:num>
  <w:num w:numId="18">
    <w:abstractNumId w:val="2"/>
  </w:num>
  <w:num w:numId="19">
    <w:abstractNumId w:val="4"/>
  </w:num>
  <w:num w:numId="20">
    <w:abstractNumId w:val="24"/>
  </w:num>
  <w:num w:numId="21">
    <w:abstractNumId w:val="22"/>
  </w:num>
  <w:num w:numId="22">
    <w:abstractNumId w:val="11"/>
  </w:num>
  <w:num w:numId="23">
    <w:abstractNumId w:val="37"/>
  </w:num>
  <w:num w:numId="24">
    <w:abstractNumId w:val="23"/>
  </w:num>
  <w:num w:numId="25">
    <w:abstractNumId w:val="36"/>
  </w:num>
  <w:num w:numId="26">
    <w:abstractNumId w:val="14"/>
  </w:num>
  <w:num w:numId="27">
    <w:abstractNumId w:val="16"/>
  </w:num>
  <w:num w:numId="28">
    <w:abstractNumId w:val="6"/>
  </w:num>
  <w:num w:numId="29">
    <w:abstractNumId w:val="8"/>
  </w:num>
  <w:num w:numId="30">
    <w:abstractNumId w:val="21"/>
  </w:num>
  <w:num w:numId="31">
    <w:abstractNumId w:val="13"/>
  </w:num>
  <w:num w:numId="32">
    <w:abstractNumId w:val="15"/>
  </w:num>
  <w:num w:numId="33">
    <w:abstractNumId w:val="35"/>
  </w:num>
  <w:num w:numId="34">
    <w:abstractNumId w:val="29"/>
  </w:num>
  <w:num w:numId="35">
    <w:abstractNumId w:val="28"/>
  </w:num>
  <w:num w:numId="36">
    <w:abstractNumId w:val="33"/>
  </w:num>
  <w:num w:numId="37">
    <w:abstractNumId w:val="38"/>
  </w:num>
  <w:num w:numId="38">
    <w:abstractNumId w:val="32"/>
  </w:num>
  <w:num w:numId="39">
    <w:abstractNumId w:val="1"/>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5428"/>
    <w:rsid w:val="00045F46"/>
    <w:rsid w:val="00052C97"/>
    <w:rsid w:val="00052F65"/>
    <w:rsid w:val="00053AD5"/>
    <w:rsid w:val="00053F3D"/>
    <w:rsid w:val="00056173"/>
    <w:rsid w:val="00056841"/>
    <w:rsid w:val="000571C0"/>
    <w:rsid w:val="00057396"/>
    <w:rsid w:val="00057CFF"/>
    <w:rsid w:val="000638ED"/>
    <w:rsid w:val="00063D37"/>
    <w:rsid w:val="00066DC1"/>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45B"/>
    <w:rsid w:val="000F270F"/>
    <w:rsid w:val="000F2A46"/>
    <w:rsid w:val="000F3639"/>
    <w:rsid w:val="000F3B3D"/>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AF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1C6"/>
    <w:rsid w:val="001509B1"/>
    <w:rsid w:val="001529E2"/>
    <w:rsid w:val="001534D0"/>
    <w:rsid w:val="00153756"/>
    <w:rsid w:val="00154296"/>
    <w:rsid w:val="001556F0"/>
    <w:rsid w:val="00155CFB"/>
    <w:rsid w:val="00157DB2"/>
    <w:rsid w:val="00160540"/>
    <w:rsid w:val="001616D3"/>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B759C"/>
    <w:rsid w:val="001C088E"/>
    <w:rsid w:val="001C1C2A"/>
    <w:rsid w:val="001C35D9"/>
    <w:rsid w:val="001C51E5"/>
    <w:rsid w:val="001C60AE"/>
    <w:rsid w:val="001C6712"/>
    <w:rsid w:val="001C7674"/>
    <w:rsid w:val="001C785B"/>
    <w:rsid w:val="001C7E75"/>
    <w:rsid w:val="001D0D93"/>
    <w:rsid w:val="001D2009"/>
    <w:rsid w:val="001D40B8"/>
    <w:rsid w:val="001D4B4E"/>
    <w:rsid w:val="001D74C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59E"/>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490E"/>
    <w:rsid w:val="00255B35"/>
    <w:rsid w:val="00256BE1"/>
    <w:rsid w:val="00257391"/>
    <w:rsid w:val="002573B8"/>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BE7"/>
    <w:rsid w:val="00287E79"/>
    <w:rsid w:val="0029070F"/>
    <w:rsid w:val="0029084B"/>
    <w:rsid w:val="00290DE0"/>
    <w:rsid w:val="00290E5E"/>
    <w:rsid w:val="00291021"/>
    <w:rsid w:val="00291500"/>
    <w:rsid w:val="002928F9"/>
    <w:rsid w:val="00293F81"/>
    <w:rsid w:val="00294131"/>
    <w:rsid w:val="0029413F"/>
    <w:rsid w:val="002A06B9"/>
    <w:rsid w:val="002A073F"/>
    <w:rsid w:val="002A0C4C"/>
    <w:rsid w:val="002A2C89"/>
    <w:rsid w:val="002A3620"/>
    <w:rsid w:val="002A3BFF"/>
    <w:rsid w:val="002A49E3"/>
    <w:rsid w:val="002A51D6"/>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C766F"/>
    <w:rsid w:val="002D1E85"/>
    <w:rsid w:val="002D25F8"/>
    <w:rsid w:val="002D29F6"/>
    <w:rsid w:val="002D2D6F"/>
    <w:rsid w:val="002D30C5"/>
    <w:rsid w:val="002D505E"/>
    <w:rsid w:val="002D6010"/>
    <w:rsid w:val="002D7E40"/>
    <w:rsid w:val="002E07AF"/>
    <w:rsid w:val="002E130D"/>
    <w:rsid w:val="002E289D"/>
    <w:rsid w:val="002E36D6"/>
    <w:rsid w:val="002F03FC"/>
    <w:rsid w:val="002F095B"/>
    <w:rsid w:val="002F0EAD"/>
    <w:rsid w:val="002F149D"/>
    <w:rsid w:val="002F2F3C"/>
    <w:rsid w:val="002F32A9"/>
    <w:rsid w:val="002F55CB"/>
    <w:rsid w:val="002F7163"/>
    <w:rsid w:val="00300A98"/>
    <w:rsid w:val="00300C1F"/>
    <w:rsid w:val="00300FF7"/>
    <w:rsid w:val="003016B7"/>
    <w:rsid w:val="0030185D"/>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3212"/>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BB9"/>
    <w:rsid w:val="00342FE6"/>
    <w:rsid w:val="003433EF"/>
    <w:rsid w:val="00344278"/>
    <w:rsid w:val="003479CF"/>
    <w:rsid w:val="003501AE"/>
    <w:rsid w:val="003505C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07FE7"/>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97070"/>
    <w:rsid w:val="004A0551"/>
    <w:rsid w:val="004A0C37"/>
    <w:rsid w:val="004A11ED"/>
    <w:rsid w:val="004A3ECD"/>
    <w:rsid w:val="004A4841"/>
    <w:rsid w:val="004A4F67"/>
    <w:rsid w:val="004A659B"/>
    <w:rsid w:val="004A6D80"/>
    <w:rsid w:val="004A7442"/>
    <w:rsid w:val="004B1F65"/>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6215"/>
    <w:rsid w:val="005677A3"/>
    <w:rsid w:val="00567A90"/>
    <w:rsid w:val="005704E7"/>
    <w:rsid w:val="00570A19"/>
    <w:rsid w:val="00570F77"/>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E7AF4"/>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1CC"/>
    <w:rsid w:val="006142EA"/>
    <w:rsid w:val="00614877"/>
    <w:rsid w:val="00615307"/>
    <w:rsid w:val="00615B8A"/>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37CE"/>
    <w:rsid w:val="006942B2"/>
    <w:rsid w:val="00696277"/>
    <w:rsid w:val="00696525"/>
    <w:rsid w:val="0069778A"/>
    <w:rsid w:val="006A12E1"/>
    <w:rsid w:val="006A26C3"/>
    <w:rsid w:val="006A4E46"/>
    <w:rsid w:val="006A57AE"/>
    <w:rsid w:val="006A5867"/>
    <w:rsid w:val="006A5A40"/>
    <w:rsid w:val="006A6FDD"/>
    <w:rsid w:val="006B0D40"/>
    <w:rsid w:val="006B0D9D"/>
    <w:rsid w:val="006B1399"/>
    <w:rsid w:val="006B289F"/>
    <w:rsid w:val="006B2DE8"/>
    <w:rsid w:val="006B4590"/>
    <w:rsid w:val="006B4B33"/>
    <w:rsid w:val="006B5428"/>
    <w:rsid w:val="006B59C7"/>
    <w:rsid w:val="006B5E53"/>
    <w:rsid w:val="006B5F1E"/>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22A2"/>
    <w:rsid w:val="006F235A"/>
    <w:rsid w:val="006F2DF8"/>
    <w:rsid w:val="006F38BE"/>
    <w:rsid w:val="006F3FA6"/>
    <w:rsid w:val="006F5BB4"/>
    <w:rsid w:val="006F707A"/>
    <w:rsid w:val="006F73F4"/>
    <w:rsid w:val="006F7CD1"/>
    <w:rsid w:val="006F7F03"/>
    <w:rsid w:val="0070249B"/>
    <w:rsid w:val="00702644"/>
    <w:rsid w:val="0070347C"/>
    <w:rsid w:val="00703CD1"/>
    <w:rsid w:val="007040AC"/>
    <w:rsid w:val="0070476F"/>
    <w:rsid w:val="00705894"/>
    <w:rsid w:val="00706101"/>
    <w:rsid w:val="00706385"/>
    <w:rsid w:val="007077CC"/>
    <w:rsid w:val="00710302"/>
    <w:rsid w:val="00712A3F"/>
    <w:rsid w:val="00712A77"/>
    <w:rsid w:val="007133A6"/>
    <w:rsid w:val="007133B7"/>
    <w:rsid w:val="00713814"/>
    <w:rsid w:val="007156AB"/>
    <w:rsid w:val="007156D8"/>
    <w:rsid w:val="00717679"/>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BFC"/>
    <w:rsid w:val="00756D7A"/>
    <w:rsid w:val="00756FE9"/>
    <w:rsid w:val="00760986"/>
    <w:rsid w:val="00760E48"/>
    <w:rsid w:val="00762229"/>
    <w:rsid w:val="00763866"/>
    <w:rsid w:val="00763C21"/>
    <w:rsid w:val="00764136"/>
    <w:rsid w:val="00765A25"/>
    <w:rsid w:val="00766D06"/>
    <w:rsid w:val="00766E2D"/>
    <w:rsid w:val="0077044E"/>
    <w:rsid w:val="00770873"/>
    <w:rsid w:val="00770F46"/>
    <w:rsid w:val="00771B93"/>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0F66"/>
    <w:rsid w:val="007911A6"/>
    <w:rsid w:val="007918DA"/>
    <w:rsid w:val="00791FAB"/>
    <w:rsid w:val="0079266D"/>
    <w:rsid w:val="00792E9A"/>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1E1"/>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3A98"/>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4F49"/>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5B2C"/>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977C2"/>
    <w:rsid w:val="008A008A"/>
    <w:rsid w:val="008A0BBD"/>
    <w:rsid w:val="008A1670"/>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00E2"/>
    <w:rsid w:val="008D1566"/>
    <w:rsid w:val="008D3919"/>
    <w:rsid w:val="008D4367"/>
    <w:rsid w:val="008D633C"/>
    <w:rsid w:val="008D6B47"/>
    <w:rsid w:val="008E21DC"/>
    <w:rsid w:val="008E23EB"/>
    <w:rsid w:val="008E254C"/>
    <w:rsid w:val="008E421A"/>
    <w:rsid w:val="008E4410"/>
    <w:rsid w:val="008E65BE"/>
    <w:rsid w:val="008E6F0E"/>
    <w:rsid w:val="008E7681"/>
    <w:rsid w:val="008E7FAE"/>
    <w:rsid w:val="008E7FF3"/>
    <w:rsid w:val="008F0F36"/>
    <w:rsid w:val="008F273B"/>
    <w:rsid w:val="008F2AA8"/>
    <w:rsid w:val="008F402D"/>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1DE2"/>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5784"/>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4422"/>
    <w:rsid w:val="009B4DFB"/>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658"/>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3073"/>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02A7"/>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3AA"/>
    <w:rsid w:val="00AA477F"/>
    <w:rsid w:val="00AA4811"/>
    <w:rsid w:val="00AA4BE8"/>
    <w:rsid w:val="00AA5797"/>
    <w:rsid w:val="00AA596A"/>
    <w:rsid w:val="00AA6EED"/>
    <w:rsid w:val="00AB1023"/>
    <w:rsid w:val="00AB1261"/>
    <w:rsid w:val="00AB1F08"/>
    <w:rsid w:val="00AB21D5"/>
    <w:rsid w:val="00AB4CBB"/>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2F42"/>
    <w:rsid w:val="00AF357C"/>
    <w:rsid w:val="00AF3D37"/>
    <w:rsid w:val="00AF5028"/>
    <w:rsid w:val="00AF53F8"/>
    <w:rsid w:val="00AF5974"/>
    <w:rsid w:val="00AF5FC2"/>
    <w:rsid w:val="00AF6CD8"/>
    <w:rsid w:val="00AF7776"/>
    <w:rsid w:val="00B002D0"/>
    <w:rsid w:val="00B008E5"/>
    <w:rsid w:val="00B00E80"/>
    <w:rsid w:val="00B01D76"/>
    <w:rsid w:val="00B02185"/>
    <w:rsid w:val="00B026DB"/>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269FA"/>
    <w:rsid w:val="00B3009F"/>
    <w:rsid w:val="00B300FC"/>
    <w:rsid w:val="00B30B28"/>
    <w:rsid w:val="00B3105C"/>
    <w:rsid w:val="00B311C6"/>
    <w:rsid w:val="00B32588"/>
    <w:rsid w:val="00B32E2D"/>
    <w:rsid w:val="00B33948"/>
    <w:rsid w:val="00B33A4C"/>
    <w:rsid w:val="00B33BD2"/>
    <w:rsid w:val="00B362E9"/>
    <w:rsid w:val="00B367AE"/>
    <w:rsid w:val="00B378AC"/>
    <w:rsid w:val="00B37AF1"/>
    <w:rsid w:val="00B40320"/>
    <w:rsid w:val="00B412F8"/>
    <w:rsid w:val="00B421FC"/>
    <w:rsid w:val="00B42B76"/>
    <w:rsid w:val="00B4466B"/>
    <w:rsid w:val="00B5175D"/>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2B2"/>
    <w:rsid w:val="00B80BAB"/>
    <w:rsid w:val="00B82010"/>
    <w:rsid w:val="00B8212B"/>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5591"/>
    <w:rsid w:val="00BD605A"/>
    <w:rsid w:val="00BD6524"/>
    <w:rsid w:val="00BD6AA9"/>
    <w:rsid w:val="00BD71C8"/>
    <w:rsid w:val="00BD7D09"/>
    <w:rsid w:val="00BE04D0"/>
    <w:rsid w:val="00BE1425"/>
    <w:rsid w:val="00BE1E8E"/>
    <w:rsid w:val="00BE258D"/>
    <w:rsid w:val="00BE518E"/>
    <w:rsid w:val="00BE5A6C"/>
    <w:rsid w:val="00BE757F"/>
    <w:rsid w:val="00BE7B88"/>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698D"/>
    <w:rsid w:val="00C07F85"/>
    <w:rsid w:val="00C07FEE"/>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54D"/>
    <w:rsid w:val="00C460CC"/>
    <w:rsid w:val="00C46CBE"/>
    <w:rsid w:val="00C46F28"/>
    <w:rsid w:val="00C500A0"/>
    <w:rsid w:val="00C5031E"/>
    <w:rsid w:val="00C505E6"/>
    <w:rsid w:val="00C50868"/>
    <w:rsid w:val="00C517DA"/>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5FE3"/>
    <w:rsid w:val="00C960FE"/>
    <w:rsid w:val="00CA095F"/>
    <w:rsid w:val="00CA0976"/>
    <w:rsid w:val="00CA1678"/>
    <w:rsid w:val="00CA49A6"/>
    <w:rsid w:val="00CA4C8D"/>
    <w:rsid w:val="00CA53AD"/>
    <w:rsid w:val="00CA6C08"/>
    <w:rsid w:val="00CB0FEF"/>
    <w:rsid w:val="00CB1F1C"/>
    <w:rsid w:val="00CB27EA"/>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3AB3"/>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71C8"/>
    <w:rsid w:val="00D07667"/>
    <w:rsid w:val="00D07DB2"/>
    <w:rsid w:val="00D1018A"/>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1B11"/>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6D3"/>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02F0"/>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27D"/>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77F"/>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DF5"/>
    <w:rsid w:val="00E90EA6"/>
    <w:rsid w:val="00E931D7"/>
    <w:rsid w:val="00E94C41"/>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331"/>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6D94"/>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097F"/>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10D"/>
    <w:rsid w:val="00F74474"/>
    <w:rsid w:val="00F745CA"/>
    <w:rsid w:val="00F766CB"/>
    <w:rsid w:val="00F76F68"/>
    <w:rsid w:val="00F775DA"/>
    <w:rsid w:val="00F80AD3"/>
    <w:rsid w:val="00F80EA8"/>
    <w:rsid w:val="00F822AD"/>
    <w:rsid w:val="00F838E8"/>
    <w:rsid w:val="00F83AD4"/>
    <w:rsid w:val="00F83B50"/>
    <w:rsid w:val="00F856CE"/>
    <w:rsid w:val="00F870FA"/>
    <w:rsid w:val="00F87BC6"/>
    <w:rsid w:val="00F913A0"/>
    <w:rsid w:val="00F9302F"/>
    <w:rsid w:val="00F938CC"/>
    <w:rsid w:val="00F96B3F"/>
    <w:rsid w:val="00FA1873"/>
    <w:rsid w:val="00FA4E0E"/>
    <w:rsid w:val="00FA5A79"/>
    <w:rsid w:val="00FA6366"/>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0FD7"/>
    <w:rsid w:val="00FF1DBD"/>
    <w:rsid w:val="00FF241C"/>
    <w:rsid w:val="00FF2A3F"/>
    <w:rsid w:val="00FF369D"/>
    <w:rsid w:val="00FF661A"/>
    <w:rsid w:val="00FF683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0E205D"/>
  <w15:docId w15:val="{EB9079E5-8ED0-4124-9392-FBCAAF6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_G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 w:type="paragraph" w:customStyle="1" w:styleId="H1GR">
    <w:name w:val="_ H_1_GR"/>
    <w:basedOn w:val="Normal"/>
    <w:next w:val="Normal"/>
    <w:qFormat/>
    <w:rsid w:val="00D51B11"/>
    <w:pPr>
      <w:keepNext/>
      <w:keepLines/>
      <w:tabs>
        <w:tab w:val="right" w:pos="851"/>
      </w:tabs>
      <w:spacing w:before="360" w:after="240" w:line="270" w:lineRule="exact"/>
      <w:ind w:left="1134" w:right="1134" w:hanging="1134"/>
    </w:pPr>
    <w:rPr>
      <w:rFonts w:eastAsia="Times New Roman"/>
      <w:b/>
      <w:sz w:val="24"/>
      <w:lang w:val="ru-RU" w:eastAsia="ru-RU"/>
    </w:rPr>
  </w:style>
  <w:style w:type="paragraph" w:customStyle="1" w:styleId="SingleTxtGR">
    <w:name w:val="_ Single Txt_GR"/>
    <w:basedOn w:val="Normal"/>
    <w:link w:val="SingleTxtGR0"/>
    <w:qFormat/>
    <w:rsid w:val="00BE518E"/>
    <w:pPr>
      <w:tabs>
        <w:tab w:val="left" w:pos="1701"/>
        <w:tab w:val="left" w:pos="2268"/>
        <w:tab w:val="left" w:pos="2835"/>
        <w:tab w:val="left" w:pos="3402"/>
        <w:tab w:val="left" w:pos="3969"/>
      </w:tabs>
      <w:spacing w:after="120"/>
      <w:ind w:left="1134" w:right="1134"/>
      <w:jc w:val="both"/>
    </w:pPr>
    <w:rPr>
      <w:rFonts w:eastAsia="Times New Roman"/>
      <w:lang w:val="ru-RU"/>
    </w:rPr>
  </w:style>
  <w:style w:type="character" w:customStyle="1" w:styleId="SingleTxtGR0">
    <w:name w:val="_ Single Txt_GR Знак"/>
    <w:link w:val="SingleTxtGR"/>
    <w:rsid w:val="00BE518E"/>
    <w:rPr>
      <w:rFonts w:eastAsia="Times New Roman"/>
      <w:lang w:val="ru-RU" w:eastAsia="en-US"/>
    </w:rPr>
  </w:style>
  <w:style w:type="paragraph" w:customStyle="1" w:styleId="HChGR">
    <w:name w:val="_ H _Ch_GR"/>
    <w:basedOn w:val="Normal"/>
    <w:next w:val="Normal"/>
    <w:link w:val="HChGR0"/>
    <w:qFormat/>
    <w:rsid w:val="00AA43AA"/>
    <w:pPr>
      <w:keepNext/>
      <w:keepLines/>
      <w:tabs>
        <w:tab w:val="right" w:pos="851"/>
      </w:tabs>
      <w:spacing w:before="360" w:after="240" w:line="300" w:lineRule="exact"/>
      <w:ind w:left="1134" w:right="1134" w:hanging="1134"/>
    </w:pPr>
    <w:rPr>
      <w:rFonts w:eastAsia="Times New Roman"/>
      <w:b/>
      <w:sz w:val="28"/>
      <w:lang w:val="ru-RU" w:eastAsia="ru-RU"/>
    </w:rPr>
  </w:style>
  <w:style w:type="character" w:customStyle="1" w:styleId="HChGR0">
    <w:name w:val="_ H _Ch_GR Знак"/>
    <w:basedOn w:val="DefaultParagraphFont"/>
    <w:link w:val="HChGR"/>
    <w:rsid w:val="00AA43AA"/>
    <w:rPr>
      <w:rFonts w:eastAsia="Times New Roman"/>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C98E-885B-41F3-82B9-39FEC379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2525</Words>
  <Characters>14398</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1701368</vt:lpstr>
      <vt:lpstr>1701368</vt:lpstr>
    </vt:vector>
  </TitlesOfParts>
  <Company>CSD</Company>
  <LinksUpToDate>false</LinksUpToDate>
  <CharactersWithSpaces>16890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Romain Hubert</cp:lastModifiedBy>
  <cp:revision>2</cp:revision>
  <cp:lastPrinted>2019-02-05T05:45:00Z</cp:lastPrinted>
  <dcterms:created xsi:type="dcterms:W3CDTF">2019-03-22T11:06:00Z</dcterms:created>
  <dcterms:modified xsi:type="dcterms:W3CDTF">2019-03-22T11:06:00Z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