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CFDE3C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2EC4CD4" w14:textId="77777777" w:rsidR="00F35BAF" w:rsidRPr="00DB58B5" w:rsidRDefault="00F35BAF" w:rsidP="0052562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E4C4CB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026D673" w14:textId="77777777" w:rsidR="00F35BAF" w:rsidRPr="00DB58B5" w:rsidRDefault="0052562D" w:rsidP="0052562D">
            <w:pPr>
              <w:jc w:val="right"/>
            </w:pPr>
            <w:r w:rsidRPr="0052562D">
              <w:rPr>
                <w:sz w:val="40"/>
              </w:rPr>
              <w:t>ECE</w:t>
            </w:r>
            <w:r>
              <w:t>/TRANS/WP.29/GRSG/2019/23</w:t>
            </w:r>
          </w:p>
        </w:tc>
      </w:tr>
      <w:tr w:rsidR="00F35BAF" w:rsidRPr="00DB58B5" w14:paraId="714A32C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3190A2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C1CEBE9" wp14:editId="4C930C3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A6B25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013797C" w14:textId="77777777" w:rsidR="00F35BAF" w:rsidRDefault="0052562D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46285C65" w14:textId="77777777" w:rsidR="0052562D" w:rsidRDefault="0052562D" w:rsidP="0052562D">
            <w:pPr>
              <w:spacing w:line="240" w:lineRule="exact"/>
            </w:pPr>
            <w:r>
              <w:t>18 juillet 2019</w:t>
            </w:r>
          </w:p>
          <w:p w14:paraId="156D5A12" w14:textId="77777777" w:rsidR="0052562D" w:rsidRDefault="0052562D" w:rsidP="0052562D">
            <w:pPr>
              <w:spacing w:line="240" w:lineRule="exact"/>
            </w:pPr>
            <w:r>
              <w:t>Français</w:t>
            </w:r>
          </w:p>
          <w:p w14:paraId="1F25340A" w14:textId="77777777" w:rsidR="0052562D" w:rsidRPr="00DB58B5" w:rsidRDefault="0052562D" w:rsidP="0052562D">
            <w:pPr>
              <w:spacing w:line="240" w:lineRule="exact"/>
            </w:pPr>
            <w:r>
              <w:t>Original : anglais</w:t>
            </w:r>
          </w:p>
        </w:tc>
      </w:tr>
    </w:tbl>
    <w:p w14:paraId="468A0F1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972FF9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BC409D8" w14:textId="77777777" w:rsidR="008B14D7" w:rsidRDefault="008B14D7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ABA499B" w14:textId="77777777" w:rsidR="008B14D7" w:rsidRDefault="008B14D7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14:paraId="57A6AA9B" w14:textId="77777777" w:rsidR="008B14D7" w:rsidRDefault="008B14D7" w:rsidP="00257168">
      <w:pPr>
        <w:spacing w:before="120" w:line="240" w:lineRule="exact"/>
        <w:rPr>
          <w:b/>
        </w:rPr>
      </w:pPr>
      <w:r>
        <w:rPr>
          <w:b/>
        </w:rPr>
        <w:t>117</w:t>
      </w:r>
      <w:r w:rsidRPr="008B14D7">
        <w:rPr>
          <w:b/>
          <w:vertAlign w:val="superscript"/>
        </w:rPr>
        <w:t>e</w:t>
      </w:r>
      <w:r>
        <w:rPr>
          <w:b/>
        </w:rPr>
        <w:t> session</w:t>
      </w:r>
    </w:p>
    <w:p w14:paraId="2FEBDA58" w14:textId="77777777" w:rsidR="008B14D7" w:rsidRDefault="008B14D7" w:rsidP="00257168">
      <w:pPr>
        <w:spacing w:line="240" w:lineRule="exact"/>
      </w:pPr>
      <w:r>
        <w:t>Genève, 8-11 octobre 2019</w:t>
      </w:r>
    </w:p>
    <w:p w14:paraId="06243A3D" w14:textId="77777777" w:rsidR="008B14D7" w:rsidRDefault="008B14D7" w:rsidP="00257168">
      <w:pPr>
        <w:spacing w:line="240" w:lineRule="exact"/>
      </w:pPr>
      <w:r>
        <w:t>Point 16 de l’ordre du jour provisoire</w:t>
      </w:r>
    </w:p>
    <w:p w14:paraId="36DAE896" w14:textId="77777777" w:rsidR="00F9573C" w:rsidRDefault="008B14D7" w:rsidP="00AF0CB5">
      <w:pPr>
        <w:rPr>
          <w:b/>
          <w:bCs/>
        </w:rPr>
      </w:pPr>
      <w:r w:rsidRPr="00BE0CA2">
        <w:rPr>
          <w:b/>
          <w:bCs/>
        </w:rPr>
        <w:t>Règlement ONU n</w:t>
      </w:r>
      <w:r w:rsidRPr="00BE0CA2">
        <w:rPr>
          <w:b/>
          <w:bCs/>
          <w:vertAlign w:val="superscript"/>
        </w:rPr>
        <w:t>o</w:t>
      </w:r>
      <w:r w:rsidRPr="00BE0CA2">
        <w:rPr>
          <w:b/>
          <w:bCs/>
        </w:rPr>
        <w:t xml:space="preserve"> 144 </w:t>
      </w:r>
      <w:r>
        <w:rPr>
          <w:b/>
          <w:bCs/>
        </w:rPr>
        <w:br/>
      </w:r>
      <w:r w:rsidRPr="00BE0CA2">
        <w:rPr>
          <w:b/>
          <w:bCs/>
        </w:rPr>
        <w:t>(Systèmes automatiques d</w:t>
      </w:r>
      <w:r>
        <w:rPr>
          <w:b/>
          <w:bCs/>
        </w:rPr>
        <w:t>’</w:t>
      </w:r>
      <w:r w:rsidRPr="00BE0CA2">
        <w:rPr>
          <w:b/>
          <w:bCs/>
        </w:rPr>
        <w:t>appel d</w:t>
      </w:r>
      <w:r>
        <w:rPr>
          <w:b/>
          <w:bCs/>
        </w:rPr>
        <w:t>’</w:t>
      </w:r>
      <w:r w:rsidRPr="00BE0CA2">
        <w:rPr>
          <w:b/>
          <w:bCs/>
        </w:rPr>
        <w:t>urgence)</w:t>
      </w:r>
    </w:p>
    <w:p w14:paraId="0719A5B3" w14:textId="77777777" w:rsidR="00741AE3" w:rsidRPr="00BE0CA2" w:rsidRDefault="00741AE3" w:rsidP="00741AE3">
      <w:pPr>
        <w:pStyle w:val="HChG"/>
        <w:rPr>
          <w:szCs w:val="28"/>
        </w:rPr>
      </w:pPr>
      <w:r>
        <w:tab/>
      </w:r>
      <w:r>
        <w:tab/>
      </w:r>
      <w:r w:rsidRPr="00BE0CA2">
        <w:t>Proposition de série 01 d</w:t>
      </w:r>
      <w:r>
        <w:t>’</w:t>
      </w:r>
      <w:r w:rsidRPr="00BE0CA2">
        <w:t>amendements au Règlement ONU n</w:t>
      </w:r>
      <w:r w:rsidRPr="00BE0CA2">
        <w:rPr>
          <w:vertAlign w:val="superscript"/>
        </w:rPr>
        <w:t>o</w:t>
      </w:r>
      <w:r w:rsidRPr="00BE0CA2">
        <w:t> 144 (Systèmes automatiques d</w:t>
      </w:r>
      <w:r>
        <w:t>’</w:t>
      </w:r>
      <w:r w:rsidRPr="00BE0CA2">
        <w:t>appel d</w:t>
      </w:r>
      <w:r>
        <w:t>’</w:t>
      </w:r>
      <w:r w:rsidRPr="00BE0CA2">
        <w:t>urgence)</w:t>
      </w:r>
    </w:p>
    <w:p w14:paraId="7DF68A62" w14:textId="77777777" w:rsidR="00741AE3" w:rsidRDefault="00741AE3" w:rsidP="00741AE3">
      <w:pPr>
        <w:pStyle w:val="H1G"/>
        <w:rPr>
          <w:b w:val="0"/>
          <w:sz w:val="20"/>
        </w:rPr>
      </w:pPr>
      <w:r w:rsidRPr="00BE0CA2">
        <w:tab/>
      </w:r>
      <w:r w:rsidRPr="00BE0CA2">
        <w:tab/>
        <w:t>Communication de l</w:t>
      </w:r>
      <w:r>
        <w:t>’</w:t>
      </w:r>
      <w:r w:rsidRPr="00BE0CA2">
        <w:t>expert de la Fédération de Russie</w:t>
      </w:r>
      <w:r w:rsidR="00F66C9B" w:rsidRPr="00F66C9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7627C0F1" w14:textId="77777777" w:rsidR="00E26DD2" w:rsidRDefault="004666C5" w:rsidP="00F605D3">
      <w:pPr>
        <w:pStyle w:val="SingleTxtG"/>
        <w:ind w:firstLine="567"/>
      </w:pPr>
      <w:r w:rsidRPr="00F605D3">
        <w:t>Le texte reproduit ci-après, établi par l</w:t>
      </w:r>
      <w:r w:rsidR="00F605D3" w:rsidRPr="00F605D3">
        <w:t>’</w:t>
      </w:r>
      <w:r w:rsidRPr="00F605D3">
        <w:t>expert de la Fédération de Russie, contient une proposition d</w:t>
      </w:r>
      <w:r w:rsidR="00F605D3" w:rsidRPr="00F605D3">
        <w:t>’</w:t>
      </w:r>
      <w:r w:rsidRPr="00F605D3">
        <w:t>amendements au Règlement ONU n</w:t>
      </w:r>
      <w:r w:rsidRPr="00F605D3">
        <w:rPr>
          <w:vertAlign w:val="superscript"/>
        </w:rPr>
        <w:t>o</w:t>
      </w:r>
      <w:r w:rsidRPr="00F605D3">
        <w:t> 144 concernant son champ d</w:t>
      </w:r>
      <w:r w:rsidR="00F605D3" w:rsidRPr="00F605D3">
        <w:t>’</w:t>
      </w:r>
      <w:r w:rsidRPr="00F605D3">
        <w:t>application (fondée sur le document informel GRSG-116-15, établi par l</w:t>
      </w:r>
      <w:r w:rsidR="00F605D3" w:rsidRPr="00F605D3">
        <w:t>’</w:t>
      </w:r>
      <w:r w:rsidRPr="00F605D3">
        <w:t xml:space="preserve">expert de la Fédération de Russie) et une proposition concernant les dispositions transitoires (fondée sur </w:t>
      </w:r>
      <w:proofErr w:type="gramStart"/>
      <w:r w:rsidRPr="00F605D3">
        <w:t>le</w:t>
      </w:r>
      <w:proofErr w:type="gramEnd"/>
      <w:r w:rsidRPr="00F605D3">
        <w:t xml:space="preserve"> document informel GRSG-116-10, établi par l</w:t>
      </w:r>
      <w:r w:rsidR="00F605D3" w:rsidRPr="00F605D3">
        <w:t>’</w:t>
      </w:r>
      <w:r w:rsidRPr="00F605D3">
        <w:t>expert de l</w:t>
      </w:r>
      <w:r w:rsidR="00F605D3" w:rsidRPr="00F605D3">
        <w:t>’</w:t>
      </w:r>
      <w:r w:rsidRPr="00F605D3">
        <w:t>Organisation internationale des constructeurs d</w:t>
      </w:r>
      <w:r w:rsidR="00F605D3" w:rsidRPr="00F605D3">
        <w:t>’</w:t>
      </w:r>
      <w:r w:rsidRPr="00F605D3">
        <w:t>automobiles (OICA)). Les documents susmentionnés ont été distribués au cours de la 116</w:t>
      </w:r>
      <w:r w:rsidRPr="00F605D3">
        <w:rPr>
          <w:vertAlign w:val="superscript"/>
        </w:rPr>
        <w:t>e</w:t>
      </w:r>
      <w:r w:rsidR="00F605D3">
        <w:t> </w:t>
      </w:r>
      <w:r w:rsidRPr="00F605D3">
        <w:t>session du Groupe de travail des dispositions générales de sécurité (GRSG) (voir le rappor</w:t>
      </w:r>
      <w:r w:rsidR="00F605D3">
        <w:t>t ECE/TRANS/WP.29/GRSG/95, par. </w:t>
      </w:r>
      <w:r w:rsidRPr="00F605D3">
        <w:t>52). Les modifications qu</w:t>
      </w:r>
      <w:r w:rsidR="00F605D3" w:rsidRPr="00F605D3">
        <w:t>’</w:t>
      </w:r>
      <w:r w:rsidRPr="00F605D3">
        <w:t>il est proposé d</w:t>
      </w:r>
      <w:r w:rsidR="00F605D3" w:rsidRPr="00F605D3">
        <w:t>’</w:t>
      </w:r>
      <w:r w:rsidRPr="00F605D3">
        <w:t>apporter au texte actuel du Règlement ONU n</w:t>
      </w:r>
      <w:r w:rsidRPr="00F605D3">
        <w:rPr>
          <w:vertAlign w:val="superscript"/>
        </w:rPr>
        <w:t>o</w:t>
      </w:r>
      <w:r w:rsidRPr="00F605D3">
        <w:t> 144 figurent en caractères gras pour les ajouts et biffés pour les suppressions.</w:t>
      </w:r>
    </w:p>
    <w:p w14:paraId="6E21DAC1" w14:textId="77777777" w:rsidR="00BE0CA2" w:rsidRPr="00E26DD2" w:rsidRDefault="00E26DD2" w:rsidP="00E26DD2">
      <w:pPr>
        <w:pStyle w:val="HChG"/>
      </w:pPr>
      <w:r>
        <w:br w:type="page"/>
      </w:r>
      <w:r>
        <w:lastRenderedPageBreak/>
        <w:tab/>
      </w:r>
      <w:r w:rsidR="004666C5" w:rsidRPr="00E26DD2">
        <w:t>I.</w:t>
      </w:r>
      <w:r w:rsidR="004666C5" w:rsidRPr="00E26DD2">
        <w:tab/>
        <w:t>Proposition</w:t>
      </w:r>
    </w:p>
    <w:p w14:paraId="23D20C09" w14:textId="77777777" w:rsidR="00BE0CA2" w:rsidRPr="00E26DD2" w:rsidRDefault="00E26DD2" w:rsidP="009C48E4">
      <w:pPr>
        <w:pStyle w:val="SingleTxtG"/>
        <w:keepNext/>
        <w:rPr>
          <w:i/>
        </w:rPr>
      </w:pPr>
      <w:r>
        <w:rPr>
          <w:i/>
          <w:iCs/>
        </w:rPr>
        <w:t>Paragraphe </w:t>
      </w:r>
      <w:r w:rsidR="004666C5" w:rsidRPr="00E26DD2">
        <w:rPr>
          <w:i/>
          <w:iCs/>
        </w:rPr>
        <w:t>1.1</w:t>
      </w:r>
      <w:r>
        <w:t>, lire </w:t>
      </w:r>
      <w:r w:rsidR="004666C5" w:rsidRPr="00E26DD2">
        <w:t>:</w:t>
      </w:r>
    </w:p>
    <w:p w14:paraId="4C247ABA" w14:textId="77777777" w:rsidR="00BE0CA2" w:rsidRPr="00E26DD2" w:rsidRDefault="00E26DD2" w:rsidP="002960AD">
      <w:pPr>
        <w:pStyle w:val="SingleTxtG"/>
        <w:keepNext/>
        <w:ind w:left="2268" w:hanging="1134"/>
      </w:pPr>
      <w:r>
        <w:t>« </w:t>
      </w:r>
      <w:r w:rsidR="004666C5" w:rsidRPr="00E26DD2">
        <w:t>1.1</w:t>
      </w:r>
      <w:r w:rsidR="004666C5" w:rsidRPr="00E26DD2">
        <w:tab/>
        <w:t xml:space="preserve">Ce Règlement </w:t>
      </w:r>
      <w:r w:rsidR="004666C5" w:rsidRPr="00E26DD2">
        <w:rPr>
          <w:b/>
          <w:bCs/>
        </w:rPr>
        <w:t xml:space="preserve">ONU </w:t>
      </w:r>
      <w:r w:rsidR="004666C5" w:rsidRPr="00E26DD2">
        <w:t>s</w:t>
      </w:r>
      <w:r w:rsidRPr="00E26DD2">
        <w:t>’</w:t>
      </w:r>
      <w:r w:rsidR="004666C5" w:rsidRPr="00E26DD2">
        <w:t>applique :</w:t>
      </w:r>
    </w:p>
    <w:p w14:paraId="2E851A06" w14:textId="77777777" w:rsidR="00BE0CA2" w:rsidRPr="00E26DD2" w:rsidRDefault="004666C5" w:rsidP="00E26DD2">
      <w:pPr>
        <w:pStyle w:val="SingleTxtG"/>
        <w:ind w:firstLine="567"/>
      </w:pPr>
      <w:r w:rsidRPr="00E26DD2">
        <w:tab/>
        <w:t>……</w:t>
      </w:r>
    </w:p>
    <w:p w14:paraId="43441399" w14:textId="77777777" w:rsidR="00BE0CA2" w:rsidRPr="00E26DD2" w:rsidRDefault="004666C5" w:rsidP="00E26DD2">
      <w:pPr>
        <w:pStyle w:val="SingleTxtG"/>
        <w:ind w:firstLine="567"/>
      </w:pPr>
      <w:r w:rsidRPr="00E26DD2">
        <w:tab/>
        <w:t>b)</w:t>
      </w:r>
      <w:r w:rsidRPr="00E26DD2">
        <w:tab/>
        <w:t>Partie Ib :</w:t>
      </w:r>
    </w:p>
    <w:p w14:paraId="25B0AFFF" w14:textId="77777777" w:rsidR="00BE0CA2" w:rsidRPr="00E26DD2" w:rsidRDefault="004666C5" w:rsidP="002960AD">
      <w:pPr>
        <w:pStyle w:val="SingleTxtG"/>
        <w:ind w:left="2268"/>
        <w:rPr>
          <w:vertAlign w:val="superscript"/>
        </w:rPr>
      </w:pPr>
      <w:proofErr w:type="gramStart"/>
      <w:r w:rsidRPr="00E26DD2">
        <w:t>à</w:t>
      </w:r>
      <w:proofErr w:type="gramEnd"/>
      <w:r w:rsidRPr="00E26DD2">
        <w:t xml:space="preserve"> l</w:t>
      </w:r>
      <w:r w:rsidR="00E26DD2" w:rsidRPr="00E26DD2">
        <w:t>’</w:t>
      </w:r>
      <w:r w:rsidRPr="00E26DD2">
        <w:t>homologation des AECD, destinés à être installés sur les véhicules des catégories M</w:t>
      </w:r>
      <w:r w:rsidRPr="00E26DD2">
        <w:rPr>
          <w:vertAlign w:val="subscript"/>
        </w:rPr>
        <w:t>1</w:t>
      </w:r>
      <w:r w:rsidRPr="00E26DD2">
        <w:t xml:space="preserve"> et N</w:t>
      </w:r>
      <w:r w:rsidRPr="00E26DD2">
        <w:rPr>
          <w:vertAlign w:val="subscript"/>
        </w:rPr>
        <w:t>1</w:t>
      </w:r>
      <w:r w:rsidRPr="00E26DD2">
        <w:rPr>
          <w:vertAlign w:val="superscript"/>
        </w:rPr>
        <w:t>1</w:t>
      </w:r>
      <w:r w:rsidRPr="00E26DD2">
        <w:t> ;</w:t>
      </w:r>
    </w:p>
    <w:p w14:paraId="065C9432" w14:textId="77777777" w:rsidR="00BE0CA2" w:rsidRPr="00E26DD2" w:rsidRDefault="004666C5" w:rsidP="002960AD">
      <w:pPr>
        <w:pStyle w:val="SingleTxtG"/>
        <w:ind w:left="2268"/>
        <w:rPr>
          <w:vertAlign w:val="superscript"/>
        </w:rPr>
      </w:pPr>
      <w:proofErr w:type="gramStart"/>
      <w:r w:rsidRPr="00E26DD2">
        <w:rPr>
          <w:b/>
          <w:bCs/>
        </w:rPr>
        <w:t>à</w:t>
      </w:r>
      <w:proofErr w:type="gramEnd"/>
      <w:r w:rsidRPr="00E26DD2">
        <w:rPr>
          <w:b/>
          <w:bCs/>
        </w:rPr>
        <w:t xml:space="preserve"> l</w:t>
      </w:r>
      <w:r w:rsidR="00E26DD2" w:rsidRPr="00E26DD2">
        <w:rPr>
          <w:b/>
          <w:bCs/>
        </w:rPr>
        <w:t>’</w:t>
      </w:r>
      <w:r w:rsidRPr="00E26DD2">
        <w:rPr>
          <w:b/>
          <w:bCs/>
        </w:rPr>
        <w:t>homologation des AECD destinés à être installés sur des véhicules d</w:t>
      </w:r>
      <w:r w:rsidR="00E26DD2" w:rsidRPr="00E26DD2">
        <w:rPr>
          <w:b/>
          <w:bCs/>
        </w:rPr>
        <w:t>’</w:t>
      </w:r>
      <w:r w:rsidRPr="00E26DD2">
        <w:rPr>
          <w:b/>
          <w:bCs/>
        </w:rPr>
        <w:t>autres catégories, si le demandeur en fait la demande</w:t>
      </w:r>
      <w:r w:rsidR="00E26DD2">
        <w:rPr>
          <w:b/>
          <w:bCs/>
        </w:rPr>
        <w:t> </w:t>
      </w:r>
      <w:r w:rsidR="00E26DD2" w:rsidRPr="00560FEC">
        <w:rPr>
          <w:bCs/>
        </w:rPr>
        <w:t>»</w:t>
      </w:r>
      <w:r w:rsidRPr="00560FEC">
        <w:rPr>
          <w:bCs/>
        </w:rPr>
        <w:t>.</w:t>
      </w:r>
    </w:p>
    <w:p w14:paraId="28ADEB60" w14:textId="77777777" w:rsidR="00BE0CA2" w:rsidRPr="00E26DD2" w:rsidRDefault="00E26DD2" w:rsidP="009C48E4">
      <w:pPr>
        <w:pStyle w:val="SingleTxtG"/>
        <w:keepNext/>
        <w:rPr>
          <w:iCs/>
        </w:rPr>
      </w:pPr>
      <w:r>
        <w:rPr>
          <w:i/>
          <w:iCs/>
        </w:rPr>
        <w:t>Paragraphe </w:t>
      </w:r>
      <w:r w:rsidR="004666C5" w:rsidRPr="00E26DD2">
        <w:rPr>
          <w:i/>
          <w:iCs/>
        </w:rPr>
        <w:t>1.3</w:t>
      </w:r>
      <w:r w:rsidR="004666C5" w:rsidRPr="00E26DD2">
        <w:t>, lire :</w:t>
      </w:r>
    </w:p>
    <w:p w14:paraId="332B97F8" w14:textId="77777777" w:rsidR="00BE0CA2" w:rsidRPr="00E26DD2" w:rsidRDefault="00E26DD2" w:rsidP="002960AD">
      <w:pPr>
        <w:pStyle w:val="SingleTxtG"/>
        <w:keepNext/>
        <w:ind w:left="2268" w:hanging="1134"/>
      </w:pPr>
      <w:r>
        <w:t>« </w:t>
      </w:r>
      <w:r w:rsidR="004666C5" w:rsidRPr="00E26DD2">
        <w:t>1.3</w:t>
      </w:r>
      <w:r w:rsidR="004666C5" w:rsidRPr="00E26DD2">
        <w:tab/>
        <w:t>Sont exclus du champ d</w:t>
      </w:r>
      <w:r w:rsidRPr="00E26DD2">
        <w:t>’</w:t>
      </w:r>
      <w:r w:rsidR="004666C5" w:rsidRPr="00E26DD2">
        <w:t>application du présent Règlement :</w:t>
      </w:r>
    </w:p>
    <w:p w14:paraId="2A71D39F" w14:textId="77777777" w:rsidR="00BE0CA2" w:rsidRPr="00E26DD2" w:rsidRDefault="00CA08F7" w:rsidP="00CA08F7">
      <w:pPr>
        <w:pStyle w:val="SingleTxtG"/>
        <w:ind w:left="2268" w:hanging="1134"/>
      </w:pPr>
      <w:r>
        <w:tab/>
      </w:r>
      <w:r w:rsidR="004666C5" w:rsidRPr="00E26DD2">
        <w:t>a)</w:t>
      </w:r>
      <w:r w:rsidR="004666C5" w:rsidRPr="00E26DD2">
        <w:tab/>
        <w:t>Les véhicules qui ne sont visés ni par le Règlement ONU n</w:t>
      </w:r>
      <w:r w:rsidR="004666C5" w:rsidRPr="00E26DD2">
        <w:rPr>
          <w:vertAlign w:val="superscript"/>
        </w:rPr>
        <w:t>o</w:t>
      </w:r>
      <w:r w:rsidR="004666C5" w:rsidRPr="00E26DD2">
        <w:t> 94 ni par le Règlement ONU n</w:t>
      </w:r>
      <w:r w:rsidR="004666C5" w:rsidRPr="00E26DD2">
        <w:rPr>
          <w:vertAlign w:val="superscript"/>
        </w:rPr>
        <w:t>o</w:t>
      </w:r>
      <w:r w:rsidR="004666C5" w:rsidRPr="00E26DD2">
        <w:t> 95 et sont dépourvus de système de déclenchement automatique d</w:t>
      </w:r>
      <w:r w:rsidR="00E26DD2" w:rsidRPr="00E26DD2">
        <w:t>’</w:t>
      </w:r>
      <w:r w:rsidR="004666C5" w:rsidRPr="00E26DD2">
        <w:t>un appel d</w:t>
      </w:r>
      <w:r w:rsidR="00E26DD2" w:rsidRPr="00E26DD2">
        <w:t>’</w:t>
      </w:r>
      <w:r w:rsidR="004666C5" w:rsidRPr="00E26DD2">
        <w:t>urgence ;</w:t>
      </w:r>
    </w:p>
    <w:p w14:paraId="6BD03C06" w14:textId="77777777" w:rsidR="00BE0CA2" w:rsidRPr="00335FF4" w:rsidRDefault="00CA08F7" w:rsidP="00CA08F7">
      <w:pPr>
        <w:pStyle w:val="SingleTxtG"/>
        <w:ind w:left="2268" w:hanging="1134"/>
        <w:rPr>
          <w:strike/>
        </w:rPr>
      </w:pPr>
      <w:r>
        <w:tab/>
      </w:r>
      <w:r w:rsidR="004666C5" w:rsidRPr="00335FF4">
        <w:rPr>
          <w:strike/>
        </w:rPr>
        <w:t>b)</w:t>
      </w:r>
      <w:r w:rsidR="004666C5" w:rsidRPr="00335FF4">
        <w:rPr>
          <w:strike/>
        </w:rPr>
        <w:tab/>
        <w:t>Les véhicules de la catégorie M</w:t>
      </w:r>
      <w:r w:rsidR="004666C5" w:rsidRPr="00335FF4">
        <w:rPr>
          <w:strike/>
          <w:vertAlign w:val="subscript"/>
        </w:rPr>
        <w:t>1</w:t>
      </w:r>
      <w:r w:rsidR="004666C5" w:rsidRPr="00335FF4">
        <w:rPr>
          <w:strike/>
        </w:rPr>
        <w:t xml:space="preserve"> qui sont visés par le Règlement ONU n</w:t>
      </w:r>
      <w:r w:rsidR="004666C5" w:rsidRPr="00335FF4">
        <w:rPr>
          <w:strike/>
          <w:vertAlign w:val="superscript"/>
        </w:rPr>
        <w:t>o</w:t>
      </w:r>
      <w:r w:rsidR="004666C5" w:rsidRPr="00335FF4">
        <w:rPr>
          <w:strike/>
        </w:rPr>
        <w:t> 94 et sont dépourvus de coussin gonflable frontal ;</w:t>
      </w:r>
    </w:p>
    <w:p w14:paraId="2E9B940A" w14:textId="77777777" w:rsidR="00BE0CA2" w:rsidRPr="00335FF4" w:rsidRDefault="00CA08F7" w:rsidP="00CA08F7">
      <w:pPr>
        <w:pStyle w:val="SingleTxtG"/>
        <w:ind w:left="2268" w:hanging="1134"/>
        <w:rPr>
          <w:strike/>
        </w:rPr>
      </w:pPr>
      <w:r>
        <w:tab/>
      </w:r>
      <w:r w:rsidR="004666C5" w:rsidRPr="00335FF4">
        <w:rPr>
          <w:strike/>
        </w:rPr>
        <w:t>c)</w:t>
      </w:r>
      <w:r w:rsidR="004666C5" w:rsidRPr="00335FF4">
        <w:rPr>
          <w:strike/>
        </w:rPr>
        <w:tab/>
        <w:t>Les véhicules de la catégorie N</w:t>
      </w:r>
      <w:r w:rsidR="004666C5" w:rsidRPr="00335FF4">
        <w:rPr>
          <w:strike/>
          <w:vertAlign w:val="subscript"/>
        </w:rPr>
        <w:t>1</w:t>
      </w:r>
      <w:r w:rsidR="004666C5" w:rsidRPr="00335FF4">
        <w:rPr>
          <w:strike/>
        </w:rPr>
        <w:t xml:space="preserve"> visés par le Règlement ONU n</w:t>
      </w:r>
      <w:r w:rsidR="004666C5" w:rsidRPr="00335FF4">
        <w:rPr>
          <w:strike/>
          <w:vertAlign w:val="superscript"/>
        </w:rPr>
        <w:t>o</w:t>
      </w:r>
      <w:r w:rsidR="004666C5" w:rsidRPr="00335FF4">
        <w:rPr>
          <w:strike/>
        </w:rPr>
        <w:t> 95 et dépourvus de coussin gonflable latéral ;</w:t>
      </w:r>
    </w:p>
    <w:p w14:paraId="218AFFCD" w14:textId="77777777" w:rsidR="00BE0CA2" w:rsidRPr="00E26DD2" w:rsidRDefault="00CA08F7" w:rsidP="00CA08F7">
      <w:pPr>
        <w:pStyle w:val="SingleTxtG"/>
        <w:ind w:left="2268" w:hanging="1134"/>
      </w:pPr>
      <w:r>
        <w:tab/>
      </w:r>
      <w:proofErr w:type="gramStart"/>
      <w:r w:rsidR="004666C5" w:rsidRPr="00335FF4">
        <w:rPr>
          <w:strike/>
        </w:rPr>
        <w:t>d</w:t>
      </w:r>
      <w:r w:rsidR="004666C5" w:rsidRPr="00E26DD2">
        <w:rPr>
          <w:b/>
          <w:bCs/>
        </w:rPr>
        <w:t>b</w:t>
      </w:r>
      <w:proofErr w:type="gramEnd"/>
      <w:r w:rsidR="004666C5" w:rsidRPr="00E26DD2">
        <w:t>)</w:t>
      </w:r>
      <w:r w:rsidR="004666C5" w:rsidRPr="00E26DD2">
        <w:tab/>
        <w:t>Les véhicules de la catégorie M</w:t>
      </w:r>
      <w:r w:rsidR="004666C5" w:rsidRPr="00E26DD2">
        <w:rPr>
          <w:vertAlign w:val="subscript"/>
        </w:rPr>
        <w:t>1</w:t>
      </w:r>
      <w:r w:rsidR="004666C5" w:rsidRPr="00E26DD2">
        <w:t xml:space="preserve"> dont la masse admissible totale dépasse 3,5 t ; et</w:t>
      </w:r>
    </w:p>
    <w:p w14:paraId="6C842FD7" w14:textId="77777777" w:rsidR="00E26DD2" w:rsidRPr="00E26DD2" w:rsidRDefault="00CA08F7" w:rsidP="00CA08F7">
      <w:pPr>
        <w:pStyle w:val="SingleTxtG"/>
        <w:ind w:left="2268" w:hanging="1134"/>
      </w:pPr>
      <w:r>
        <w:tab/>
      </w:r>
      <w:proofErr w:type="gramStart"/>
      <w:r w:rsidR="004666C5" w:rsidRPr="00335FF4">
        <w:rPr>
          <w:strike/>
        </w:rPr>
        <w:t>e</w:t>
      </w:r>
      <w:proofErr w:type="gramEnd"/>
      <w:r w:rsidR="004666C5" w:rsidRPr="00E26DD2">
        <w:rPr>
          <w:b/>
          <w:bCs/>
        </w:rPr>
        <w:t>с</w:t>
      </w:r>
      <w:r w:rsidR="004666C5" w:rsidRPr="00E26DD2">
        <w:t>)</w:t>
      </w:r>
      <w:r w:rsidR="004666C5" w:rsidRPr="00E26DD2">
        <w:tab/>
        <w:t>Les véhicules blindés</w:t>
      </w:r>
      <w:r w:rsidR="004666C5" w:rsidRPr="00E26DD2">
        <w:rPr>
          <w:vertAlign w:val="superscript"/>
        </w:rPr>
        <w:t>1</w:t>
      </w:r>
      <w:r w:rsidR="004666C5" w:rsidRPr="00E26DD2">
        <w:t>.</w:t>
      </w:r>
      <w:r w:rsidR="00E26DD2">
        <w:t> »</w:t>
      </w:r>
    </w:p>
    <w:p w14:paraId="262C392D" w14:textId="77777777" w:rsidR="00BE0CA2" w:rsidRPr="00E26DD2" w:rsidRDefault="00CA485A" w:rsidP="009C48E4">
      <w:pPr>
        <w:pStyle w:val="SingleTxtG"/>
        <w:keepNext/>
        <w:rPr>
          <w:b/>
          <w:iCs/>
        </w:rPr>
      </w:pPr>
      <w:r>
        <w:rPr>
          <w:i/>
          <w:iCs/>
        </w:rPr>
        <w:t>Paragraphe </w:t>
      </w:r>
      <w:r w:rsidR="004666C5" w:rsidRPr="00E26DD2">
        <w:rPr>
          <w:i/>
          <w:iCs/>
        </w:rPr>
        <w:t>34.1</w:t>
      </w:r>
      <w:r w:rsidR="004666C5" w:rsidRPr="00E26DD2">
        <w:t>, lire :</w:t>
      </w:r>
    </w:p>
    <w:p w14:paraId="099A46BF" w14:textId="77777777" w:rsidR="00BE0CA2" w:rsidRPr="00E26DD2" w:rsidRDefault="00E26DD2" w:rsidP="00172970">
      <w:pPr>
        <w:pStyle w:val="SingleTxtG"/>
        <w:keepNext/>
        <w:ind w:left="2268" w:hanging="1134"/>
      </w:pPr>
      <w:r>
        <w:t>« </w:t>
      </w:r>
      <w:r w:rsidR="004666C5" w:rsidRPr="00E26DD2">
        <w:t>34.1</w:t>
      </w:r>
      <w:r w:rsidR="004666C5" w:rsidRPr="00E26DD2">
        <w:tab/>
        <w:t>Si le type de véhicule présenté à l</w:t>
      </w:r>
      <w:r w:rsidRPr="00E26DD2">
        <w:t>’</w:t>
      </w:r>
      <w:r w:rsidR="004666C5" w:rsidRPr="00E26DD2">
        <w:t>homo</w:t>
      </w:r>
      <w:r w:rsidR="00CA08F7">
        <w:t>logation en vertu du paragraphe </w:t>
      </w:r>
      <w:r w:rsidR="004666C5" w:rsidRPr="00E26DD2">
        <w:t xml:space="preserve">33 satisfait </w:t>
      </w:r>
      <w:r w:rsidR="00CA08F7">
        <w:t>aux prescriptions du paragraphe </w:t>
      </w:r>
      <w:r w:rsidR="004666C5" w:rsidRPr="00E26DD2">
        <w:t>35 du présent Règlement, l</w:t>
      </w:r>
      <w:r w:rsidRPr="00E26DD2">
        <w:t>’</w:t>
      </w:r>
      <w:r w:rsidR="004666C5" w:rsidRPr="00E26DD2">
        <w:t>homologation est accordée.</w:t>
      </w:r>
    </w:p>
    <w:p w14:paraId="7E98C73A" w14:textId="77777777" w:rsidR="00BE0CA2" w:rsidRPr="00E26DD2" w:rsidRDefault="003A58D7" w:rsidP="003A58D7">
      <w:pPr>
        <w:pStyle w:val="SingleTxtG"/>
        <w:ind w:left="2268" w:hanging="1134"/>
      </w:pPr>
      <w:r>
        <w:tab/>
      </w:r>
      <w:r w:rsidR="004666C5" w:rsidRPr="00E26DD2">
        <w:t>Avant d</w:t>
      </w:r>
      <w:r w:rsidR="00E26DD2" w:rsidRPr="00E26DD2">
        <w:t>’</w:t>
      </w:r>
      <w:r w:rsidR="004666C5" w:rsidRPr="00E26DD2">
        <w:t>accorder l</w:t>
      </w:r>
      <w:r w:rsidR="00E26DD2" w:rsidRPr="00E26DD2">
        <w:t>’</w:t>
      </w:r>
      <w:r w:rsidR="004666C5" w:rsidRPr="00E26DD2">
        <w:t>homologation à un type de véhicule, l</w:t>
      </w:r>
      <w:r w:rsidR="00E26DD2" w:rsidRPr="00E26DD2">
        <w:t>’</w:t>
      </w:r>
      <w:r w:rsidR="004666C5" w:rsidRPr="00E26DD2">
        <w:t>autorité compétente doit s</w:t>
      </w:r>
      <w:r w:rsidR="00E26DD2" w:rsidRPr="00E26DD2">
        <w:t>’</w:t>
      </w:r>
      <w:r w:rsidR="004666C5" w:rsidRPr="00E26DD2">
        <w:t xml:space="preserve">assurer que tous les </w:t>
      </w:r>
      <w:r>
        <w:t>éléments énumérés au paragraphe </w:t>
      </w:r>
      <w:r w:rsidR="004666C5" w:rsidRPr="00E26DD2">
        <w:t>35.10.1 sont soumis à des essais conformément à l</w:t>
      </w:r>
      <w:r w:rsidR="00E26DD2" w:rsidRPr="00E26DD2">
        <w:t>’</w:t>
      </w:r>
      <w:r>
        <w:t>annexe </w:t>
      </w:r>
      <w:r w:rsidR="004666C5" w:rsidRPr="00E26DD2">
        <w:t>9. Si l</w:t>
      </w:r>
      <w:r w:rsidR="00E26DD2" w:rsidRPr="00E26DD2">
        <w:t>’</w:t>
      </w:r>
      <w:r w:rsidR="004666C5" w:rsidRPr="00E26DD2">
        <w:t>AECS est alimenté en électricité autrement que par l</w:t>
      </w:r>
      <w:r w:rsidR="00E26DD2" w:rsidRPr="00E26DD2">
        <w:t>’</w:t>
      </w:r>
      <w:r w:rsidR="004666C5" w:rsidRPr="00E26DD2">
        <w:t>alimentation électrique</w:t>
      </w:r>
      <w:r>
        <w:t xml:space="preserve"> de secours visée au paragraphe </w:t>
      </w:r>
      <w:r w:rsidR="004666C5" w:rsidRPr="00E26DD2">
        <w:t xml:space="preserve">35.10.2, </w:t>
      </w:r>
      <w:r w:rsidR="004666C5" w:rsidRPr="00E26DD2">
        <w:rPr>
          <w:b/>
          <w:bCs/>
        </w:rPr>
        <w:t xml:space="preserve">et que cette autre </w:t>
      </w:r>
      <w:r w:rsidR="009C48E4">
        <w:rPr>
          <w:b/>
          <w:bCs/>
        </w:rPr>
        <w:t>alimentation</w:t>
      </w:r>
      <w:r w:rsidR="004666C5" w:rsidRPr="00E26DD2">
        <w:rPr>
          <w:b/>
          <w:bCs/>
        </w:rPr>
        <w:t xml:space="preserve"> est celle qui permet de satisfaire </w:t>
      </w:r>
      <w:r>
        <w:rPr>
          <w:b/>
          <w:bCs/>
        </w:rPr>
        <w:t>aux prescriptions du paragraphe </w:t>
      </w:r>
      <w:r w:rsidR="004666C5" w:rsidRPr="00E26DD2">
        <w:rPr>
          <w:b/>
          <w:bCs/>
        </w:rPr>
        <w:t xml:space="preserve">35.9, </w:t>
      </w:r>
      <w:r w:rsidR="004666C5" w:rsidRPr="00E26DD2">
        <w:t>celle-ci doit être soumise à des essais conformément à l</w:t>
      </w:r>
      <w:r w:rsidR="00E26DD2" w:rsidRPr="00E26DD2">
        <w:t>’</w:t>
      </w:r>
      <w:r w:rsidR="00CA485A">
        <w:t>annexe </w:t>
      </w:r>
      <w:r w:rsidR="004666C5" w:rsidRPr="00E26DD2">
        <w:t>9 du présent Règlement.</w:t>
      </w:r>
      <w:r w:rsidR="00E26DD2">
        <w:t> »</w:t>
      </w:r>
    </w:p>
    <w:p w14:paraId="462004F7" w14:textId="77777777" w:rsidR="00BE0CA2" w:rsidRPr="00E26DD2" w:rsidRDefault="004666C5" w:rsidP="009C48E4">
      <w:pPr>
        <w:pStyle w:val="SingleTxtG"/>
        <w:keepNext/>
        <w:rPr>
          <w:i/>
        </w:rPr>
      </w:pPr>
      <w:r w:rsidRPr="00E26DD2">
        <w:rPr>
          <w:i/>
          <w:iCs/>
        </w:rPr>
        <w:t xml:space="preserve">Ajouter </w:t>
      </w:r>
      <w:r w:rsidR="00CA485A">
        <w:rPr>
          <w:i/>
          <w:iCs/>
        </w:rPr>
        <w:t>un nouveau paragraphe </w:t>
      </w:r>
      <w:r w:rsidRPr="00E26DD2">
        <w:rPr>
          <w:i/>
          <w:iCs/>
        </w:rPr>
        <w:t>41</w:t>
      </w:r>
      <w:r w:rsidRPr="00E26DD2">
        <w:t>, libellé comme suit :</w:t>
      </w:r>
    </w:p>
    <w:p w14:paraId="556B4C2C" w14:textId="77777777" w:rsidR="00172970" w:rsidRDefault="00E26DD2" w:rsidP="00271947">
      <w:pPr>
        <w:pStyle w:val="SingleTxtG"/>
        <w:keepNext/>
        <w:ind w:left="2268" w:hanging="1134"/>
        <w:rPr>
          <w:b/>
        </w:rPr>
      </w:pPr>
      <w:r>
        <w:t>« </w:t>
      </w:r>
      <w:r w:rsidR="004666C5" w:rsidRPr="003956B2">
        <w:rPr>
          <w:b/>
        </w:rPr>
        <w:t>41.</w:t>
      </w:r>
      <w:r w:rsidR="004666C5" w:rsidRPr="00E26DD2">
        <w:tab/>
      </w:r>
      <w:r w:rsidR="004666C5" w:rsidRPr="00E26DD2">
        <w:rPr>
          <w:b/>
          <w:bCs/>
        </w:rPr>
        <w:t>Dispositions transitoires</w:t>
      </w:r>
    </w:p>
    <w:p w14:paraId="10562907" w14:textId="77777777" w:rsidR="00172970" w:rsidRDefault="004666C5" w:rsidP="00271947">
      <w:pPr>
        <w:pStyle w:val="SingleTxtG"/>
        <w:ind w:left="2268" w:hanging="1134"/>
        <w:rPr>
          <w:b/>
        </w:rPr>
      </w:pPr>
      <w:r w:rsidRPr="003956B2">
        <w:rPr>
          <w:b/>
        </w:rPr>
        <w:t>41.1</w:t>
      </w:r>
      <w:r w:rsidRPr="00E26DD2">
        <w:tab/>
      </w:r>
      <w:r w:rsidRPr="00E26DD2">
        <w:rPr>
          <w:b/>
          <w:bCs/>
        </w:rPr>
        <w:t>À compter de la date officielle d</w:t>
      </w:r>
      <w:r w:rsidR="00E26DD2" w:rsidRPr="00E26DD2">
        <w:rPr>
          <w:b/>
          <w:bCs/>
        </w:rPr>
        <w:t>’</w:t>
      </w:r>
      <w:r w:rsidR="00271947">
        <w:rPr>
          <w:b/>
          <w:bCs/>
        </w:rPr>
        <w:t>entrée en vigueur de la série </w:t>
      </w:r>
      <w:r w:rsidRPr="00E26DD2">
        <w:rPr>
          <w:b/>
          <w:bCs/>
        </w:rPr>
        <w:t>01 d</w:t>
      </w:r>
      <w:r w:rsidR="00E26DD2" w:rsidRPr="00E26DD2">
        <w:rPr>
          <w:b/>
          <w:bCs/>
        </w:rPr>
        <w:t>’</w:t>
      </w:r>
      <w:r w:rsidRPr="00E26DD2">
        <w:rPr>
          <w:b/>
          <w:bCs/>
        </w:rPr>
        <w:t>amendements, aucune Partie contractante appliquant le présent Règlement ne pourra refuser d</w:t>
      </w:r>
      <w:r w:rsidR="00E26DD2" w:rsidRPr="00E26DD2">
        <w:rPr>
          <w:b/>
          <w:bCs/>
        </w:rPr>
        <w:t>’</w:t>
      </w:r>
      <w:r w:rsidRPr="00E26DD2">
        <w:rPr>
          <w:b/>
          <w:bCs/>
        </w:rPr>
        <w:t>accorder ou d</w:t>
      </w:r>
      <w:r w:rsidR="00E26DD2" w:rsidRPr="00E26DD2">
        <w:rPr>
          <w:b/>
          <w:bCs/>
        </w:rPr>
        <w:t>’</w:t>
      </w:r>
      <w:r w:rsidRPr="00E26DD2">
        <w:rPr>
          <w:b/>
          <w:bCs/>
        </w:rPr>
        <w:t>accepter une homologation de type en vertu dudit Règleme</w:t>
      </w:r>
      <w:r w:rsidR="00271947">
        <w:rPr>
          <w:b/>
          <w:bCs/>
        </w:rPr>
        <w:t>nt tel que modifié par la série </w:t>
      </w:r>
      <w:r w:rsidRPr="00E26DD2">
        <w:rPr>
          <w:b/>
          <w:bCs/>
        </w:rPr>
        <w:t>01 d</w:t>
      </w:r>
      <w:r w:rsidR="00E26DD2" w:rsidRPr="00E26DD2">
        <w:rPr>
          <w:b/>
          <w:bCs/>
        </w:rPr>
        <w:t>’</w:t>
      </w:r>
      <w:r w:rsidRPr="00E26DD2">
        <w:rPr>
          <w:b/>
          <w:bCs/>
        </w:rPr>
        <w:t>amendements.</w:t>
      </w:r>
    </w:p>
    <w:p w14:paraId="54709A61" w14:textId="77777777" w:rsidR="00BE0CA2" w:rsidRPr="00E26DD2" w:rsidRDefault="004666C5" w:rsidP="00271947">
      <w:pPr>
        <w:pStyle w:val="SingleTxtG"/>
        <w:ind w:left="2268" w:hanging="1134"/>
        <w:rPr>
          <w:b/>
        </w:rPr>
      </w:pPr>
      <w:r w:rsidRPr="003956B2">
        <w:rPr>
          <w:b/>
        </w:rPr>
        <w:t>41.2</w:t>
      </w:r>
      <w:r w:rsidRPr="00E26DD2">
        <w:tab/>
      </w:r>
      <w:r w:rsidRPr="00E26DD2">
        <w:rPr>
          <w:b/>
          <w:bCs/>
        </w:rPr>
        <w:t>À compter du 1</w:t>
      </w:r>
      <w:r w:rsidRPr="00E26DD2">
        <w:rPr>
          <w:b/>
          <w:bCs/>
          <w:vertAlign w:val="superscript"/>
        </w:rPr>
        <w:t>er</w:t>
      </w:r>
      <w:r w:rsidR="00172970">
        <w:rPr>
          <w:b/>
          <w:bCs/>
        </w:rPr>
        <w:t> </w:t>
      </w:r>
      <w:r w:rsidRPr="00E26DD2">
        <w:rPr>
          <w:b/>
          <w:bCs/>
        </w:rPr>
        <w:t>septembre 2022, les Parties contractantes appliquant le présent Règlement ne seront plus tenues d</w:t>
      </w:r>
      <w:r w:rsidR="00E26DD2" w:rsidRPr="00E26DD2">
        <w:rPr>
          <w:b/>
          <w:bCs/>
        </w:rPr>
        <w:t>’</w:t>
      </w:r>
      <w:r w:rsidRPr="00E26DD2">
        <w:rPr>
          <w:b/>
          <w:bCs/>
        </w:rPr>
        <w:t>accepter des homologations établies conformément au texte original dudit Règlement, délivrées pour la première fois après le 1</w:t>
      </w:r>
      <w:r w:rsidRPr="00E26DD2">
        <w:rPr>
          <w:b/>
          <w:bCs/>
          <w:vertAlign w:val="superscript"/>
        </w:rPr>
        <w:t>er</w:t>
      </w:r>
      <w:r w:rsidR="00172970">
        <w:rPr>
          <w:b/>
          <w:bCs/>
        </w:rPr>
        <w:t> </w:t>
      </w:r>
      <w:r w:rsidRPr="00E26DD2">
        <w:rPr>
          <w:b/>
          <w:bCs/>
        </w:rPr>
        <w:t>septembre 2022.</w:t>
      </w:r>
    </w:p>
    <w:p w14:paraId="7EDF54D9" w14:textId="77777777" w:rsidR="00BE0CA2" w:rsidRPr="00E26DD2" w:rsidRDefault="004666C5" w:rsidP="00271947">
      <w:pPr>
        <w:pStyle w:val="SingleTxtG"/>
        <w:ind w:left="2268" w:hanging="1134"/>
        <w:rPr>
          <w:b/>
        </w:rPr>
      </w:pPr>
      <w:r w:rsidRPr="003956B2">
        <w:rPr>
          <w:b/>
        </w:rPr>
        <w:t>41.3</w:t>
      </w:r>
      <w:r w:rsidRPr="00E26DD2">
        <w:tab/>
      </w:r>
      <w:r w:rsidRPr="00E26DD2">
        <w:rPr>
          <w:b/>
          <w:bCs/>
        </w:rPr>
        <w:t>Les Parties contractantes appliquant le présent Règlement continueront de reconnaître les homologations établies conformément au texte original dudit Règlement, délivrées pour la première fois avant le 1</w:t>
      </w:r>
      <w:r w:rsidRPr="00E26DD2">
        <w:rPr>
          <w:b/>
          <w:bCs/>
          <w:vertAlign w:val="superscript"/>
        </w:rPr>
        <w:t>er</w:t>
      </w:r>
      <w:r w:rsidR="000738C1">
        <w:rPr>
          <w:b/>
          <w:bCs/>
        </w:rPr>
        <w:t> </w:t>
      </w:r>
      <w:r w:rsidRPr="00E26DD2">
        <w:rPr>
          <w:b/>
          <w:bCs/>
        </w:rPr>
        <w:t>septembre 2022.</w:t>
      </w:r>
    </w:p>
    <w:p w14:paraId="58C71253" w14:textId="77777777" w:rsidR="00BE0CA2" w:rsidRPr="00E26DD2" w:rsidRDefault="004666C5" w:rsidP="000738C1">
      <w:pPr>
        <w:pStyle w:val="SingleTxtG"/>
        <w:ind w:left="2268" w:hanging="1134"/>
        <w:rPr>
          <w:b/>
        </w:rPr>
      </w:pPr>
      <w:r w:rsidRPr="00B76823">
        <w:rPr>
          <w:b/>
        </w:rPr>
        <w:lastRenderedPageBreak/>
        <w:t>41.4</w:t>
      </w:r>
      <w:r w:rsidRPr="00E26DD2">
        <w:tab/>
      </w:r>
      <w:r w:rsidRPr="00E26DD2">
        <w:rPr>
          <w:b/>
          <w:bCs/>
        </w:rPr>
        <w:t>Les Parties contractantes appliquant le présent Règlement ne pourront refuser d</w:t>
      </w:r>
      <w:r w:rsidR="00E26DD2" w:rsidRPr="00E26DD2">
        <w:rPr>
          <w:b/>
          <w:bCs/>
        </w:rPr>
        <w:t>’</w:t>
      </w:r>
      <w:r w:rsidRPr="00E26DD2">
        <w:rPr>
          <w:b/>
          <w:bCs/>
        </w:rPr>
        <w:t>accorder des homologations en vertu du texte original dudit Règlement, ou d</w:t>
      </w:r>
      <w:r w:rsidR="00E26DD2" w:rsidRPr="00E26DD2">
        <w:rPr>
          <w:b/>
          <w:bCs/>
        </w:rPr>
        <w:t>’</w:t>
      </w:r>
      <w:r w:rsidRPr="00E26DD2">
        <w:rPr>
          <w:b/>
          <w:bCs/>
        </w:rPr>
        <w:t>accorder des extensions pour les homologations en question.</w:t>
      </w:r>
      <w:r w:rsidR="00E26DD2" w:rsidRPr="000738C1">
        <w:rPr>
          <w:bCs/>
        </w:rPr>
        <w:t> »</w:t>
      </w:r>
    </w:p>
    <w:p w14:paraId="6816DFFA" w14:textId="77777777" w:rsidR="00BE0CA2" w:rsidRPr="00E26DD2" w:rsidRDefault="004666C5" w:rsidP="00E26DD2">
      <w:pPr>
        <w:pStyle w:val="HChG"/>
      </w:pPr>
      <w:r w:rsidRPr="00E26DD2">
        <w:tab/>
        <w:t>II.</w:t>
      </w:r>
      <w:r w:rsidRPr="00E26DD2">
        <w:tab/>
        <w:t>Justification</w:t>
      </w:r>
    </w:p>
    <w:p w14:paraId="509B7441" w14:textId="77777777" w:rsidR="00BE0CA2" w:rsidRPr="00E26DD2" w:rsidRDefault="004666C5" w:rsidP="00E26DD2">
      <w:pPr>
        <w:pStyle w:val="H1G"/>
      </w:pPr>
      <w:r w:rsidRPr="00E26DD2">
        <w:tab/>
        <w:t>A.</w:t>
      </w:r>
      <w:r w:rsidRPr="00E26DD2">
        <w:tab/>
      </w:r>
      <w:r w:rsidR="00E26DD2">
        <w:t>Paragraphe </w:t>
      </w:r>
      <w:r w:rsidRPr="00E26DD2">
        <w:t>1.1</w:t>
      </w:r>
    </w:p>
    <w:p w14:paraId="76C7B3CE" w14:textId="77777777" w:rsidR="00BE0CA2" w:rsidRPr="00E26DD2" w:rsidRDefault="004666C5" w:rsidP="009C48E4">
      <w:pPr>
        <w:pStyle w:val="SingleTxtG"/>
        <w:keepNext/>
      </w:pPr>
      <w:r w:rsidRPr="00E26DD2">
        <w:t>1.</w:t>
      </w:r>
      <w:r w:rsidRPr="00E26DD2">
        <w:tab/>
        <w:t>Les nouvelles dispositions qu</w:t>
      </w:r>
      <w:r w:rsidR="00E26DD2" w:rsidRPr="00E26DD2">
        <w:t>’</w:t>
      </w:r>
      <w:r w:rsidRPr="00E26DD2">
        <w:t>il est proposé d</w:t>
      </w:r>
      <w:r w:rsidR="00E26DD2" w:rsidRPr="00E26DD2">
        <w:t>’</w:t>
      </w:r>
      <w:r w:rsidRPr="00E26DD2">
        <w:t>introduire</w:t>
      </w:r>
      <w:r>
        <w:t xml:space="preserve"> au paragraphe </w:t>
      </w:r>
      <w:r w:rsidRPr="00E26DD2">
        <w:t>1.1 du champ d</w:t>
      </w:r>
      <w:r w:rsidR="00E26DD2" w:rsidRPr="00E26DD2">
        <w:t>’</w:t>
      </w:r>
      <w:r w:rsidRPr="00E26DD2">
        <w:t>application permettront aux Parties contractantes d</w:t>
      </w:r>
      <w:r w:rsidR="00E26DD2" w:rsidRPr="00E26DD2">
        <w:t>’</w:t>
      </w:r>
      <w:r w:rsidRPr="00E26DD2">
        <w:t>appliquer, si le demandeur en fait la demande, les prescriptions et méthodes d</w:t>
      </w:r>
      <w:r w:rsidR="00E26DD2" w:rsidRPr="00E26DD2">
        <w:t>’</w:t>
      </w:r>
      <w:r w:rsidRPr="00E26DD2">
        <w:t>essai pertinentes figurant dans le Règlement ONU n</w:t>
      </w:r>
      <w:r w:rsidRPr="00E26DD2">
        <w:rPr>
          <w:vertAlign w:val="superscript"/>
        </w:rPr>
        <w:t>o</w:t>
      </w:r>
      <w:r w:rsidRPr="00E26DD2">
        <w:t> 144 pour évaluer la conformité des AECD destinés à être installés sur des véhicules de catégories autres que M</w:t>
      </w:r>
      <w:r w:rsidRPr="00E26DD2">
        <w:rPr>
          <w:vertAlign w:val="subscript"/>
        </w:rPr>
        <w:t>1</w:t>
      </w:r>
      <w:r w:rsidRPr="00E26DD2">
        <w:t xml:space="preserve"> et N</w:t>
      </w:r>
      <w:r w:rsidRPr="00E26DD2">
        <w:rPr>
          <w:vertAlign w:val="subscript"/>
        </w:rPr>
        <w:t xml:space="preserve">1, </w:t>
      </w:r>
      <w:r w:rsidRPr="00E26DD2">
        <w:t>par exemple si les prescriptions nationales des Parties contractantes sont applicables.</w:t>
      </w:r>
    </w:p>
    <w:p w14:paraId="6649F000" w14:textId="77777777" w:rsidR="00BE0CA2" w:rsidRPr="00E26DD2" w:rsidRDefault="004666C5" w:rsidP="00E26DD2">
      <w:pPr>
        <w:pStyle w:val="H1G"/>
      </w:pPr>
      <w:r w:rsidRPr="00E26DD2">
        <w:tab/>
        <w:t>B.</w:t>
      </w:r>
      <w:r w:rsidRPr="00E26DD2">
        <w:tab/>
      </w:r>
      <w:r w:rsidR="00E26DD2">
        <w:t>Paragraphe </w:t>
      </w:r>
      <w:r w:rsidRPr="00E26DD2">
        <w:t>1.3</w:t>
      </w:r>
    </w:p>
    <w:p w14:paraId="3D892E1B" w14:textId="77777777" w:rsidR="00BE0CA2" w:rsidRPr="00E26DD2" w:rsidRDefault="004666C5" w:rsidP="009C48E4">
      <w:pPr>
        <w:pStyle w:val="SingleTxtG"/>
        <w:keepNext/>
      </w:pPr>
      <w:r w:rsidRPr="00E26DD2">
        <w:t>2.</w:t>
      </w:r>
      <w:r w:rsidRPr="00E26DD2">
        <w:tab/>
        <w:t>Au sein du groupe de travail informel des AECS, dont la première réunion s</w:t>
      </w:r>
      <w:r w:rsidR="00E26DD2" w:rsidRPr="00E26DD2">
        <w:t>’</w:t>
      </w:r>
      <w:r w:rsidRPr="00E26DD2">
        <w:t>est tenue en 2013, il a été initialement décidé d</w:t>
      </w:r>
      <w:r w:rsidR="00E26DD2" w:rsidRPr="00E26DD2">
        <w:t>’</w:t>
      </w:r>
      <w:r w:rsidRPr="00E26DD2">
        <w:t>exclure certaines catégories appropriées de véhicules du champ d</w:t>
      </w:r>
      <w:r w:rsidR="00E26DD2" w:rsidRPr="00E26DD2">
        <w:t>’</w:t>
      </w:r>
      <w:r w:rsidRPr="00E26DD2">
        <w:t>application du Règlement ONU n</w:t>
      </w:r>
      <w:r w:rsidRPr="00E26DD2">
        <w:rPr>
          <w:vertAlign w:val="superscript"/>
        </w:rPr>
        <w:t>o</w:t>
      </w:r>
      <w:r w:rsidR="003C1DBF">
        <w:t> 144, aux alinéas b) à d) du paragraphe </w:t>
      </w:r>
      <w:r w:rsidRPr="00E26DD2">
        <w:t>1.3. Cette décision a été prise pendant les premières phases de l</w:t>
      </w:r>
      <w:r w:rsidR="00E26DD2" w:rsidRPr="00E26DD2">
        <w:t>’</w:t>
      </w:r>
      <w:r w:rsidRPr="00E26DD2">
        <w:t>élaboration des prescriptions concernant les AECS, sur la base d</w:t>
      </w:r>
      <w:r w:rsidR="00E26DD2" w:rsidRPr="00E26DD2">
        <w:t>’</w:t>
      </w:r>
      <w:r w:rsidRPr="00E26DD2">
        <w:t>un certain nombre d</w:t>
      </w:r>
      <w:r w:rsidR="00E26DD2" w:rsidRPr="00E26DD2">
        <w:t>’</w:t>
      </w:r>
      <w:r w:rsidRPr="00E26DD2">
        <w:t>essais expérimentaux. Par conséquent, à ce stade, peu de données étaient disponibles sur les essais d</w:t>
      </w:r>
      <w:r w:rsidR="00E26DD2" w:rsidRPr="00E26DD2">
        <w:t>’</w:t>
      </w:r>
      <w:r w:rsidRPr="00E26DD2">
        <w:t>homologation des véhicules concernant le fonctionnement des AECS.</w:t>
      </w:r>
    </w:p>
    <w:p w14:paraId="52BA902F" w14:textId="77777777" w:rsidR="00BE0CA2" w:rsidRPr="00E26DD2" w:rsidRDefault="004666C5" w:rsidP="009C48E4">
      <w:pPr>
        <w:pStyle w:val="SingleTxtG"/>
        <w:keepNext/>
      </w:pPr>
      <w:r w:rsidRPr="00E26DD2">
        <w:t>3.</w:t>
      </w:r>
      <w:r w:rsidRPr="00E26DD2">
        <w:tab/>
        <w:t>Le Règlement Technique de l</w:t>
      </w:r>
      <w:r w:rsidR="00E26DD2" w:rsidRPr="00E26DD2">
        <w:t>’</w:t>
      </w:r>
      <w:r w:rsidRPr="00E26DD2">
        <w:t xml:space="preserve">Union douanière </w:t>
      </w:r>
      <w:r w:rsidR="003C1DBF">
        <w:t>« </w:t>
      </w:r>
      <w:r w:rsidRPr="00E26DD2">
        <w:t>Sur la sécurité des véhicules à roues</w:t>
      </w:r>
      <w:r w:rsidR="003C1DBF">
        <w:t> » (CU TR </w:t>
      </w:r>
      <w:r w:rsidRPr="00E26DD2">
        <w:t>018/2011) établit que tous les véhicules de la catégorie M</w:t>
      </w:r>
      <w:r w:rsidRPr="00E26DD2">
        <w:rPr>
          <w:vertAlign w:val="subscript"/>
        </w:rPr>
        <w:t>1</w:t>
      </w:r>
      <w:r w:rsidRPr="00E26DD2">
        <w:t xml:space="preserve"> relevant des Règlement ONU n</w:t>
      </w:r>
      <w:r w:rsidRPr="00E26DD2">
        <w:rPr>
          <w:vertAlign w:val="superscript"/>
        </w:rPr>
        <w:t>os</w:t>
      </w:r>
      <w:r w:rsidRPr="00E26DD2">
        <w:t> 94 et 95 et les véhicules de la catégorie N</w:t>
      </w:r>
      <w:r w:rsidRPr="00E26DD2">
        <w:rPr>
          <w:vertAlign w:val="subscript"/>
        </w:rPr>
        <w:t>1</w:t>
      </w:r>
      <w:r w:rsidRPr="00E26DD2">
        <w:t xml:space="preserve"> relevant du Règlement ONU n</w:t>
      </w:r>
      <w:r w:rsidRPr="00E26DD2">
        <w:rPr>
          <w:vertAlign w:val="superscript"/>
        </w:rPr>
        <w:t>o</w:t>
      </w:r>
      <w:r w:rsidRPr="00E26DD2">
        <w:t> 95 doivent être équipés d</w:t>
      </w:r>
      <w:r w:rsidR="00E26DD2" w:rsidRPr="00E26DD2">
        <w:t>’</w:t>
      </w:r>
      <w:r w:rsidRPr="00E26DD2">
        <w:t>un AECS, qui doit garantir la bonne transmission de l</w:t>
      </w:r>
      <w:r w:rsidR="00E26DD2" w:rsidRPr="00E26DD2">
        <w:t>’</w:t>
      </w:r>
      <w:r w:rsidRPr="00E26DD2">
        <w:t>ensemble minimal de données (MSD), déclenchée par un ou plusieurs airbag(s) ou capteur(s) d</w:t>
      </w:r>
      <w:r w:rsidR="00E26DD2" w:rsidRPr="00E26DD2">
        <w:t>’</w:t>
      </w:r>
      <w:r w:rsidRPr="00E26DD2">
        <w:t>autres composants du système de sécurité passive ou par tout autre système permettant d</w:t>
      </w:r>
      <w:r w:rsidR="00E26DD2" w:rsidRPr="00E26DD2">
        <w:t>’</w:t>
      </w:r>
      <w:r w:rsidRPr="00E26DD2">
        <w:t>évaluer la décélération du véhicule, conformément aux Règlements ONU n</w:t>
      </w:r>
      <w:r w:rsidRPr="00E26DD2">
        <w:rPr>
          <w:vertAlign w:val="superscript"/>
        </w:rPr>
        <w:t>os</w:t>
      </w:r>
      <w:r w:rsidRPr="00E26DD2">
        <w:t> 94 et 95, selon le cas.</w:t>
      </w:r>
    </w:p>
    <w:p w14:paraId="5A3A34C3" w14:textId="77777777" w:rsidR="00BE0CA2" w:rsidRPr="00E26DD2" w:rsidRDefault="004666C5" w:rsidP="009C48E4">
      <w:pPr>
        <w:pStyle w:val="SingleTxtG"/>
        <w:keepNext/>
      </w:pPr>
      <w:r w:rsidRPr="00E26DD2">
        <w:t>4.</w:t>
      </w:r>
      <w:r w:rsidRPr="00E26DD2">
        <w:tab/>
        <w:t>À ce jour, des centaines d</w:t>
      </w:r>
      <w:r w:rsidR="00E26DD2" w:rsidRPr="00E26DD2">
        <w:t>’</w:t>
      </w:r>
      <w:r w:rsidRPr="00E26DD2">
        <w:t>essais d</w:t>
      </w:r>
      <w:r w:rsidR="00E26DD2" w:rsidRPr="00E26DD2">
        <w:t>’</w:t>
      </w:r>
      <w:r w:rsidRPr="00E26DD2">
        <w:t>homologation ont été effectués sur des véhicules équipés d</w:t>
      </w:r>
      <w:r w:rsidR="00E26DD2" w:rsidRPr="00E26DD2">
        <w:t>’</w:t>
      </w:r>
      <w:r w:rsidRPr="00E26DD2">
        <w:t>un AECS, conformément aux exigence</w:t>
      </w:r>
      <w:r w:rsidR="003C1DBF">
        <w:t>s figurant dans le Règlement CU TR </w:t>
      </w:r>
      <w:r w:rsidRPr="00E26DD2">
        <w:t>018/2011. Il en ressort ce qui suit :</w:t>
      </w:r>
    </w:p>
    <w:p w14:paraId="060706F1" w14:textId="77777777" w:rsidR="00BE0CA2" w:rsidRPr="00E26DD2" w:rsidRDefault="004666C5" w:rsidP="00E26DD2">
      <w:pPr>
        <w:pStyle w:val="SingleTxtG"/>
        <w:ind w:firstLine="567"/>
      </w:pPr>
      <w:r w:rsidRPr="00E26DD2">
        <w:t>a)</w:t>
      </w:r>
      <w:r w:rsidRPr="00E26DD2">
        <w:tab/>
        <w:t>Tous les véhicules relevant du champ d</w:t>
      </w:r>
      <w:r w:rsidR="00E26DD2" w:rsidRPr="00E26DD2">
        <w:t>’</w:t>
      </w:r>
      <w:r w:rsidRPr="00E26DD2">
        <w:t>application du Règlement ONU n</w:t>
      </w:r>
      <w:r w:rsidRPr="00E26DD2">
        <w:rPr>
          <w:vertAlign w:val="superscript"/>
        </w:rPr>
        <w:t>o</w:t>
      </w:r>
      <w:r w:rsidRPr="00E26DD2">
        <w:t> 94 et/ou du Règlement ONU n</w:t>
      </w:r>
      <w:r w:rsidRPr="00E26DD2">
        <w:rPr>
          <w:vertAlign w:val="superscript"/>
        </w:rPr>
        <w:t>o</w:t>
      </w:r>
      <w:r w:rsidRPr="00E26DD2">
        <w:t> 95, selon le cas, ont été soumis à des essais pour vérifier le bon fonctionnement de l</w:t>
      </w:r>
      <w:r w:rsidR="00E26DD2" w:rsidRPr="00E26DD2">
        <w:t>’</w:t>
      </w:r>
      <w:r w:rsidRPr="00E26DD2">
        <w:t>AECS en ce qui concerne la transmission du MSD et la communication vocale, conformément aux exigences susmentionnées ;</w:t>
      </w:r>
    </w:p>
    <w:p w14:paraId="56A206D1" w14:textId="77777777" w:rsidR="00BE0CA2" w:rsidRPr="00E26DD2" w:rsidRDefault="004666C5" w:rsidP="00E26DD2">
      <w:pPr>
        <w:pStyle w:val="SingleTxtG"/>
        <w:ind w:firstLine="567"/>
      </w:pPr>
      <w:r w:rsidRPr="00E26DD2">
        <w:t>b)</w:t>
      </w:r>
      <w:r w:rsidRPr="00E26DD2">
        <w:tab/>
        <w:t>Certains des véhicules testés n</w:t>
      </w:r>
      <w:r w:rsidR="00E26DD2" w:rsidRPr="00E26DD2">
        <w:t>’</w:t>
      </w:r>
      <w:r w:rsidRPr="00E26DD2">
        <w:t>étaient pas équipés d</w:t>
      </w:r>
      <w:r w:rsidR="00E26DD2" w:rsidRPr="00E26DD2">
        <w:t>’</w:t>
      </w:r>
      <w:r w:rsidRPr="00E26DD2">
        <w:t>airbags latéraux et ont passé avec succès l</w:t>
      </w:r>
      <w:r w:rsidR="00E26DD2" w:rsidRPr="00E26DD2">
        <w:t>’</w:t>
      </w:r>
      <w:r w:rsidRPr="00E26DD2">
        <w:t>essai de fonctionnement de l</w:t>
      </w:r>
      <w:r w:rsidR="00E26DD2" w:rsidRPr="00E26DD2">
        <w:t>’</w:t>
      </w:r>
      <w:r w:rsidRPr="00E26DD2">
        <w:t>AECS lors des essais effectués conformément au Règlement ONU n</w:t>
      </w:r>
      <w:r w:rsidRPr="00E26DD2">
        <w:rPr>
          <w:vertAlign w:val="superscript"/>
        </w:rPr>
        <w:t>o</w:t>
      </w:r>
      <w:r w:rsidRPr="00E26DD2">
        <w:t> 95 ;</w:t>
      </w:r>
    </w:p>
    <w:p w14:paraId="20EC73C4" w14:textId="77777777" w:rsidR="00BE0CA2" w:rsidRPr="00E26DD2" w:rsidRDefault="004666C5" w:rsidP="00E26DD2">
      <w:pPr>
        <w:pStyle w:val="SingleTxtG"/>
        <w:ind w:firstLine="567"/>
      </w:pPr>
      <w:r w:rsidRPr="00E26DD2">
        <w:t>c)</w:t>
      </w:r>
      <w:r w:rsidRPr="00E26DD2">
        <w:tab/>
        <w:t>Certains de ces véhicules homologués ont passé avec succès des essais réalisés dans le cadre d</w:t>
      </w:r>
      <w:r w:rsidR="00E26DD2" w:rsidRPr="00E26DD2">
        <w:t>’</w:t>
      </w:r>
      <w:r w:rsidRPr="00E26DD2">
        <w:t>un programme de supervision gouvernemental relatif aux exigences de performance des AECS.</w:t>
      </w:r>
    </w:p>
    <w:p w14:paraId="2A21F900" w14:textId="77777777" w:rsidR="00BE0CA2" w:rsidRPr="00E26DD2" w:rsidRDefault="004666C5" w:rsidP="00E26DD2">
      <w:pPr>
        <w:pStyle w:val="SingleTxtG"/>
        <w:ind w:firstLine="567"/>
      </w:pPr>
      <w:r w:rsidRPr="00E26DD2">
        <w:t>5.</w:t>
      </w:r>
      <w:r w:rsidRPr="00E26DD2">
        <w:tab/>
        <w:t>L</w:t>
      </w:r>
      <w:r w:rsidR="00E26DD2" w:rsidRPr="00E26DD2">
        <w:t>’</w:t>
      </w:r>
      <w:r w:rsidRPr="00E26DD2">
        <w:t>objectif principal de l</w:t>
      </w:r>
      <w:r w:rsidR="00E26DD2" w:rsidRPr="00E26DD2">
        <w:t>’</w:t>
      </w:r>
      <w:r w:rsidRPr="00E26DD2">
        <w:t>homologation du Règlement ONU n</w:t>
      </w:r>
      <w:r w:rsidRPr="00E26DD2">
        <w:rPr>
          <w:vertAlign w:val="superscript"/>
        </w:rPr>
        <w:t>o</w:t>
      </w:r>
      <w:r w:rsidRPr="00E26DD2">
        <w:t> 144 est de vérifier les performances de l</w:t>
      </w:r>
      <w:r w:rsidR="00E26DD2" w:rsidRPr="00E26DD2">
        <w:t>’</w:t>
      </w:r>
      <w:r w:rsidRPr="00E26DD2">
        <w:t>AECS pendant l</w:t>
      </w:r>
      <w:r w:rsidR="00E26DD2" w:rsidRPr="00E26DD2">
        <w:t>’</w:t>
      </w:r>
      <w:r w:rsidRPr="00E26DD2">
        <w:t>essai de choc, notamment en ce qui concerne la transmission du MSD et la communication vocale, et non celles des dispositifs de sécurité passive, qui relèvent d</w:t>
      </w:r>
      <w:r w:rsidR="00E26DD2" w:rsidRPr="00E26DD2">
        <w:t>’</w:t>
      </w:r>
      <w:r w:rsidRPr="00E26DD2">
        <w:t>autres Règlements ONU.</w:t>
      </w:r>
    </w:p>
    <w:p w14:paraId="745A43D2" w14:textId="77777777" w:rsidR="00BE0CA2" w:rsidRPr="00E26DD2" w:rsidRDefault="004666C5" w:rsidP="00E26DD2">
      <w:pPr>
        <w:pStyle w:val="SingleTxtG"/>
        <w:ind w:firstLine="567"/>
      </w:pPr>
      <w:r w:rsidRPr="00E26DD2">
        <w:t>6.</w:t>
      </w:r>
      <w:r w:rsidRPr="00E26DD2">
        <w:tab/>
        <w:t>Compte tenu de ce qui précède, la Fédération de Russie p</w:t>
      </w:r>
      <w:r w:rsidR="00BA709F">
        <w:t>ropose de supprimer les alinéas </w:t>
      </w:r>
      <w:r w:rsidR="002960AD">
        <w:t>b) et с) du paragraphe </w:t>
      </w:r>
      <w:r w:rsidRPr="00E26DD2">
        <w:t>1.3 concernant le champ d</w:t>
      </w:r>
      <w:r w:rsidR="00E26DD2" w:rsidRPr="00E26DD2">
        <w:t>’</w:t>
      </w:r>
      <w:r w:rsidRPr="00E26DD2">
        <w:t>application du Règlement ONU n</w:t>
      </w:r>
      <w:r w:rsidRPr="00E26DD2">
        <w:rPr>
          <w:vertAlign w:val="superscript"/>
        </w:rPr>
        <w:t>o</w:t>
      </w:r>
      <w:r w:rsidRPr="00E26DD2">
        <w:t> 144.</w:t>
      </w:r>
    </w:p>
    <w:p w14:paraId="45E8D2CA" w14:textId="77777777" w:rsidR="00BE0CA2" w:rsidRPr="00E26DD2" w:rsidRDefault="004666C5" w:rsidP="00E26DD2">
      <w:pPr>
        <w:pStyle w:val="H1G"/>
      </w:pPr>
      <w:r w:rsidRPr="00E26DD2">
        <w:lastRenderedPageBreak/>
        <w:tab/>
        <w:t>C.</w:t>
      </w:r>
      <w:r w:rsidRPr="00E26DD2">
        <w:tab/>
      </w:r>
      <w:r w:rsidR="00E26DD2">
        <w:t>Paragraphe </w:t>
      </w:r>
      <w:r w:rsidRPr="00E26DD2">
        <w:t>34.1</w:t>
      </w:r>
    </w:p>
    <w:p w14:paraId="0FEB60D5" w14:textId="77777777" w:rsidR="00BE0CA2" w:rsidRPr="00E26DD2" w:rsidRDefault="004666C5" w:rsidP="009C48E4">
      <w:pPr>
        <w:pStyle w:val="SingleTxtG"/>
        <w:keepNext/>
      </w:pPr>
      <w:r w:rsidRPr="00E26DD2">
        <w:t>7.</w:t>
      </w:r>
      <w:r w:rsidRPr="00E26DD2">
        <w:tab/>
        <w:t xml:space="preserve">La proposition vise à aligner </w:t>
      </w:r>
      <w:r w:rsidR="002960AD">
        <w:t>les prescriptions du paragraphe </w:t>
      </w:r>
      <w:r w:rsidRPr="00E26DD2">
        <w:t>34.1 de la partie III sur les prescription</w:t>
      </w:r>
      <w:r w:rsidR="002960AD">
        <w:t>s correspondantes du paragraphe </w:t>
      </w:r>
      <w:r w:rsidRPr="00E26DD2">
        <w:t>25.1 de la partie II.</w:t>
      </w:r>
    </w:p>
    <w:p w14:paraId="53EE8FDD" w14:textId="77777777" w:rsidR="00BE0CA2" w:rsidRPr="00E26DD2" w:rsidRDefault="004666C5" w:rsidP="00E26DD2">
      <w:pPr>
        <w:pStyle w:val="H1G"/>
      </w:pPr>
      <w:r w:rsidRPr="00E26DD2">
        <w:tab/>
        <w:t>D.</w:t>
      </w:r>
      <w:r w:rsidRPr="00E26DD2">
        <w:tab/>
      </w:r>
      <w:r w:rsidR="00E26DD2">
        <w:t>Paragraphe </w:t>
      </w:r>
      <w:r w:rsidR="00925216">
        <w:t>41</w:t>
      </w:r>
    </w:p>
    <w:p w14:paraId="0211EBE1" w14:textId="77777777" w:rsidR="00BE0CA2" w:rsidRPr="00E26DD2" w:rsidRDefault="004666C5" w:rsidP="009C48E4">
      <w:pPr>
        <w:pStyle w:val="SingleTxtG"/>
        <w:keepNext/>
      </w:pPr>
      <w:r w:rsidRPr="00E26DD2">
        <w:t>8.</w:t>
      </w:r>
      <w:r w:rsidRPr="00E26DD2">
        <w:tab/>
        <w:t>Étant donné que la proposition modifie le champ d</w:t>
      </w:r>
      <w:r w:rsidR="00E26DD2" w:rsidRPr="00E26DD2">
        <w:t>’</w:t>
      </w:r>
      <w:r w:rsidRPr="00E26DD2">
        <w:t xml:space="preserve">application du Règlement en supprimant les exemptions </w:t>
      </w:r>
      <w:r w:rsidR="009C48E4">
        <w:t>visées aux alinéas b) et с) du paragraphe </w:t>
      </w:r>
      <w:r w:rsidRPr="00E26DD2">
        <w:t>1.3 et introduit des prescriptions plus strictes, ces modifications devraient faire l</w:t>
      </w:r>
      <w:r w:rsidR="00E26DD2" w:rsidRPr="00E26DD2">
        <w:t>’</w:t>
      </w:r>
      <w:r w:rsidRPr="00E26DD2">
        <w:t>objet d</w:t>
      </w:r>
      <w:r w:rsidR="00E26DD2" w:rsidRPr="00E26DD2">
        <w:t>’</w:t>
      </w:r>
      <w:r w:rsidRPr="00E26DD2">
        <w:t>une nouvelle série d</w:t>
      </w:r>
      <w:r w:rsidR="00E26DD2" w:rsidRPr="00E26DD2">
        <w:t>’</w:t>
      </w:r>
      <w:r w:rsidRPr="00E26DD2">
        <w:t>amendements contenant des dispositions transitoires appropriées applicables pendant deux ans.</w:t>
      </w:r>
    </w:p>
    <w:p w14:paraId="0492BB02" w14:textId="77777777" w:rsidR="00F605D3" w:rsidRPr="009C48E4" w:rsidRDefault="009C48E4" w:rsidP="009C48E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605D3" w:rsidRPr="009C48E4" w:rsidSect="0052562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4C729" w14:textId="77777777" w:rsidR="00621D33" w:rsidRDefault="00621D33" w:rsidP="00F95C08">
      <w:pPr>
        <w:spacing w:line="240" w:lineRule="auto"/>
      </w:pPr>
    </w:p>
  </w:endnote>
  <w:endnote w:type="continuationSeparator" w:id="0">
    <w:p w14:paraId="471C08D9" w14:textId="77777777" w:rsidR="00621D33" w:rsidRPr="00AC3823" w:rsidRDefault="00621D33" w:rsidP="00AC3823">
      <w:pPr>
        <w:pStyle w:val="Footer"/>
      </w:pPr>
    </w:p>
  </w:endnote>
  <w:endnote w:type="continuationNotice" w:id="1">
    <w:p w14:paraId="3485F169" w14:textId="77777777" w:rsidR="00621D33" w:rsidRDefault="00621D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02914" w14:textId="77777777" w:rsidR="0052562D" w:rsidRPr="0052562D" w:rsidRDefault="0052562D" w:rsidP="0052562D">
    <w:pPr>
      <w:pStyle w:val="Footer"/>
      <w:tabs>
        <w:tab w:val="right" w:pos="9638"/>
      </w:tabs>
    </w:pPr>
    <w:r w:rsidRPr="0052562D">
      <w:rPr>
        <w:b/>
        <w:sz w:val="18"/>
      </w:rPr>
      <w:fldChar w:fldCharType="begin"/>
    </w:r>
    <w:r w:rsidRPr="0052562D">
      <w:rPr>
        <w:b/>
        <w:sz w:val="18"/>
      </w:rPr>
      <w:instrText xml:space="preserve"> PAGE  \* MERGEFORMAT </w:instrText>
    </w:r>
    <w:r w:rsidRPr="0052562D">
      <w:rPr>
        <w:b/>
        <w:sz w:val="18"/>
      </w:rPr>
      <w:fldChar w:fldCharType="separate"/>
    </w:r>
    <w:r w:rsidR="00BD311F">
      <w:rPr>
        <w:b/>
        <w:noProof/>
        <w:sz w:val="18"/>
      </w:rPr>
      <w:t>4</w:t>
    </w:r>
    <w:r w:rsidRPr="0052562D">
      <w:rPr>
        <w:b/>
        <w:sz w:val="18"/>
      </w:rPr>
      <w:fldChar w:fldCharType="end"/>
    </w:r>
    <w:r>
      <w:rPr>
        <w:b/>
        <w:sz w:val="18"/>
      </w:rPr>
      <w:tab/>
    </w:r>
    <w:r>
      <w:t>GE.19-12290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0C981" w14:textId="77777777" w:rsidR="0052562D" w:rsidRPr="0052562D" w:rsidRDefault="0052562D" w:rsidP="0052562D">
    <w:pPr>
      <w:pStyle w:val="Footer"/>
      <w:tabs>
        <w:tab w:val="right" w:pos="9638"/>
      </w:tabs>
      <w:rPr>
        <w:b/>
        <w:sz w:val="18"/>
      </w:rPr>
    </w:pPr>
    <w:r>
      <w:t>GE.19-12290</w:t>
    </w:r>
    <w:r>
      <w:tab/>
    </w:r>
    <w:r w:rsidRPr="0052562D">
      <w:rPr>
        <w:b/>
        <w:sz w:val="18"/>
      </w:rPr>
      <w:fldChar w:fldCharType="begin"/>
    </w:r>
    <w:r w:rsidRPr="0052562D">
      <w:rPr>
        <w:b/>
        <w:sz w:val="18"/>
      </w:rPr>
      <w:instrText xml:space="preserve"> PAGE  \* MERGEFORMAT </w:instrText>
    </w:r>
    <w:r w:rsidRPr="0052562D">
      <w:rPr>
        <w:b/>
        <w:sz w:val="18"/>
      </w:rPr>
      <w:fldChar w:fldCharType="separate"/>
    </w:r>
    <w:r w:rsidR="00BD311F">
      <w:rPr>
        <w:b/>
        <w:noProof/>
        <w:sz w:val="18"/>
      </w:rPr>
      <w:t>3</w:t>
    </w:r>
    <w:r w:rsidRPr="0052562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EE84" w14:textId="77777777" w:rsidR="007F20FA" w:rsidRPr="0052562D" w:rsidRDefault="0052562D" w:rsidP="0052562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D51DB7A" wp14:editId="185D834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12290  (</w:t>
    </w:r>
    <w:proofErr w:type="gramEnd"/>
    <w:r>
      <w:rPr>
        <w:sz w:val="20"/>
      </w:rPr>
      <w:t>F)    130819    210819</w:t>
    </w:r>
    <w:r>
      <w:rPr>
        <w:sz w:val="20"/>
      </w:rPr>
      <w:br/>
    </w:r>
    <w:r w:rsidRPr="0052562D">
      <w:rPr>
        <w:rFonts w:ascii="C39T30Lfz" w:hAnsi="C39T30Lfz"/>
        <w:sz w:val="56"/>
      </w:rPr>
      <w:t></w:t>
    </w:r>
    <w:r w:rsidRPr="0052562D">
      <w:rPr>
        <w:rFonts w:ascii="C39T30Lfz" w:hAnsi="C39T30Lfz"/>
        <w:sz w:val="56"/>
      </w:rPr>
      <w:t></w:t>
    </w:r>
    <w:r w:rsidRPr="0052562D">
      <w:rPr>
        <w:rFonts w:ascii="C39T30Lfz" w:hAnsi="C39T30Lfz"/>
        <w:sz w:val="56"/>
      </w:rPr>
      <w:t></w:t>
    </w:r>
    <w:r w:rsidRPr="0052562D">
      <w:rPr>
        <w:rFonts w:ascii="C39T30Lfz" w:hAnsi="C39T30Lfz"/>
        <w:sz w:val="56"/>
      </w:rPr>
      <w:t></w:t>
    </w:r>
    <w:r w:rsidRPr="0052562D">
      <w:rPr>
        <w:rFonts w:ascii="C39T30Lfz" w:hAnsi="C39T30Lfz"/>
        <w:sz w:val="56"/>
      </w:rPr>
      <w:t></w:t>
    </w:r>
    <w:r w:rsidRPr="0052562D">
      <w:rPr>
        <w:rFonts w:ascii="C39T30Lfz" w:hAnsi="C39T30Lfz"/>
        <w:sz w:val="56"/>
      </w:rPr>
      <w:t></w:t>
    </w:r>
    <w:r w:rsidRPr="0052562D">
      <w:rPr>
        <w:rFonts w:ascii="C39T30Lfz" w:hAnsi="C39T30Lfz"/>
        <w:sz w:val="56"/>
      </w:rPr>
      <w:t></w:t>
    </w:r>
    <w:r w:rsidRPr="0052562D">
      <w:rPr>
        <w:rFonts w:ascii="C39T30Lfz" w:hAnsi="C39T30Lfz"/>
        <w:sz w:val="56"/>
      </w:rPr>
      <w:t></w:t>
    </w:r>
    <w:r w:rsidRPr="0052562D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 wp14:anchorId="568312B6" wp14:editId="7D71C5F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9/2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2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9A9D4" w14:textId="77777777" w:rsidR="00621D33" w:rsidRPr="00AC3823" w:rsidRDefault="00621D3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278020" w14:textId="77777777" w:rsidR="00621D33" w:rsidRPr="00AC3823" w:rsidRDefault="00621D3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5729B77" w14:textId="77777777" w:rsidR="00621D33" w:rsidRPr="00AC3823" w:rsidRDefault="00621D33">
      <w:pPr>
        <w:spacing w:line="240" w:lineRule="auto"/>
        <w:rPr>
          <w:sz w:val="2"/>
          <w:szCs w:val="2"/>
        </w:rPr>
      </w:pPr>
    </w:p>
  </w:footnote>
  <w:footnote w:id="2">
    <w:p w14:paraId="10C4FD50" w14:textId="77777777" w:rsidR="00F66C9B" w:rsidRPr="00F66C9B" w:rsidRDefault="00F66C9B">
      <w:pPr>
        <w:pStyle w:val="FootnoteText"/>
      </w:pPr>
      <w:r>
        <w:rPr>
          <w:rStyle w:val="FootnoteReference"/>
        </w:rPr>
        <w:tab/>
      </w:r>
      <w:r w:rsidRPr="00F66C9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2018</w:t>
      </w:r>
      <w:r>
        <w:rPr>
          <w:lang w:val="fr-FR"/>
        </w:rPr>
        <w:noBreakHyphen/>
        <w:t>2019 (ECE/TRANS/274, par. 123, et ECE/TRANS/2018/21/Add.1, module 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BB52" w14:textId="2365D6A7" w:rsidR="0052562D" w:rsidRPr="0052562D" w:rsidRDefault="00CA205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ECE/TRANS/WP.29/GRSG/2019/23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F561" w14:textId="39806522" w:rsidR="0052562D" w:rsidRPr="0052562D" w:rsidRDefault="00CA2053" w:rsidP="0052562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ECE/TRANS/WP.29/GRSG/2019/23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33"/>
    <w:rsid w:val="00017F94"/>
    <w:rsid w:val="00023842"/>
    <w:rsid w:val="000334F9"/>
    <w:rsid w:val="00045FEB"/>
    <w:rsid w:val="000738C1"/>
    <w:rsid w:val="0007796D"/>
    <w:rsid w:val="000B7790"/>
    <w:rsid w:val="000E2D52"/>
    <w:rsid w:val="00111F2F"/>
    <w:rsid w:val="0014365E"/>
    <w:rsid w:val="00143C66"/>
    <w:rsid w:val="001460D8"/>
    <w:rsid w:val="00172970"/>
    <w:rsid w:val="00176178"/>
    <w:rsid w:val="001F525A"/>
    <w:rsid w:val="00223272"/>
    <w:rsid w:val="0024779E"/>
    <w:rsid w:val="00257168"/>
    <w:rsid w:val="00271947"/>
    <w:rsid w:val="002744B8"/>
    <w:rsid w:val="002832AC"/>
    <w:rsid w:val="002960AD"/>
    <w:rsid w:val="002D7C93"/>
    <w:rsid w:val="00305801"/>
    <w:rsid w:val="003203D1"/>
    <w:rsid w:val="00335FF4"/>
    <w:rsid w:val="003916DE"/>
    <w:rsid w:val="003956B2"/>
    <w:rsid w:val="003A58D7"/>
    <w:rsid w:val="003C1DBF"/>
    <w:rsid w:val="00421996"/>
    <w:rsid w:val="00441C3B"/>
    <w:rsid w:val="00446FE5"/>
    <w:rsid w:val="00452396"/>
    <w:rsid w:val="004666C5"/>
    <w:rsid w:val="004837D8"/>
    <w:rsid w:val="004E2EED"/>
    <w:rsid w:val="004E468C"/>
    <w:rsid w:val="0052562D"/>
    <w:rsid w:val="005505B7"/>
    <w:rsid w:val="00560FEC"/>
    <w:rsid w:val="00573BE5"/>
    <w:rsid w:val="00586ED3"/>
    <w:rsid w:val="00596AA9"/>
    <w:rsid w:val="00621D33"/>
    <w:rsid w:val="0071601D"/>
    <w:rsid w:val="00741AE3"/>
    <w:rsid w:val="007A62E6"/>
    <w:rsid w:val="007F20FA"/>
    <w:rsid w:val="0080684C"/>
    <w:rsid w:val="00871C75"/>
    <w:rsid w:val="008776DC"/>
    <w:rsid w:val="00881837"/>
    <w:rsid w:val="008B14D7"/>
    <w:rsid w:val="00925216"/>
    <w:rsid w:val="009446C0"/>
    <w:rsid w:val="009705C8"/>
    <w:rsid w:val="009C1CF4"/>
    <w:rsid w:val="009C48E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6823"/>
    <w:rsid w:val="00BA0CA9"/>
    <w:rsid w:val="00BA709F"/>
    <w:rsid w:val="00BD311F"/>
    <w:rsid w:val="00C02897"/>
    <w:rsid w:val="00C27F40"/>
    <w:rsid w:val="00C97039"/>
    <w:rsid w:val="00CA08F7"/>
    <w:rsid w:val="00CA2053"/>
    <w:rsid w:val="00CA485A"/>
    <w:rsid w:val="00D3439C"/>
    <w:rsid w:val="00DB1831"/>
    <w:rsid w:val="00DD3BFD"/>
    <w:rsid w:val="00DF6678"/>
    <w:rsid w:val="00E0299A"/>
    <w:rsid w:val="00E05EBD"/>
    <w:rsid w:val="00E26DD2"/>
    <w:rsid w:val="00E85C74"/>
    <w:rsid w:val="00EA6547"/>
    <w:rsid w:val="00EF2E22"/>
    <w:rsid w:val="00F35BAF"/>
    <w:rsid w:val="00F605D3"/>
    <w:rsid w:val="00F660DF"/>
    <w:rsid w:val="00F66C9B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9C46E0"/>
  <w15:docId w15:val="{A790FEF0-F73B-453D-A147-9A729DAC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ECE/TRANS/WP.29/GRSG/2019/23</vt:lpstr>
      <vt:lpstr>ECE/TRANS/WP.29/GRSG/2019/23</vt:lpstr>
    </vt:vector>
  </TitlesOfParts>
  <Company>DCM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ECE/TRANS/WP.29/GRSG/2019/23</dc:title>
  <dc:subject/>
  <dc:creator>Brianne MAGNAT</dc:creator>
  <cp:keywords/>
  <cp:lastModifiedBy>Marie-Claude Collet</cp:lastModifiedBy>
  <cp:revision>3</cp:revision>
  <cp:lastPrinted>2019-08-29T14:55:00Z</cp:lastPrinted>
  <dcterms:created xsi:type="dcterms:W3CDTF">2019-08-29T14:54:00Z</dcterms:created>
  <dcterms:modified xsi:type="dcterms:W3CDTF">2019-08-29T14:55:00Z</dcterms:modified>
</cp:coreProperties>
</file>