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C5F1B" w14:paraId="0227BCD4" w14:textId="77777777" w:rsidTr="00FC52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A188C5" w14:textId="77777777" w:rsidR="002C5F1B" w:rsidRDefault="002C5F1B" w:rsidP="00FC52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108C10A" w14:textId="77777777" w:rsidR="002C5F1B" w:rsidRPr="00B97172" w:rsidRDefault="002C5F1B" w:rsidP="00FC525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E25D72" w14:textId="542B4FF0" w:rsidR="002C5F1B" w:rsidRPr="00D47EEA" w:rsidRDefault="002C5F1B" w:rsidP="00FC5252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/TRANS/WP.29/GRSG/2019/17</w:t>
            </w:r>
          </w:p>
        </w:tc>
      </w:tr>
      <w:tr w:rsidR="002C5F1B" w14:paraId="282CD455" w14:textId="77777777" w:rsidTr="00FC52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83BF65" w14:textId="77777777" w:rsidR="002C5F1B" w:rsidRDefault="002C5F1B" w:rsidP="00FC5252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ADA7B3F" wp14:editId="0AB70CD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52703E" w14:textId="77777777" w:rsidR="002C5F1B" w:rsidRPr="00D773DF" w:rsidRDefault="002C5F1B" w:rsidP="00FC5252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A8D03E" w14:textId="77777777" w:rsidR="002C5F1B" w:rsidRDefault="002C5F1B" w:rsidP="00FC5252">
            <w:pPr>
              <w:spacing w:before="240" w:line="240" w:lineRule="exact"/>
            </w:pPr>
            <w:r>
              <w:t>Distr.: General</w:t>
            </w:r>
          </w:p>
          <w:p w14:paraId="3649AC92" w14:textId="6FD2306C" w:rsidR="002C5F1B" w:rsidRDefault="002C5F1B" w:rsidP="00FC5252">
            <w:pPr>
              <w:spacing w:line="240" w:lineRule="exact"/>
            </w:pPr>
            <w:r>
              <w:t>1</w:t>
            </w:r>
            <w:r w:rsidR="007E6351">
              <w:t>8</w:t>
            </w:r>
            <w:r>
              <w:t xml:space="preserve"> July 2019</w:t>
            </w:r>
          </w:p>
          <w:p w14:paraId="436E32E8" w14:textId="77777777" w:rsidR="002C5F1B" w:rsidRDefault="002C5F1B" w:rsidP="00FC5252">
            <w:pPr>
              <w:spacing w:line="240" w:lineRule="exact"/>
            </w:pPr>
          </w:p>
          <w:p w14:paraId="75A3CE43" w14:textId="77777777" w:rsidR="002C5F1B" w:rsidRDefault="002C5F1B" w:rsidP="00FC5252">
            <w:pPr>
              <w:spacing w:line="240" w:lineRule="exact"/>
            </w:pPr>
            <w:r>
              <w:t>Original: English</w:t>
            </w: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618C533E" w:rsidR="00C96DF2" w:rsidRPr="00C64574" w:rsidRDefault="00856FAA" w:rsidP="00C96DF2">
      <w:pPr>
        <w:spacing w:before="120"/>
        <w:rPr>
          <w:b/>
        </w:rPr>
      </w:pPr>
      <w:bookmarkStart w:id="0" w:name="_GoBack"/>
      <w:r w:rsidRPr="00C64574">
        <w:rPr>
          <w:b/>
        </w:rPr>
        <w:t>1</w:t>
      </w:r>
      <w:bookmarkEnd w:id="0"/>
      <w:r w:rsidR="002A7DBF">
        <w:rPr>
          <w:b/>
        </w:rPr>
        <w:t>1</w:t>
      </w:r>
      <w:r w:rsidR="001E2F75">
        <w:rPr>
          <w:b/>
        </w:rPr>
        <w:t>7</w:t>
      </w:r>
      <w:r w:rsidR="0003564D" w:rsidRPr="002C5F1B">
        <w:rPr>
          <w:b/>
        </w:rPr>
        <w:t>th</w:t>
      </w:r>
      <w:r w:rsidR="00092739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58D0CFA" w:rsidR="003B4673" w:rsidRPr="00C64574" w:rsidRDefault="003B4673" w:rsidP="003B4673">
      <w:r w:rsidRPr="00C64574">
        <w:t xml:space="preserve">Geneva, </w:t>
      </w:r>
      <w:r w:rsidR="001E2F75">
        <w:t>8</w:t>
      </w:r>
      <w:r>
        <w:t>-</w:t>
      </w:r>
      <w:r w:rsidR="001E2F75">
        <w:t>11</w:t>
      </w:r>
      <w:r>
        <w:t xml:space="preserve"> </w:t>
      </w:r>
      <w:r w:rsidR="001E2F75">
        <w:t>October</w:t>
      </w:r>
      <w:r w:rsidRPr="00C64574">
        <w:t xml:space="preserve"> 201</w:t>
      </w:r>
      <w:r w:rsidR="00092739">
        <w:t>9</w:t>
      </w:r>
    </w:p>
    <w:p w14:paraId="33AA25CC" w14:textId="3A29A7C7" w:rsidR="003B4673" w:rsidRPr="00DF418A" w:rsidRDefault="003B4673" w:rsidP="003B4673">
      <w:r w:rsidRPr="00DF418A">
        <w:t xml:space="preserve">Item </w:t>
      </w:r>
      <w:r w:rsidR="00B02A80">
        <w:t>14</w:t>
      </w:r>
      <w:r w:rsidRPr="00DF418A">
        <w:t xml:space="preserve"> of the provisional agenda</w:t>
      </w:r>
    </w:p>
    <w:p w14:paraId="34EF25E2" w14:textId="65C54A90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</w:t>
      </w:r>
      <w:r w:rsidR="00D74A52" w:rsidRPr="00D74A52">
        <w:rPr>
          <w:b/>
        </w:rPr>
        <w:t>No. 121 (Identification of controls, tell-tales and indicators)</w:t>
      </w:r>
    </w:p>
    <w:p w14:paraId="1F356798" w14:textId="50FA0597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D74A52" w:rsidRPr="00D74A52">
        <w:rPr>
          <w:sz w:val="26"/>
          <w:szCs w:val="26"/>
        </w:rPr>
        <w:t>Supplement 1</w:t>
      </w:r>
      <w:r w:rsidR="001E2F75">
        <w:rPr>
          <w:sz w:val="26"/>
          <w:szCs w:val="26"/>
        </w:rPr>
        <w:t>1</w:t>
      </w:r>
      <w:r w:rsidR="00D74A52" w:rsidRPr="00D74A52">
        <w:rPr>
          <w:sz w:val="26"/>
          <w:szCs w:val="26"/>
        </w:rPr>
        <w:t xml:space="preserve"> to the original series of amendments and Supplement </w:t>
      </w:r>
      <w:r w:rsidR="001E2F75">
        <w:rPr>
          <w:sz w:val="26"/>
          <w:szCs w:val="26"/>
        </w:rPr>
        <w:t>4</w:t>
      </w:r>
      <w:r w:rsidR="00D74A52" w:rsidRPr="00D74A52">
        <w:rPr>
          <w:sz w:val="26"/>
          <w:szCs w:val="26"/>
        </w:rPr>
        <w:t xml:space="preserve"> to the 01 series of amendments to </w:t>
      </w:r>
      <w:r w:rsidR="00D74A52">
        <w:rPr>
          <w:sz w:val="26"/>
          <w:szCs w:val="26"/>
        </w:rPr>
        <w:t xml:space="preserve">UN </w:t>
      </w:r>
      <w:r w:rsidR="00D74A52" w:rsidRPr="00D74A52">
        <w:rPr>
          <w:sz w:val="26"/>
          <w:szCs w:val="26"/>
        </w:rPr>
        <w:t>Regulation No. 121 (Identification of controls, tell-tales and indicators)</w:t>
      </w:r>
    </w:p>
    <w:p w14:paraId="775B8299" w14:textId="0CAE1C40" w:rsidR="00B02A80" w:rsidRDefault="002B47CA" w:rsidP="00B02A80">
      <w:pPr>
        <w:pStyle w:val="H1G"/>
        <w:tabs>
          <w:tab w:val="clear" w:pos="851"/>
        </w:tabs>
        <w:ind w:firstLine="0"/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CE106B" w:rsidRPr="00CE106B">
        <w:t>the International Organization of Motor Vehicle Manufac</w:t>
      </w:r>
      <w:r w:rsidR="00CE106B">
        <w:t>turers</w:t>
      </w:r>
      <w:r w:rsidR="00B02A80" w:rsidRPr="00402A9F">
        <w:rPr>
          <w:rStyle w:val="FootnoteReference"/>
          <w:sz w:val="24"/>
          <w:szCs w:val="24"/>
        </w:rPr>
        <w:footnoteReference w:customMarkFollows="1" w:id="2"/>
        <w:t>*</w:t>
      </w:r>
    </w:p>
    <w:p w14:paraId="515B0E8A" w14:textId="50D523F0" w:rsidR="00DF418A" w:rsidRPr="003B4673" w:rsidRDefault="0050261A" w:rsidP="00B02A80">
      <w:pPr>
        <w:pStyle w:val="SingleTxtG"/>
        <w:ind w:firstLine="567"/>
      </w:pPr>
      <w:r w:rsidRPr="003B4673">
        <w:t xml:space="preserve">The text reproduced below was prepared by the expert </w:t>
      </w:r>
      <w:r w:rsidR="00D709BA">
        <w:t xml:space="preserve">from </w:t>
      </w:r>
      <w:r w:rsidR="00CE106B">
        <w:t xml:space="preserve">the </w:t>
      </w:r>
      <w:r w:rsidR="00CE106B">
        <w:rPr>
          <w:rFonts w:eastAsia="MS Mincho"/>
          <w:lang w:eastAsia="ja-JP"/>
        </w:rPr>
        <w:t>International Organization of Motor Vehicle Manufacturers</w:t>
      </w:r>
      <w:r w:rsidR="00CE106B" w:rsidRPr="003B4673">
        <w:rPr>
          <w:rFonts w:eastAsia="MS Mincho"/>
          <w:lang w:val="en-US" w:eastAsia="ja-JP"/>
        </w:rPr>
        <w:t xml:space="preserve"> (</w:t>
      </w:r>
      <w:r w:rsidR="00CE106B">
        <w:rPr>
          <w:rFonts w:eastAsia="MS Mincho"/>
          <w:lang w:val="en-US" w:eastAsia="ja-JP"/>
        </w:rPr>
        <w:t>OICA</w:t>
      </w:r>
      <w:r w:rsidR="00CE106B" w:rsidRPr="003B4673">
        <w:rPr>
          <w:rFonts w:eastAsia="MS Mincho"/>
          <w:lang w:val="en-US" w:eastAsia="ja-JP"/>
        </w:rPr>
        <w:t>)</w:t>
      </w:r>
      <w:r w:rsidR="00CE106B" w:rsidRPr="003B4673">
        <w:t xml:space="preserve"> to </w:t>
      </w:r>
      <w:r w:rsidR="00343B88">
        <w:t>extend the quality of information</w:t>
      </w:r>
      <w:r w:rsidR="001E2F75">
        <w:t xml:space="preserve"> possible</w:t>
      </w:r>
      <w:r w:rsidR="00CE106B" w:rsidRPr="001A77D9">
        <w:t xml:space="preserve"> </w:t>
      </w:r>
      <w:r w:rsidR="00343B88">
        <w:t>to convey via existing</w:t>
      </w:r>
      <w:r w:rsidR="00CE106B" w:rsidRPr="00CE106B">
        <w:t xml:space="preserve"> tell-tales </w:t>
      </w:r>
      <w:r w:rsidR="003C25FD">
        <w:t>in</w:t>
      </w:r>
      <w:r w:rsidR="00CE106B">
        <w:t xml:space="preserve"> UN </w:t>
      </w:r>
      <w:r w:rsidR="00CE106B" w:rsidRPr="001A77D9">
        <w:t>Regulation N</w:t>
      </w:r>
      <w:r w:rsidR="00CE106B">
        <w:t>o</w:t>
      </w:r>
      <w:r w:rsidR="00CE106B" w:rsidRPr="001A77D9">
        <w:t>. 121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422673">
        <w:t xml:space="preserve">mainly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1E2F75" w:rsidRPr="001E2F75">
        <w:rPr>
          <w:bCs/>
          <w:lang w:val="en-US" w:eastAsia="fr-FR"/>
        </w:rPr>
        <w:t>GRSG-110-06</w:t>
      </w:r>
      <w:r w:rsidR="001E2F75">
        <w:rPr>
          <w:bCs/>
          <w:lang w:val="en-US" w:eastAsia="fr-FR"/>
        </w:rPr>
        <w:t>, presented at the 110</w:t>
      </w:r>
      <w:r w:rsidR="001E2F75" w:rsidRPr="00CC064C">
        <w:rPr>
          <w:bCs/>
          <w:lang w:val="en-US" w:eastAsia="fr-FR"/>
        </w:rPr>
        <w:t>th</w:t>
      </w:r>
      <w:r w:rsidR="001E2F75">
        <w:rPr>
          <w:bCs/>
          <w:lang w:val="en-US" w:eastAsia="fr-FR"/>
        </w:rPr>
        <w:t xml:space="preserve"> session </w:t>
      </w:r>
      <w:r w:rsidR="000703CF" w:rsidRPr="003B4673">
        <w:t>of the Working Party on G</w:t>
      </w:r>
      <w:r w:rsidR="001E2F75">
        <w:t xml:space="preserve">eneral Safety Provisions (GRSG), and </w:t>
      </w:r>
      <w:r w:rsidR="00343B88">
        <w:t xml:space="preserve">supersedes </w:t>
      </w:r>
      <w:r w:rsidR="00B02A80">
        <w:t>ECE/TRANS/WP.29/</w:t>
      </w:r>
      <w:r w:rsidR="001E2F75">
        <w:t xml:space="preserve">GRSG/2018/06 </w:t>
      </w:r>
      <w:r w:rsidR="00343B88">
        <w:t xml:space="preserve">tabled </w:t>
      </w:r>
      <w:r w:rsidR="00092739">
        <w:t>at</w:t>
      </w:r>
      <w:r w:rsidR="001E2F75">
        <w:t xml:space="preserve"> the 114</w:t>
      </w:r>
      <w:r w:rsidR="00B02A80">
        <w:t xml:space="preserve">th GRSG </w:t>
      </w:r>
      <w:r w:rsidR="001E2F75">
        <w:t>session</w:t>
      </w:r>
      <w:r w:rsidR="000703CF" w:rsidRPr="003B4673">
        <w:t>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CE106B">
        <w:t>121</w:t>
      </w:r>
      <w:r w:rsidRPr="003B4673">
        <w:t xml:space="preserve"> are marked in bold</w:t>
      </w:r>
      <w:r w:rsidR="003C25FD">
        <w:t xml:space="preserve"> </w:t>
      </w:r>
      <w:r w:rsidRPr="003B4673">
        <w:t>characters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05A5349F" w14:textId="3200B6CF" w:rsidR="00CE106B" w:rsidRDefault="00CE106B" w:rsidP="00CE106B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rPr>
          <w:i/>
        </w:rPr>
        <w:t>Table 1</w:t>
      </w:r>
      <w:r w:rsidRPr="00CE106B">
        <w:t>, amend to read</w:t>
      </w:r>
      <w:r w:rsidR="003C25FD">
        <w:t xml:space="preserve"> (</w:t>
      </w:r>
      <w:r w:rsidR="00DD5B81">
        <w:t>adding</w:t>
      </w:r>
      <w:r w:rsidR="003C25FD">
        <w:t xml:space="preserve"> the references to footnote </w:t>
      </w:r>
      <w:r w:rsidR="003C25FD" w:rsidRPr="003C25FD">
        <w:rPr>
          <w:vertAlign w:val="superscript"/>
        </w:rPr>
        <w:t>18</w:t>
      </w:r>
      <w:r w:rsidR="003C25FD">
        <w:t>)</w:t>
      </w:r>
      <w:r w:rsidRPr="00CE106B">
        <w:t>:</w:t>
      </w:r>
    </w:p>
    <w:p w14:paraId="3A954A1D" w14:textId="173A3AA0" w:rsidR="00DD5B81" w:rsidRPr="001C0950" w:rsidRDefault="003C25FD" w:rsidP="001C0950">
      <w:pPr>
        <w:tabs>
          <w:tab w:val="left" w:pos="2835"/>
        </w:tabs>
        <w:spacing w:before="120" w:after="120"/>
        <w:ind w:left="2268" w:right="1134" w:hanging="1134"/>
        <w:jc w:val="both"/>
      </w:pPr>
      <w:r w:rsidRPr="003C25FD">
        <w:t>"</w:t>
      </w:r>
    </w:p>
    <w:tbl>
      <w:tblPr>
        <w:tblW w:w="9214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1276"/>
        <w:gridCol w:w="1275"/>
        <w:gridCol w:w="1418"/>
      </w:tblGrid>
      <w:tr w:rsidR="00DD5B81" w:rsidRPr="00FF1575" w14:paraId="1D4C4384" w14:textId="77777777" w:rsidTr="00DD5B81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90325" w14:textId="77777777" w:rsidR="00DD5B81" w:rsidRDefault="00DD5B81" w:rsidP="00DD5B81">
            <w:pPr>
              <w:rPr>
                <w:i/>
              </w:rPr>
            </w:pPr>
            <w:r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A564A" w14:textId="77777777" w:rsidR="00DD5B81" w:rsidRDefault="00DD5B81" w:rsidP="00DD5B81">
            <w:pPr>
              <w:spacing w:before="80" w:after="80"/>
              <w:rPr>
                <w:i/>
              </w:rPr>
            </w:pPr>
            <w:r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4965" w14:textId="77777777" w:rsidR="00DD5B81" w:rsidRDefault="00DD5B81" w:rsidP="00DD5B81">
            <w:pPr>
              <w:pStyle w:val="Heading3"/>
              <w:spacing w:before="80" w:after="80"/>
              <w:rPr>
                <w:bCs/>
                <w:i/>
              </w:rPr>
            </w:pPr>
            <w:r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592D8" w14:textId="77777777" w:rsidR="00DD5B81" w:rsidRDefault="00DD5B81" w:rsidP="00DD5B81">
            <w:pPr>
              <w:spacing w:before="80" w:after="80"/>
              <w:rPr>
                <w:i/>
              </w:rPr>
            </w:pPr>
            <w:r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F125A" w14:textId="77777777" w:rsidR="00DD5B81" w:rsidRDefault="00DD5B81" w:rsidP="00DD5B81">
            <w:pPr>
              <w:spacing w:before="80" w:after="80"/>
              <w:rPr>
                <w:i/>
              </w:rPr>
            </w:pPr>
            <w:r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FF525" w14:textId="77777777" w:rsidR="00DD5B81" w:rsidRDefault="00DD5B81" w:rsidP="00DD5B81">
            <w:pPr>
              <w:spacing w:before="80" w:after="80"/>
              <w:rPr>
                <w:i/>
              </w:rPr>
            </w:pPr>
            <w:r>
              <w:rPr>
                <w:i/>
              </w:rPr>
              <w:t>Column 5</w:t>
            </w:r>
          </w:p>
        </w:tc>
      </w:tr>
      <w:tr w:rsidR="00DD5B81" w:rsidRPr="00FF1575" w14:paraId="74611CBB" w14:textId="77777777" w:rsidTr="00DD5B81">
        <w:trPr>
          <w:cantSplit/>
          <w:tblHeader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6E5D7" w14:textId="77777777" w:rsidR="00DD5B81" w:rsidRDefault="00DD5B81" w:rsidP="00DD5B81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C1624" w14:textId="77777777" w:rsidR="00DD5B81" w:rsidRPr="00FF1575" w:rsidRDefault="00DD5B81" w:rsidP="00DD5B81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A1CEC" w14:textId="77777777" w:rsidR="00DD5B81" w:rsidRPr="00FF1575" w:rsidRDefault="00DD5B81" w:rsidP="00DD5B81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S</w:t>
            </w:r>
            <w:r>
              <w:rPr>
                <w:bCs/>
                <w:i/>
                <w:sz w:val="18"/>
              </w:rPr>
              <w:t>ymbol</w:t>
            </w:r>
            <w:r w:rsidRPr="00FF1575">
              <w:rPr>
                <w:bCs/>
                <w:i/>
                <w:sz w:val="18"/>
              </w:rPr>
              <w:t xml:space="preserve"> </w:t>
            </w:r>
            <w:r w:rsidRPr="00FF1575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46C43" w14:textId="77777777" w:rsidR="00DD5B81" w:rsidRPr="00FF1575" w:rsidRDefault="00DD5B81" w:rsidP="00DD5B81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F</w:t>
            </w:r>
            <w:r>
              <w:rPr>
                <w:bCs/>
                <w:i/>
                <w:sz w:val="18"/>
              </w:rPr>
              <w:t>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CA4113" w14:textId="77777777" w:rsidR="00DD5B81" w:rsidRPr="00FF1575" w:rsidRDefault="00DD5B81" w:rsidP="00DD5B81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I</w:t>
            </w:r>
            <w:r>
              <w:rPr>
                <w:bCs/>
                <w:i/>
                <w:sz w:val="18"/>
              </w:rPr>
              <w:t>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F3DC3" w14:textId="77777777" w:rsidR="00DD5B81" w:rsidRPr="00FF1575" w:rsidRDefault="00DD5B81" w:rsidP="00DD5B81">
            <w:pPr>
              <w:spacing w:before="80" w:after="80"/>
              <w:rPr>
                <w:bCs/>
                <w:i/>
                <w:sz w:val="18"/>
              </w:rPr>
            </w:pPr>
            <w:r w:rsidRPr="00FF1575">
              <w:rPr>
                <w:bCs/>
                <w:i/>
                <w:sz w:val="18"/>
              </w:rPr>
              <w:t>C</w:t>
            </w:r>
            <w:r>
              <w:rPr>
                <w:bCs/>
                <w:i/>
                <w:sz w:val="18"/>
              </w:rPr>
              <w:t>olour</w:t>
            </w:r>
          </w:p>
        </w:tc>
      </w:tr>
      <w:tr w:rsidR="001C0950" w14:paraId="186198D2" w14:textId="77777777" w:rsidTr="001C095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4380" w14:textId="77777777" w:rsidR="001C0950" w:rsidRDefault="001C0950" w:rsidP="001C0950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340" w14:textId="77777777" w:rsidR="001C0950" w:rsidRDefault="001C0950" w:rsidP="001C0950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600" w14:textId="77777777" w:rsidR="001C0950" w:rsidRDefault="001C0950" w:rsidP="001C0950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F25F" w14:textId="77777777" w:rsidR="001C0950" w:rsidRDefault="001C0950" w:rsidP="001C0950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09D3" w14:textId="77777777" w:rsidR="001C0950" w:rsidRDefault="001C0950" w:rsidP="001C0950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EE03" w14:textId="77777777" w:rsidR="001C0950" w:rsidRDefault="001C0950" w:rsidP="001C0950">
            <w:pPr>
              <w:spacing w:before="40" w:after="40"/>
            </w:pPr>
          </w:p>
        </w:tc>
      </w:tr>
      <w:tr w:rsidR="00DD5B81" w14:paraId="41D03921" w14:textId="77777777" w:rsidTr="00404D4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93054B4" w14:textId="77777777" w:rsidR="00DD5B81" w:rsidRDefault="00DD5B81" w:rsidP="00DD5B81">
            <w: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E586E" w14:textId="77777777" w:rsidR="00DD5B81" w:rsidRDefault="00DD5B81" w:rsidP="00DD5B81">
            <w:pPr>
              <w:spacing w:before="40" w:after="40"/>
            </w:pPr>
            <w:r>
              <w:t>Front fog lamps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03420A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3772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0B00" w14:textId="77777777" w:rsidR="00DD5B81" w:rsidRDefault="00DD5B81" w:rsidP="00DD5B81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8C6" w14:textId="77777777" w:rsidR="00DD5B81" w:rsidRDefault="00DD5B81" w:rsidP="00DD5B81">
            <w:pPr>
              <w:spacing w:before="40" w:after="40"/>
            </w:pPr>
          </w:p>
        </w:tc>
      </w:tr>
      <w:tr w:rsidR="00DD5B81" w14:paraId="26A984A4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C2C7F7A" w14:textId="77777777" w:rsidR="00DD5B81" w:rsidRPr="00DD5B81" w:rsidRDefault="00DD5B81" w:rsidP="00DD5B81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36768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2AC77" w14:textId="23466073" w:rsidR="00DD5B81" w:rsidRDefault="00DD5B81" w:rsidP="00DD5B81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7568351" wp14:editId="0CF89A43">
                  <wp:extent cx="280035" cy="252730"/>
                  <wp:effectExtent l="0" t="0" r="5715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165C66">
              <w:rPr>
                <w:vertAlign w:val="superscript"/>
              </w:rPr>
              <w:t>1</w:t>
            </w:r>
            <w:r w:rsidR="001C0950" w:rsidRPr="001C0950"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271A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E112" w14:textId="77777777" w:rsidR="00DD5B81" w:rsidRDefault="00DD5B81" w:rsidP="00DD5B81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3418" w14:textId="77777777" w:rsidR="00DD5B81" w:rsidRDefault="00DD5B81" w:rsidP="00DD5B81">
            <w:pPr>
              <w:spacing w:before="40" w:after="40"/>
            </w:pPr>
            <w:r>
              <w:t>Green</w:t>
            </w:r>
          </w:p>
        </w:tc>
      </w:tr>
      <w:tr w:rsidR="00DD5B81" w14:paraId="26F19D6D" w14:textId="77777777" w:rsidTr="00404D4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0524E3C" w14:textId="77777777" w:rsidR="00DD5B81" w:rsidRDefault="00DD5B81" w:rsidP="00DD5B81">
            <w: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038A8" w14:textId="77777777" w:rsidR="00DD5B81" w:rsidRDefault="00DD5B81" w:rsidP="00DD5B81">
            <w:pPr>
              <w:spacing w:before="40" w:after="40"/>
            </w:pPr>
            <w:r>
              <w:t>Rear fog lamp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A24E0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86C8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10E" w14:textId="77777777" w:rsidR="00DD5B81" w:rsidRDefault="00DD5B81" w:rsidP="00DD5B81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9D3A" w14:textId="77777777" w:rsidR="00DD5B81" w:rsidRDefault="00DD5B81" w:rsidP="00DD5B81">
            <w:pPr>
              <w:spacing w:before="40" w:after="40"/>
            </w:pPr>
          </w:p>
        </w:tc>
      </w:tr>
      <w:tr w:rsidR="00DD5B81" w14:paraId="1AACFFC1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132E5" w14:textId="77777777" w:rsidR="00DD5B81" w:rsidRDefault="00DD5B81" w:rsidP="00DD5B81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3BEE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F0E7" w14:textId="5B2D8187" w:rsidR="00DD5B81" w:rsidRDefault="00DD5B81" w:rsidP="00DD5B81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842BC08" wp14:editId="73344184">
                  <wp:extent cx="340995" cy="340995"/>
                  <wp:effectExtent l="0" t="0" r="1905" b="1905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E67FC">
              <w:rPr>
                <w:vertAlign w:val="superscript"/>
              </w:rPr>
              <w:t>1</w:t>
            </w:r>
            <w:r w:rsidR="001C0950" w:rsidRPr="001C0950">
              <w:rPr>
                <w:b/>
                <w:vertAlign w:val="superscript"/>
              </w:rPr>
              <w:t>,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A6C9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30D4" w14:textId="77777777" w:rsidR="00DD5B81" w:rsidRDefault="00DD5B81" w:rsidP="00DD5B81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1D9D" w14:textId="77777777" w:rsidR="00DD5B81" w:rsidRDefault="00DD5B81" w:rsidP="00DD5B81">
            <w:pPr>
              <w:spacing w:before="40" w:after="40"/>
            </w:pPr>
            <w:r>
              <w:t>Yellow</w:t>
            </w:r>
          </w:p>
        </w:tc>
      </w:tr>
      <w:tr w:rsidR="001C0950" w14:paraId="7F392E4C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893CD1" w14:textId="77777777" w:rsidR="001C0950" w:rsidRDefault="001C0950" w:rsidP="001C0950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1571" w14:textId="77777777" w:rsidR="001C0950" w:rsidRDefault="001C0950" w:rsidP="001C0950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8A9" w14:textId="77777777" w:rsidR="001C0950" w:rsidRDefault="001C0950" w:rsidP="001C0950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9677" w14:textId="77777777" w:rsidR="001C0950" w:rsidRDefault="001C0950" w:rsidP="001C0950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2CC" w14:textId="77777777" w:rsidR="001C0950" w:rsidRDefault="001C0950" w:rsidP="001C0950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7B4" w14:textId="77777777" w:rsidR="001C0950" w:rsidRDefault="001C0950" w:rsidP="001C0950">
            <w:pPr>
              <w:spacing w:before="40" w:after="40"/>
            </w:pPr>
          </w:p>
        </w:tc>
      </w:tr>
      <w:tr w:rsidR="00DD5B81" w14:paraId="1241F5B7" w14:textId="77777777" w:rsidTr="00404D4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41C6931" w14:textId="77777777" w:rsidR="00DD5B81" w:rsidRDefault="00DD5B81" w:rsidP="00DD5B81">
            <w: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C6AE0" w14:textId="77777777" w:rsidR="00DD5B81" w:rsidRDefault="00DD5B81" w:rsidP="00DD5B81">
            <w:pPr>
              <w:spacing w:before="40" w:after="40"/>
            </w:pPr>
            <w:r>
              <w:t>Windscreen defrosting and defogging system</w:t>
            </w:r>
          </w:p>
          <w:p w14:paraId="6E9CC068" w14:textId="77777777" w:rsidR="00DD5B81" w:rsidRDefault="00DD5B81" w:rsidP="00DD5B81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E35FE" w14:textId="4C6A450D" w:rsidR="00DD5B81" w:rsidRDefault="00DD5B81" w:rsidP="001C0950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40E25B" wp14:editId="213883B8">
                  <wp:extent cx="389255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950"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18FC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2880" w14:textId="77777777" w:rsidR="00DD5B81" w:rsidRDefault="00DD5B81" w:rsidP="00DD5B81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B61A" w14:textId="77777777" w:rsidR="00DD5B81" w:rsidRDefault="00DD5B81" w:rsidP="00DD5B81">
            <w:pPr>
              <w:spacing w:before="40" w:after="40"/>
            </w:pPr>
          </w:p>
        </w:tc>
      </w:tr>
      <w:tr w:rsidR="00DD5B81" w14:paraId="18171054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C2109" w14:textId="77777777" w:rsidR="00DD5B81" w:rsidRDefault="00DD5B81" w:rsidP="00DD5B81"/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C088C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0B821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897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A116" w14:textId="77777777" w:rsidR="00DD5B81" w:rsidRDefault="00DD5B81" w:rsidP="00DD5B81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A6BA" w14:textId="77777777" w:rsidR="00DD5B81" w:rsidRDefault="00DD5B81" w:rsidP="00DD5B81">
            <w:pPr>
              <w:spacing w:before="40" w:after="40"/>
            </w:pPr>
            <w:r>
              <w:t>Yellow</w:t>
            </w:r>
          </w:p>
        </w:tc>
      </w:tr>
      <w:tr w:rsidR="00DD5B81" w14:paraId="2076D77A" w14:textId="77777777" w:rsidTr="00404D40">
        <w:trPr>
          <w:cantSplit/>
          <w:trHeight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7DA296D" w14:textId="77777777" w:rsidR="00DD5B81" w:rsidRDefault="00DD5B81" w:rsidP="00DD5B81">
            <w: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741C4F" w14:textId="77777777" w:rsidR="00DD5B81" w:rsidRDefault="00DD5B81" w:rsidP="00DD5B81">
            <w:pPr>
              <w:spacing w:before="40" w:after="40"/>
            </w:pPr>
            <w:r>
              <w:t>Rear window defrosting and defogging system</w:t>
            </w:r>
          </w:p>
          <w:p w14:paraId="5C6EB0C7" w14:textId="77777777" w:rsidR="00DD5B81" w:rsidRDefault="00DD5B81" w:rsidP="00DD5B81">
            <w:pPr>
              <w:spacing w:before="40" w:after="40"/>
            </w:pPr>
            <w:r>
              <w:t>(with separate operating control)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0B755" w14:textId="106837C8" w:rsidR="00DD5B81" w:rsidRDefault="00DD5B81" w:rsidP="001C0950">
            <w:pPr>
              <w:spacing w:before="40" w:after="4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021E856" wp14:editId="7FDAF172">
                  <wp:extent cx="340995" cy="29337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950"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60713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63E0" w14:textId="77777777" w:rsidR="00DD5B81" w:rsidRDefault="00DD5B81" w:rsidP="00DD5B81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1DE" w14:textId="77777777" w:rsidR="00DD5B81" w:rsidRDefault="00DD5B81" w:rsidP="00DD5B81">
            <w:pPr>
              <w:spacing w:before="40" w:after="40"/>
            </w:pPr>
          </w:p>
        </w:tc>
      </w:tr>
      <w:tr w:rsidR="00DD5B81" w14:paraId="480FCF31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353765" w14:textId="77777777" w:rsidR="00DD5B81" w:rsidRDefault="00DD5B81" w:rsidP="00DD5B81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AC986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1FD7B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5C9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F4D4" w14:textId="77777777" w:rsidR="00DD5B81" w:rsidRDefault="00DD5B81" w:rsidP="00DD5B81">
            <w:pPr>
              <w:spacing w:before="40" w:after="40"/>
            </w:pPr>
            <w:r>
              <w:t xml:space="preserve">Yes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701D" w14:textId="77777777" w:rsidR="00DD5B81" w:rsidRDefault="00DD5B81" w:rsidP="00DD5B81">
            <w:pPr>
              <w:spacing w:before="40" w:after="40"/>
            </w:pPr>
            <w:r>
              <w:t>Yellow</w:t>
            </w:r>
          </w:p>
        </w:tc>
      </w:tr>
      <w:tr w:rsidR="00DD5B81" w14:paraId="0AB790F3" w14:textId="77777777" w:rsidTr="00404D40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CFA6C3" w14:textId="77777777" w:rsidR="00DD5B81" w:rsidRDefault="00DD5B81" w:rsidP="00DD5B81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3B37" w14:textId="66BDA8DD" w:rsidR="00DD5B81" w:rsidRDefault="001C0950" w:rsidP="00DD5B81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858C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1A28" w14:textId="18E213E0" w:rsidR="00DD5B81" w:rsidRDefault="00DD5B81" w:rsidP="00DD5B81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699D" w14:textId="59A48DD5" w:rsidR="00DD5B81" w:rsidRDefault="00DD5B81" w:rsidP="00DD5B81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A40" w14:textId="15041BA0" w:rsidR="00DD5B81" w:rsidRDefault="00DD5B81" w:rsidP="00DD5B81">
            <w:pPr>
              <w:spacing w:before="40" w:after="40"/>
            </w:pPr>
          </w:p>
        </w:tc>
      </w:tr>
      <w:tr w:rsidR="00DD5B81" w14:paraId="799D8C62" w14:textId="77777777" w:rsidTr="00404D40">
        <w:trPr>
          <w:cantSplit/>
          <w:trHeight w:val="2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06BF5" w14:textId="77777777" w:rsidR="00DD5B81" w:rsidRDefault="00DD5B81" w:rsidP="00DD5B81">
            <w:r>
              <w:t>20.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7A59E4" w14:textId="77777777" w:rsidR="00DD5B81" w:rsidRDefault="00DD5B81" w:rsidP="00DD5B81">
            <w:pPr>
              <w:spacing w:before="40" w:after="40"/>
            </w:pPr>
            <w:r>
              <w:t>Parking lamps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1D74908" w14:textId="335BE909" w:rsidR="00DD5B81" w:rsidRDefault="001C0950" w:rsidP="001C0950">
            <w:pPr>
              <w:spacing w:before="40" w:after="4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1C11C238" wp14:editId="133392BF">
                  <wp:extent cx="304800" cy="29527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 </w:t>
            </w:r>
            <w:r w:rsidRPr="001C0950">
              <w:rPr>
                <w:b/>
                <w:vertAlign w:val="superscript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A381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5F69" w14:textId="77777777" w:rsidR="00DD5B81" w:rsidRDefault="00DD5B81" w:rsidP="00DD5B81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6EE" w14:textId="77777777" w:rsidR="00DD5B81" w:rsidRDefault="00DD5B81" w:rsidP="00DD5B81">
            <w:pPr>
              <w:spacing w:before="40" w:after="40"/>
            </w:pPr>
          </w:p>
        </w:tc>
      </w:tr>
      <w:tr w:rsidR="00DD5B81" w14:paraId="0AB30F66" w14:textId="77777777" w:rsidTr="00404D40">
        <w:trPr>
          <w:cantSplit/>
          <w:trHeight w:val="1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8716" w14:textId="77777777" w:rsidR="00DD5B81" w:rsidRDefault="00DD5B81" w:rsidP="00DD5B81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17A8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5880" w14:textId="77777777" w:rsidR="00DD5B81" w:rsidRDefault="00DD5B81" w:rsidP="00DD5B81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9D9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53B4" w14:textId="77777777" w:rsidR="00DD5B81" w:rsidRDefault="00DD5B81" w:rsidP="00DD5B81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138E" w14:textId="77777777" w:rsidR="00DD5B81" w:rsidRDefault="00DD5B81" w:rsidP="00DD5B81">
            <w:pPr>
              <w:spacing w:before="40" w:after="40"/>
            </w:pPr>
            <w:r>
              <w:t>Green</w:t>
            </w:r>
          </w:p>
        </w:tc>
      </w:tr>
      <w:tr w:rsidR="00DD5B81" w14:paraId="7D29A041" w14:textId="77777777" w:rsidTr="00404D4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63F7E4" w14:textId="73B41C80" w:rsidR="00DD5B81" w:rsidRDefault="00DD5B81" w:rsidP="00DD5B8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95EE" w14:textId="0308626A" w:rsidR="00DD5B81" w:rsidRDefault="001C0950" w:rsidP="00DD5B81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BCD5" w14:textId="5FB649D8" w:rsidR="00DD5B81" w:rsidRDefault="00DD5B81" w:rsidP="00DD5B81">
            <w:pPr>
              <w:spacing w:before="40" w:after="40"/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CF5" w14:textId="249A89D2" w:rsidR="00DD5B81" w:rsidRDefault="00DD5B81" w:rsidP="00DD5B81">
            <w:pPr>
              <w:spacing w:before="40" w:after="4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B698" w14:textId="64D6EEF8" w:rsidR="00DD5B81" w:rsidRDefault="00DD5B81" w:rsidP="00DD5B81">
            <w:pPr>
              <w:spacing w:before="40" w:after="4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902A" w14:textId="6F3BD13C" w:rsidR="00DD5B81" w:rsidRDefault="00DD5B81" w:rsidP="00DD5B81">
            <w:pPr>
              <w:spacing w:before="40" w:after="40"/>
            </w:pPr>
          </w:p>
        </w:tc>
      </w:tr>
      <w:tr w:rsidR="00DD5B81" w14:paraId="73C4F9C5" w14:textId="77777777" w:rsidTr="00404D4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5C756" w14:textId="77777777" w:rsidR="00DD5B81" w:rsidRDefault="00DD5B81" w:rsidP="00DD5B81">
            <w: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1379" w14:textId="77777777" w:rsidR="00DD5B81" w:rsidRDefault="00DD5B81" w:rsidP="00DD5B81">
            <w:pPr>
              <w:spacing w:before="40" w:after="40"/>
            </w:pPr>
            <w:r>
              <w:t>Diesel pre-heat</w:t>
            </w:r>
          </w:p>
          <w:p w14:paraId="3510CBA5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145BE" w14:textId="06A63BB7" w:rsidR="00DD5B81" w:rsidRDefault="001C0950" w:rsidP="001C0950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0AF6ACEE" wp14:editId="64E07D4B">
                  <wp:extent cx="371475" cy="2381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 </w:t>
            </w:r>
            <w:r w:rsidRPr="001C0950">
              <w:rPr>
                <w:b/>
                <w:vertAlign w:val="superscript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6AD6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3AEF" w14:textId="77777777" w:rsidR="00DD5B81" w:rsidRDefault="00DD5B81" w:rsidP="00DD5B81">
            <w:pPr>
              <w:spacing w:before="40" w:after="40"/>
            </w:pPr>
            <w: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63A" w14:textId="77777777" w:rsidR="00DD5B81" w:rsidRDefault="00DD5B81" w:rsidP="00DD5B81">
            <w:pPr>
              <w:spacing w:before="40" w:after="40"/>
            </w:pPr>
            <w:r>
              <w:t>Yellow</w:t>
            </w:r>
          </w:p>
        </w:tc>
      </w:tr>
      <w:tr w:rsidR="00DD5B81" w14:paraId="31FB5D0E" w14:textId="77777777" w:rsidTr="00404D40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AEFE70" w14:textId="77777777" w:rsidR="00DD5B81" w:rsidRDefault="00DD5B81" w:rsidP="00DD5B81">
            <w:r>
              <w:t>32.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402E6" w14:textId="77777777" w:rsidR="00DD5B81" w:rsidRDefault="00DD5B81" w:rsidP="00DD5B81">
            <w:pPr>
              <w:spacing w:before="40" w:after="40"/>
            </w:pPr>
            <w:r>
              <w:t>Choke (cold starting device)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D02731" w14:textId="6C0CE1FB" w:rsidR="00DD5B81" w:rsidRDefault="001C0950" w:rsidP="001C0950">
            <w:pPr>
              <w:spacing w:before="40" w:after="40"/>
              <w:ind w:left="-136" w:right="-80"/>
              <w:jc w:val="center"/>
            </w:pPr>
            <w:r>
              <w:rPr>
                <w:b/>
                <w:noProof/>
                <w:vertAlign w:val="superscript"/>
                <w:lang w:val="en-US" w:eastAsia="zh-CN"/>
              </w:rPr>
              <w:drawing>
                <wp:inline distT="0" distB="0" distL="0" distR="0" wp14:anchorId="53E5D8D5" wp14:editId="3C915D76">
                  <wp:extent cx="304800" cy="314325"/>
                  <wp:effectExtent l="0" t="0" r="0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vertAlign w:val="superscript"/>
              </w:rPr>
              <w:t xml:space="preserve"> </w:t>
            </w:r>
            <w:r w:rsidRPr="001C0950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6363" w14:textId="77777777" w:rsidR="00DD5B81" w:rsidRDefault="00DD5B81" w:rsidP="00DD5B81">
            <w:pPr>
              <w:spacing w:before="40" w:after="40"/>
            </w:pPr>
            <w:r>
              <w:t>Control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D859C" w14:textId="77777777" w:rsidR="00DD5B81" w:rsidRDefault="00DD5B81" w:rsidP="00DD5B81">
            <w:pPr>
              <w:spacing w:before="40" w:after="40"/>
            </w:pPr>
            <w:r>
              <w:t>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FB97CD" w14:textId="77777777" w:rsidR="00DD5B81" w:rsidRDefault="00DD5B81" w:rsidP="00DD5B81">
            <w:pPr>
              <w:spacing w:before="40" w:after="40"/>
            </w:pPr>
          </w:p>
        </w:tc>
      </w:tr>
      <w:tr w:rsidR="00DD5B81" w14:paraId="620240A7" w14:textId="77777777" w:rsidTr="00404D40">
        <w:trPr>
          <w:cantSplit/>
          <w:trHeight w:val="3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DA3CD" w14:textId="77777777" w:rsidR="00DD5B81" w:rsidRDefault="00DD5B81" w:rsidP="00DD5B81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AE69" w14:textId="77777777" w:rsidR="00DD5B81" w:rsidRDefault="00DD5B81" w:rsidP="00DD5B81">
            <w:pPr>
              <w:spacing w:before="40" w:after="40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E229" w14:textId="77777777" w:rsidR="00DD5B81" w:rsidRDefault="00DD5B81" w:rsidP="00DD5B81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2DF0" w14:textId="77777777" w:rsidR="00DD5B81" w:rsidRDefault="00DD5B81" w:rsidP="00DD5B81">
            <w:pPr>
              <w:spacing w:before="40" w:after="40"/>
            </w:pPr>
            <w:r>
              <w:t>Tell-tale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3160" w14:textId="77777777" w:rsidR="00DD5B81" w:rsidRDefault="00DD5B81" w:rsidP="00DD5B81">
            <w:pPr>
              <w:spacing w:before="40" w:after="40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D38B" w14:textId="77777777" w:rsidR="00DD5B81" w:rsidRDefault="00DD5B81" w:rsidP="00DD5B81">
            <w:pPr>
              <w:spacing w:before="40" w:after="40"/>
            </w:pPr>
            <w:r>
              <w:t>Yellow</w:t>
            </w:r>
          </w:p>
        </w:tc>
      </w:tr>
      <w:tr w:rsidR="00DD5B81" w14:paraId="209048B0" w14:textId="77777777" w:rsidTr="00DD5B81">
        <w:trPr>
          <w:cantSplit/>
          <w:trHeight w:val="33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399D" w14:textId="6DA757D0" w:rsidR="00DD5B81" w:rsidRDefault="00DD5B81" w:rsidP="00DD5B81"/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E192" w14:textId="298114EF" w:rsidR="00DD5B81" w:rsidRDefault="001C0950" w:rsidP="00DD5B81">
            <w:pPr>
              <w:spacing w:before="40" w:after="40"/>
            </w:pPr>
            <w:r>
              <w:t>…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9E51" w14:textId="7163368B" w:rsidR="00DD5B81" w:rsidRDefault="00DD5B81" w:rsidP="00DD5B81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6211" w14:textId="5938C179" w:rsidR="00DD5B81" w:rsidRDefault="00DD5B81" w:rsidP="00DD5B81">
            <w:pPr>
              <w:spacing w:before="40" w:after="40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FB72" w14:textId="0343C066" w:rsidR="00DD5B81" w:rsidRDefault="00DD5B81" w:rsidP="00DD5B81">
            <w:pPr>
              <w:spacing w:before="40" w:after="40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1303" w14:textId="77777777" w:rsidR="00DD5B81" w:rsidRDefault="00DD5B81" w:rsidP="00DD5B81">
            <w:pPr>
              <w:spacing w:before="40" w:after="40"/>
            </w:pPr>
          </w:p>
        </w:tc>
      </w:tr>
    </w:tbl>
    <w:p w14:paraId="6CC1C95D" w14:textId="225B9AA8" w:rsidR="00DD5B81" w:rsidRDefault="00DD5B81" w:rsidP="00DD5B81">
      <w:pPr>
        <w:pStyle w:val="FootnoteText"/>
        <w:tabs>
          <w:tab w:val="clear" w:pos="1021"/>
          <w:tab w:val="right" w:pos="900"/>
          <w:tab w:val="right" w:pos="1100"/>
          <w:tab w:val="right" w:pos="1700"/>
          <w:tab w:val="right" w:pos="2100"/>
        </w:tabs>
        <w:ind w:left="1500" w:hanging="300"/>
      </w:pPr>
      <w:r>
        <w:rPr>
          <w:vertAlign w:val="superscript"/>
        </w:rPr>
        <w:t>…</w:t>
      </w:r>
    </w:p>
    <w:p w14:paraId="6156D8F6" w14:textId="77777777" w:rsidR="00DD5B81" w:rsidRDefault="00DD5B81" w:rsidP="00DD5B81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3F202D">
        <w:rPr>
          <w:vertAlign w:val="superscript"/>
        </w:rPr>
        <w:t>18</w:t>
      </w:r>
      <w:r w:rsidRPr="003F202D">
        <w:tab/>
      </w:r>
      <w:r>
        <w:tab/>
      </w:r>
      <w:r w:rsidRPr="00732AC4">
        <w:t>Symbol may be shown in other colours than specified in column 5 in order to convey different meanings according to the general colour coding as proposed in paragraph 5 of ISO 2575-2004.</w:t>
      </w:r>
    </w:p>
    <w:p w14:paraId="169F13C4" w14:textId="1A50DE47" w:rsidR="00DD5B81" w:rsidRPr="00B02A80" w:rsidRDefault="00DD5B81" w:rsidP="00B02A8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szCs w:val="18"/>
        </w:rPr>
      </w:pPr>
      <w:r>
        <w:rPr>
          <w:bCs/>
          <w:vertAlign w:val="superscript"/>
          <w:lang w:val="en-US"/>
        </w:rPr>
        <w:t>…</w:t>
      </w:r>
      <w:r w:rsidR="00645C66">
        <w:rPr>
          <w:bCs/>
          <w:vertAlign w:val="superscript"/>
          <w:lang w:val="en-US"/>
        </w:rPr>
        <w:t xml:space="preserve"> </w:t>
      </w:r>
      <w:r w:rsidR="00645C66" w:rsidRPr="00645C66">
        <w:rPr>
          <w:bCs/>
          <w:sz w:val="20"/>
          <w:vertAlign w:val="superscript"/>
          <w:lang w:val="en-US"/>
        </w:rPr>
        <w:t>“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25F4DA86" w14:textId="6A3C57EF" w:rsidR="00404D40" w:rsidRPr="005948D1" w:rsidRDefault="00D013F0" w:rsidP="00D013F0">
      <w:pPr>
        <w:pStyle w:val="SingleTxtG"/>
        <w:ind w:hanging="11"/>
      </w:pPr>
      <w:r w:rsidRPr="005948D1">
        <w:t>1.</w:t>
      </w:r>
      <w:r w:rsidRPr="005948D1">
        <w:tab/>
      </w:r>
      <w:r w:rsidR="00404D40">
        <w:t xml:space="preserve">GRSG-110-06 </w:t>
      </w:r>
      <w:r w:rsidR="00B02A80">
        <w:t xml:space="preserve">proposed to </w:t>
      </w:r>
      <w:r w:rsidR="00404D40">
        <w:t>add</w:t>
      </w:r>
      <w:r w:rsidR="00B02A80">
        <w:t xml:space="preserve"> </w:t>
      </w:r>
      <w:r w:rsidR="00404D40">
        <w:t>Footnote 18 to Symbol</w:t>
      </w:r>
      <w:r w:rsidR="00092739">
        <w:t> </w:t>
      </w:r>
      <w:r w:rsidR="00404D40">
        <w:t>2 (Headlamp passing beam) and Symbol</w:t>
      </w:r>
      <w:r w:rsidR="00092739">
        <w:t> </w:t>
      </w:r>
      <w:r w:rsidR="00404D40">
        <w:t xml:space="preserve">19 (Position, side marker, and/or end-outline marker lamps) based on the fact that underlaying </w:t>
      </w:r>
      <w:r w:rsidR="00404D40" w:rsidRPr="005948D1">
        <w:t>UN Regulations Nos. 7, 48 and 87 required an indication of failure (red) in additio</w:t>
      </w:r>
      <w:r w:rsidR="00EE4D88">
        <w:t>n to indication of activity (green/blue</w:t>
      </w:r>
      <w:r w:rsidR="00404D40" w:rsidRPr="005948D1">
        <w:t xml:space="preserve">). This light signalling function already existed for the </w:t>
      </w:r>
      <w:r w:rsidR="00B02A80">
        <w:t>Light Emitting Diode (</w:t>
      </w:r>
      <w:r w:rsidR="00404D40" w:rsidRPr="005948D1">
        <w:t>LED</w:t>
      </w:r>
      <w:r w:rsidR="00B02A80">
        <w:t>)</w:t>
      </w:r>
      <w:r w:rsidR="00404D40" w:rsidRPr="005948D1">
        <w:t xml:space="preserve"> dipped beam headlamps, but the possibility to use </w:t>
      </w:r>
      <w:r w:rsidR="00092739">
        <w:t xml:space="preserve">a </w:t>
      </w:r>
      <w:r w:rsidR="00404D40" w:rsidRPr="005948D1">
        <w:t>different colour to indicate the failure was not allowed for the related tell-tale. Based on these consideration</w:t>
      </w:r>
      <w:r w:rsidR="00092739">
        <w:t>s</w:t>
      </w:r>
      <w:r w:rsidR="00404D40" w:rsidRPr="005948D1">
        <w:t xml:space="preserve">, GRSG extended the application of </w:t>
      </w:r>
      <w:r w:rsidR="00092739">
        <w:t>Foot</w:t>
      </w:r>
      <w:r w:rsidR="00404D40" w:rsidRPr="005948D1">
        <w:t>note</w:t>
      </w:r>
      <w:r w:rsidR="00092739">
        <w:t> </w:t>
      </w:r>
      <w:r w:rsidR="00404D40" w:rsidRPr="005948D1">
        <w:t xml:space="preserve">18 </w:t>
      </w:r>
      <w:r w:rsidR="00092739">
        <w:t>in</w:t>
      </w:r>
      <w:r w:rsidR="00404D40" w:rsidRPr="005948D1">
        <w:t xml:space="preserve"> table</w:t>
      </w:r>
      <w:r w:rsidR="00092739">
        <w:t> </w:t>
      </w:r>
      <w:r w:rsidR="00404D40" w:rsidRPr="005948D1">
        <w:t xml:space="preserve">1 (the text of the note is reproduced above without any change in the proposal, for </w:t>
      </w:r>
      <w:r w:rsidR="00092739">
        <w:t>easy</w:t>
      </w:r>
      <w:r w:rsidR="00404D40" w:rsidRPr="005948D1">
        <w:t xml:space="preserve"> reference only) allowing </w:t>
      </w:r>
      <w:r w:rsidR="00404D40" w:rsidRPr="005948D1">
        <w:lastRenderedPageBreak/>
        <w:t>for the use of different colour</w:t>
      </w:r>
      <w:r w:rsidR="00092739">
        <w:t>s</w:t>
      </w:r>
      <w:r w:rsidR="00404D40" w:rsidRPr="005948D1">
        <w:t xml:space="preserve"> to convey different meaning</w:t>
      </w:r>
      <w:r w:rsidR="00092739">
        <w:t>s</w:t>
      </w:r>
      <w:r w:rsidR="00404D40" w:rsidRPr="005948D1">
        <w:t xml:space="preserve"> or indication of a different state for the involved functions.</w:t>
      </w:r>
    </w:p>
    <w:p w14:paraId="6B8C03E6" w14:textId="2C2A34E7" w:rsidR="005948D1" w:rsidRPr="005948D1" w:rsidRDefault="00D013F0" w:rsidP="00D013F0">
      <w:pPr>
        <w:pStyle w:val="SingleTxtG"/>
        <w:ind w:hanging="11"/>
      </w:pPr>
      <w:r w:rsidRPr="005948D1">
        <w:t>2.</w:t>
      </w:r>
      <w:r w:rsidRPr="005948D1">
        <w:tab/>
      </w:r>
      <w:r w:rsidR="00B02A80">
        <w:t>In</w:t>
      </w:r>
      <w:r w:rsidR="005948D1">
        <w:t xml:space="preserve"> the justification of that change (GRSG-110-06)</w:t>
      </w:r>
      <w:r w:rsidR="00B02A80">
        <w:t>,</w:t>
      </w:r>
      <w:r w:rsidR="005948D1">
        <w:t xml:space="preserve"> it was </w:t>
      </w:r>
      <w:r w:rsidR="00EE4D88">
        <w:t>already</w:t>
      </w:r>
      <w:r w:rsidR="005948D1">
        <w:t xml:space="preserve"> noted that </w:t>
      </w:r>
      <w:r w:rsidR="005948D1" w:rsidRPr="005948D1">
        <w:t xml:space="preserve">the proposed amendments to UN Regulation No. 121 are in line with the concept of the use of different colours to indicate a change in the status of the involved function expressed in paragraph 5. </w:t>
      </w:r>
      <w:r w:rsidR="005948D1">
        <w:t>o</w:t>
      </w:r>
      <w:r w:rsidR="005948D1" w:rsidRPr="005948D1">
        <w:t>f I</w:t>
      </w:r>
      <w:r w:rsidR="00B02A80">
        <w:t xml:space="preserve">nternational </w:t>
      </w:r>
      <w:r w:rsidR="005948D1" w:rsidRPr="005948D1">
        <w:t>S</w:t>
      </w:r>
      <w:r w:rsidR="00B02A80">
        <w:t xml:space="preserve">tandard </w:t>
      </w:r>
      <w:r w:rsidR="005948D1" w:rsidRPr="005948D1">
        <w:t>O</w:t>
      </w:r>
      <w:r w:rsidR="00B02A80">
        <w:t>rganization</w:t>
      </w:r>
      <w:r w:rsidR="005948D1" w:rsidRPr="005948D1">
        <w:t xml:space="preserve"> </w:t>
      </w:r>
      <w:r w:rsidR="00B02A80">
        <w:t>(ISO) s</w:t>
      </w:r>
      <w:r w:rsidR="005948D1" w:rsidRPr="005948D1">
        <w:t>tandard</w:t>
      </w:r>
      <w:r w:rsidR="00B02A80">
        <w:t xml:space="preserve"> ISO </w:t>
      </w:r>
      <w:r w:rsidR="005948D1" w:rsidRPr="005948D1">
        <w:t>2575.</w:t>
      </w:r>
    </w:p>
    <w:p w14:paraId="518A63F7" w14:textId="69458C74" w:rsidR="003C25FD" w:rsidRDefault="00D013F0" w:rsidP="00D013F0">
      <w:pPr>
        <w:pStyle w:val="SingleTxtG"/>
        <w:ind w:hanging="11"/>
      </w:pPr>
      <w:r>
        <w:t>3.</w:t>
      </w:r>
      <w:r>
        <w:tab/>
      </w:r>
      <w:r w:rsidR="00092739">
        <w:t xml:space="preserve">In </w:t>
      </w:r>
      <w:r w:rsidR="00B02A80">
        <w:t>ECE/TRANS/WP.29/</w:t>
      </w:r>
      <w:r w:rsidR="005948D1">
        <w:t>GRSG/2018/06 (</w:t>
      </w:r>
      <w:r w:rsidR="00B02A80">
        <w:t xml:space="preserve">presented at the </w:t>
      </w:r>
      <w:r w:rsidR="005948D1">
        <w:t>114</w:t>
      </w:r>
      <w:r w:rsidR="00B02A80">
        <w:t>th</w:t>
      </w:r>
      <w:r w:rsidR="005948D1">
        <w:t xml:space="preserve"> session) OICA </w:t>
      </w:r>
      <w:r w:rsidR="00092739">
        <w:t>informed</w:t>
      </w:r>
      <w:r w:rsidR="003C29E4">
        <w:t xml:space="preserve"> the multiplication of available functions together with the new possibilities offered by the new display technologies. The proposal aimed at </w:t>
      </w:r>
      <w:r w:rsidR="005948D1">
        <w:t>simplify</w:t>
      </w:r>
      <w:r w:rsidR="003C29E4">
        <w:t>ing</w:t>
      </w:r>
      <w:r w:rsidR="005948D1">
        <w:t xml:space="preserve"> the handling </w:t>
      </w:r>
      <w:r w:rsidR="003C29E4">
        <w:t xml:space="preserve">of </w:t>
      </w:r>
      <w:r w:rsidR="005948D1">
        <w:t xml:space="preserve">colours </w:t>
      </w:r>
      <w:r w:rsidR="00EE4D88">
        <w:t>in line with ISO 2575</w:t>
      </w:r>
      <w:r w:rsidR="00092739">
        <w:t xml:space="preserve"> with the aim of</w:t>
      </w:r>
      <w:r w:rsidR="005948D1">
        <w:t xml:space="preserve"> convey</w:t>
      </w:r>
      <w:r w:rsidR="00092739">
        <w:t>ing</w:t>
      </w:r>
      <w:r w:rsidR="005948D1">
        <w:t xml:space="preserve"> </w:t>
      </w:r>
      <w:r w:rsidR="003C29E4">
        <w:t>appropriate</w:t>
      </w:r>
      <w:r w:rsidR="005948D1">
        <w:t xml:space="preserve"> information </w:t>
      </w:r>
      <w:r w:rsidR="00EE4D88">
        <w:t>about the</w:t>
      </w:r>
      <w:r w:rsidR="005948D1">
        <w:t xml:space="preserve"> underlaying </w:t>
      </w:r>
      <w:r w:rsidR="003C29E4">
        <w:t xml:space="preserve">functions </w:t>
      </w:r>
      <w:r w:rsidR="00EE4D88">
        <w:t xml:space="preserve">to the driver </w:t>
      </w:r>
      <w:r w:rsidR="005948D1">
        <w:t>for additional 20</w:t>
      </w:r>
      <w:r w:rsidR="003C29E4">
        <w:t> </w:t>
      </w:r>
      <w:r w:rsidR="005948D1">
        <w:t>tell-tales</w:t>
      </w:r>
      <w:r w:rsidR="003C25FD">
        <w:t>.</w:t>
      </w:r>
      <w:r w:rsidR="005948D1">
        <w:t xml:space="preserve"> There </w:t>
      </w:r>
      <w:r w:rsidR="00092739">
        <w:t>was however</w:t>
      </w:r>
      <w:r w:rsidR="005948D1">
        <w:t xml:space="preserve"> no consensus </w:t>
      </w:r>
      <w:r w:rsidR="00EF25CA">
        <w:t>with</w:t>
      </w:r>
      <w:r w:rsidR="005948D1">
        <w:t xml:space="preserve">in the GRSG on this </w:t>
      </w:r>
      <w:r w:rsidR="003C29E4">
        <w:t>approach</w:t>
      </w:r>
      <w:r w:rsidR="005948D1">
        <w:t>.</w:t>
      </w:r>
    </w:p>
    <w:p w14:paraId="64774B42" w14:textId="2F8A5758" w:rsidR="005948D1" w:rsidRDefault="00D013F0" w:rsidP="00D013F0">
      <w:pPr>
        <w:pStyle w:val="SingleTxtG"/>
        <w:ind w:hanging="11"/>
      </w:pPr>
      <w:r>
        <w:t>4.</w:t>
      </w:r>
      <w:r>
        <w:tab/>
      </w:r>
      <w:r w:rsidR="00EE4D88">
        <w:t xml:space="preserve">The </w:t>
      </w:r>
      <w:r w:rsidR="003C29E4">
        <w:t xml:space="preserve">present </w:t>
      </w:r>
      <w:r w:rsidR="00EE4D88">
        <w:t>proposal</w:t>
      </w:r>
      <w:r w:rsidR="003C29E4">
        <w:t xml:space="preserve">, following bilateral exchanges with </w:t>
      </w:r>
      <w:r w:rsidR="00343B88">
        <w:t xml:space="preserve">several </w:t>
      </w:r>
      <w:r w:rsidR="003C29E4">
        <w:t xml:space="preserve">GRSG representatives, </w:t>
      </w:r>
      <w:r w:rsidR="005948D1">
        <w:t>amends the flexibility of colours (</w:t>
      </w:r>
      <w:r w:rsidR="003C29E4">
        <w:t>Foot</w:t>
      </w:r>
      <w:r w:rsidR="005948D1">
        <w:t xml:space="preserve">note 18) </w:t>
      </w:r>
      <w:r w:rsidR="00343B88">
        <w:t xml:space="preserve">for </w:t>
      </w:r>
      <w:r w:rsidR="005948D1">
        <w:t xml:space="preserve">7 tell-tales which have been identified </w:t>
      </w:r>
      <w:r w:rsidR="00343B88">
        <w:t>as relevant per</w:t>
      </w:r>
      <w:r w:rsidR="00EE4D88">
        <w:t xml:space="preserve"> GRSG-110-06 </w:t>
      </w:r>
      <w:r w:rsidR="00343B88">
        <w:t>(</w:t>
      </w:r>
      <w:r w:rsidR="00EE4D88">
        <w:t xml:space="preserve">possible </w:t>
      </w:r>
      <w:r w:rsidR="00092739">
        <w:t>extension</w:t>
      </w:r>
      <w:r w:rsidR="00EE4D88">
        <w:t xml:space="preserve"> to light sources</w:t>
      </w:r>
      <w:r w:rsidR="00343B88">
        <w:t>)</w:t>
      </w:r>
      <w:r w:rsidR="00EE4D88">
        <w:t xml:space="preserve">. </w:t>
      </w:r>
    </w:p>
    <w:p w14:paraId="0684C514" w14:textId="676F2FD1" w:rsidR="00404D40" w:rsidRPr="005948D1" w:rsidRDefault="00D013F0" w:rsidP="00D013F0">
      <w:pPr>
        <w:pStyle w:val="SingleTxtG"/>
        <w:ind w:hanging="11"/>
      </w:pPr>
      <w:r w:rsidRPr="005948D1">
        <w:t>5.</w:t>
      </w:r>
      <w:r w:rsidRPr="005948D1">
        <w:tab/>
      </w:r>
      <w:r w:rsidR="003C25FD">
        <w:t>The proposed amendments do not change any of the existing technical requirements of UN Regulation No. 121. Therefore, this proposal does not contain transitional provisions.</w:t>
      </w:r>
    </w:p>
    <w:p w14:paraId="1B91975C" w14:textId="2E8111C0" w:rsidR="00C31258" w:rsidRPr="002C5F1B" w:rsidRDefault="002C5F1B" w:rsidP="002C5F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2C5F1B" w:rsidSect="002C5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A03B" w14:textId="77777777" w:rsidR="005948D1" w:rsidRDefault="005948D1"/>
  </w:endnote>
  <w:endnote w:type="continuationSeparator" w:id="0">
    <w:p w14:paraId="46CBF594" w14:textId="77777777" w:rsidR="005948D1" w:rsidRDefault="005948D1"/>
  </w:endnote>
  <w:endnote w:type="continuationNotice" w:id="1">
    <w:p w14:paraId="1FC94A06" w14:textId="77777777" w:rsidR="005948D1" w:rsidRDefault="0059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16ADB9C6" w:rsidR="005948D1" w:rsidRPr="00803BF8" w:rsidRDefault="005948D1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3F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23A76234" w:rsidR="005948D1" w:rsidRPr="00803BF8" w:rsidRDefault="005948D1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3F0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77C8" w14:textId="633BDB38" w:rsidR="00D013F0" w:rsidRDefault="00D013F0" w:rsidP="00D013F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B80742B" wp14:editId="49F5718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5F08D" w14:textId="23A0E9C6" w:rsidR="00D013F0" w:rsidRDefault="00D013F0" w:rsidP="00D013F0">
    <w:pPr>
      <w:pStyle w:val="Footer"/>
      <w:ind w:right="1134"/>
      <w:rPr>
        <w:sz w:val="20"/>
      </w:rPr>
    </w:pPr>
    <w:r>
      <w:rPr>
        <w:sz w:val="20"/>
      </w:rPr>
      <w:t>GE.19-12282(E)</w:t>
    </w:r>
  </w:p>
  <w:p w14:paraId="6F3525E5" w14:textId="2911B95D" w:rsidR="00D013F0" w:rsidRPr="00D013F0" w:rsidRDefault="00D013F0" w:rsidP="00D013F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D1945F2" wp14:editId="0B268D9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8DD" w14:textId="77777777" w:rsidR="005948D1" w:rsidRPr="000B175B" w:rsidRDefault="005948D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5948D1" w:rsidRPr="00FC68B7" w:rsidRDefault="005948D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5948D1" w:rsidRDefault="005948D1"/>
  </w:footnote>
  <w:footnote w:id="2">
    <w:p w14:paraId="0E7E6FB0" w14:textId="77777777" w:rsidR="00B02A80" w:rsidRPr="00464D74" w:rsidRDefault="00B02A80" w:rsidP="00B02A80">
      <w:pPr>
        <w:pStyle w:val="FootnoteText"/>
        <w:rPr>
          <w:sz w:val="16"/>
          <w:szCs w:val="18"/>
        </w:rPr>
      </w:pPr>
      <w:r>
        <w:rPr>
          <w:rStyle w:val="FootnoteReference"/>
        </w:rPr>
        <w:tab/>
      </w:r>
      <w:r w:rsidRPr="00B24D9A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464D74">
        <w:rPr>
          <w:szCs w:val="18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2831D1F8" w:rsidR="005948D1" w:rsidRPr="00803BF8" w:rsidRDefault="005948D1">
    <w:pPr>
      <w:pStyle w:val="Header"/>
    </w:pPr>
    <w:r>
      <w:t>ECE/TRANS/WP.29/GRSG/</w:t>
    </w:r>
    <w:r w:rsidRPr="00DF418A">
      <w:t>201</w:t>
    </w:r>
    <w:r w:rsidR="00B02A80">
      <w:t>9</w:t>
    </w:r>
    <w:r>
      <w:t>/</w:t>
    </w:r>
    <w:r w:rsidR="00B02A80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513931B8" w:rsidR="005948D1" w:rsidRPr="00803BF8" w:rsidRDefault="005948D1" w:rsidP="00803BF8">
    <w:pPr>
      <w:pStyle w:val="Header"/>
      <w:jc w:val="right"/>
    </w:pPr>
    <w:r>
      <w:t>ECE/TRANS/WP.29/GRSG/201</w:t>
    </w:r>
    <w:r w:rsidR="00B02A80">
      <w:t>9</w:t>
    </w:r>
    <w:r>
      <w:t>/</w:t>
    </w:r>
    <w:r w:rsidR="00B02A80">
      <w:t>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81AE" w14:textId="77777777" w:rsidR="002C5F1B" w:rsidRPr="002C5F1B" w:rsidRDefault="002C5F1B" w:rsidP="002C5F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431D38"/>
    <w:multiLevelType w:val="hybridMultilevel"/>
    <w:tmpl w:val="62E0834E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CF466C"/>
    <w:multiLevelType w:val="hybridMultilevel"/>
    <w:tmpl w:val="CBE257F4"/>
    <w:lvl w:ilvl="0" w:tplc="69FAFC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3A6F6183"/>
    <w:multiLevelType w:val="hybridMultilevel"/>
    <w:tmpl w:val="00900F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6C79"/>
    <w:multiLevelType w:val="hybridMultilevel"/>
    <w:tmpl w:val="C9EAC0C8"/>
    <w:lvl w:ilvl="0" w:tplc="E56C1C9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1"/>
  </w:num>
  <w:num w:numId="15">
    <w:abstractNumId w:val="27"/>
  </w:num>
  <w:num w:numId="16">
    <w:abstractNumId w:val="10"/>
  </w:num>
  <w:num w:numId="17">
    <w:abstractNumId w:val="15"/>
  </w:num>
  <w:num w:numId="18">
    <w:abstractNumId w:val="26"/>
  </w:num>
  <w:num w:numId="19">
    <w:abstractNumId w:val="13"/>
  </w:num>
  <w:num w:numId="20">
    <w:abstractNumId w:val="22"/>
  </w:num>
  <w:num w:numId="21">
    <w:abstractNumId w:val="24"/>
  </w:num>
  <w:num w:numId="22">
    <w:abstractNumId w:val="18"/>
  </w:num>
  <w:num w:numId="23">
    <w:abstractNumId w:val="23"/>
  </w:num>
  <w:num w:numId="24">
    <w:abstractNumId w:val="11"/>
  </w:num>
  <w:num w:numId="25">
    <w:abstractNumId w:val="17"/>
  </w:num>
  <w:num w:numId="26">
    <w:abstractNumId w:val="19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A8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739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0CB7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0950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2F75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5F1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35CD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3B88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5FD"/>
    <w:rsid w:val="003C29E4"/>
    <w:rsid w:val="003C2CC4"/>
    <w:rsid w:val="003C46E4"/>
    <w:rsid w:val="003C472E"/>
    <w:rsid w:val="003C4BA1"/>
    <w:rsid w:val="003C534D"/>
    <w:rsid w:val="003D4051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4D40"/>
    <w:rsid w:val="00406C85"/>
    <w:rsid w:val="00410C89"/>
    <w:rsid w:val="00413FC7"/>
    <w:rsid w:val="00414256"/>
    <w:rsid w:val="00420557"/>
    <w:rsid w:val="00422673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57DA3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522A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6B9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48D1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23B0"/>
    <w:rsid w:val="005F40D0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27BEB"/>
    <w:rsid w:val="0063070C"/>
    <w:rsid w:val="0063242B"/>
    <w:rsid w:val="006327D4"/>
    <w:rsid w:val="00634F9F"/>
    <w:rsid w:val="006352A1"/>
    <w:rsid w:val="006372E5"/>
    <w:rsid w:val="006407D7"/>
    <w:rsid w:val="0064099B"/>
    <w:rsid w:val="00640B26"/>
    <w:rsid w:val="0064292F"/>
    <w:rsid w:val="00645C66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9DF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C7E92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51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ABD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710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8716C"/>
    <w:rsid w:val="00992774"/>
    <w:rsid w:val="0099285B"/>
    <w:rsid w:val="009971E1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2A80"/>
    <w:rsid w:val="00B048EE"/>
    <w:rsid w:val="00B213A0"/>
    <w:rsid w:val="00B22EC9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3D0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064C"/>
    <w:rsid w:val="00CC138B"/>
    <w:rsid w:val="00CC187A"/>
    <w:rsid w:val="00CC4839"/>
    <w:rsid w:val="00CD2AAC"/>
    <w:rsid w:val="00CD4AA6"/>
    <w:rsid w:val="00CD730A"/>
    <w:rsid w:val="00CE106B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13F0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2E8"/>
    <w:rsid w:val="00D40653"/>
    <w:rsid w:val="00D4222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4A52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220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5B81"/>
    <w:rsid w:val="00DD640F"/>
    <w:rsid w:val="00DE2B2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65D2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295D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4D88"/>
    <w:rsid w:val="00EE5FCD"/>
    <w:rsid w:val="00EF088A"/>
    <w:rsid w:val="00EF1D7F"/>
    <w:rsid w:val="00EF25CA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549053C3"/>
  <w15:docId w15:val="{F5517615-AF27-461F-895B-40B2FA2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C9B6-B026-435B-AB77-ED53F972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656</Words>
  <Characters>3589</Characters>
  <Application>Microsoft Office Word</Application>
  <DocSecurity>0</DocSecurity>
  <Lines>192</Lines>
  <Paragraphs>100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1801017</vt:lpstr>
      <vt:lpstr>1801017</vt:lpstr>
      <vt:lpstr>1801017</vt:lpstr>
      <vt:lpstr>United Nations</vt:lpstr>
    </vt:vector>
  </TitlesOfParts>
  <Company>ECE-ISU</Company>
  <LinksUpToDate>false</LinksUpToDate>
  <CharactersWithSpaces>4170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ECE/TRANS/WP.29/GRSG/2019/17</dc:title>
  <dc:subject>1912282</dc:subject>
  <dc:creator>Generic Pdf eng</dc:creator>
  <cp:keywords/>
  <dc:description/>
  <cp:lastModifiedBy>Generic Pdf eng</cp:lastModifiedBy>
  <cp:revision>2</cp:revision>
  <cp:lastPrinted>2017-07-28T08:07:00Z</cp:lastPrinted>
  <dcterms:created xsi:type="dcterms:W3CDTF">2019-07-18T13:44:00Z</dcterms:created>
  <dcterms:modified xsi:type="dcterms:W3CDTF">2019-07-18T13:44:00Z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KJURSS@volvocars.com</vt:lpwstr>
  </property>
  <property fmtid="{D5CDD505-2E9C-101B-9397-08002B2CF9AE}" pid="5" name="MSIP_Label_7fea2623-af8f-4fb8-b1cf-b63cc8e496aa_SetDate">
    <vt:lpwstr>2019-06-18T14:00:09.0871973Z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