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72E5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72E5E" w:rsidP="00472E5E">
            <w:pPr>
              <w:jc w:val="right"/>
            </w:pPr>
            <w:r w:rsidRPr="00472E5E">
              <w:rPr>
                <w:sz w:val="40"/>
              </w:rPr>
              <w:t>ECE</w:t>
            </w:r>
            <w:r>
              <w:t>/TRANS/WP.29/GRSG/2019/11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72E5E" w:rsidP="00C97039">
            <w:pPr>
              <w:spacing w:before="240"/>
            </w:pPr>
            <w:r>
              <w:t xml:space="preserve">Distr. </w:t>
            </w:r>
            <w:proofErr w:type="gramStart"/>
            <w:r>
              <w:t>générale</w:t>
            </w:r>
            <w:proofErr w:type="gramEnd"/>
          </w:p>
          <w:p w:rsidR="00472E5E" w:rsidRDefault="00472E5E" w:rsidP="00472E5E">
            <w:pPr>
              <w:spacing w:line="240" w:lineRule="exact"/>
            </w:pPr>
            <w:r>
              <w:t>11 janvier 2019</w:t>
            </w:r>
          </w:p>
          <w:p w:rsidR="00472E5E" w:rsidRDefault="00472E5E" w:rsidP="00472E5E">
            <w:pPr>
              <w:spacing w:line="240" w:lineRule="exact"/>
            </w:pPr>
            <w:r>
              <w:t>Français</w:t>
            </w:r>
          </w:p>
          <w:p w:rsidR="00472E5E" w:rsidRPr="00DB58B5" w:rsidRDefault="00472E5E" w:rsidP="00472E5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72E5E" w:rsidRPr="00472E5E" w:rsidRDefault="00472E5E" w:rsidP="00472E5E">
      <w:pPr>
        <w:spacing w:before="120"/>
        <w:rPr>
          <w:b/>
          <w:sz w:val="24"/>
          <w:lang w:val="fr-FR"/>
        </w:rPr>
      </w:pPr>
      <w:r w:rsidRPr="00472E5E">
        <w:rPr>
          <w:b/>
          <w:sz w:val="24"/>
          <w:lang w:val="fr-FR"/>
        </w:rPr>
        <w:t xml:space="preserve">Forum mondial de l’harmonisation des Règlements </w:t>
      </w:r>
      <w:r>
        <w:rPr>
          <w:b/>
          <w:sz w:val="24"/>
          <w:lang w:val="fr-FR"/>
        </w:rPr>
        <w:br/>
      </w:r>
      <w:r w:rsidRPr="00472E5E">
        <w:rPr>
          <w:b/>
          <w:sz w:val="24"/>
        </w:rPr>
        <w:t>concernant les véhicules</w:t>
      </w:r>
    </w:p>
    <w:p w:rsidR="00472E5E" w:rsidRPr="00472E5E" w:rsidRDefault="00472E5E" w:rsidP="00472E5E">
      <w:pPr>
        <w:spacing w:before="120"/>
        <w:rPr>
          <w:b/>
          <w:lang w:val="fr-FR"/>
        </w:rPr>
      </w:pPr>
      <w:r w:rsidRPr="00472E5E">
        <w:rPr>
          <w:b/>
          <w:lang w:val="fr-FR"/>
        </w:rPr>
        <w:t>Groupe de travail des dispositions générales de sécurité</w:t>
      </w:r>
    </w:p>
    <w:p w:rsidR="00472E5E" w:rsidRPr="00472E5E" w:rsidRDefault="00472E5E" w:rsidP="00472E5E">
      <w:pPr>
        <w:spacing w:before="120"/>
        <w:rPr>
          <w:b/>
          <w:lang w:val="fr-FR"/>
        </w:rPr>
      </w:pPr>
      <w:r w:rsidRPr="00472E5E">
        <w:rPr>
          <w:b/>
          <w:lang w:val="fr-FR"/>
        </w:rPr>
        <w:t>116</w:t>
      </w:r>
      <w:r w:rsidRPr="00472E5E">
        <w:rPr>
          <w:b/>
          <w:vertAlign w:val="superscript"/>
          <w:lang w:val="fr-FR"/>
        </w:rPr>
        <w:t>e</w:t>
      </w:r>
      <w:r w:rsidRPr="00472E5E">
        <w:rPr>
          <w:b/>
          <w:lang w:val="fr-FR"/>
        </w:rPr>
        <w:t> session</w:t>
      </w:r>
    </w:p>
    <w:p w:rsidR="00472E5E" w:rsidRPr="00EF3FFE" w:rsidRDefault="00472E5E" w:rsidP="00472E5E">
      <w:pPr>
        <w:rPr>
          <w:lang w:val="fr-FR"/>
        </w:rPr>
      </w:pPr>
      <w:r w:rsidRPr="00EF3FFE">
        <w:rPr>
          <w:lang w:val="fr-FR"/>
        </w:rPr>
        <w:t>Genève, 1</w:t>
      </w:r>
      <w:r w:rsidRPr="00472E5E">
        <w:rPr>
          <w:vertAlign w:val="superscript"/>
          <w:lang w:val="fr-FR"/>
        </w:rPr>
        <w:t>er</w:t>
      </w:r>
      <w:r>
        <w:rPr>
          <w:lang w:val="fr-FR"/>
        </w:rPr>
        <w:noBreakHyphen/>
      </w:r>
      <w:r w:rsidRPr="00EF3FFE">
        <w:rPr>
          <w:lang w:val="fr-FR"/>
        </w:rPr>
        <w:t>5</w:t>
      </w:r>
      <w:r>
        <w:rPr>
          <w:lang w:val="fr-FR"/>
        </w:rPr>
        <w:t> </w:t>
      </w:r>
      <w:r w:rsidRPr="00EF3FFE">
        <w:rPr>
          <w:lang w:val="fr-FR"/>
        </w:rPr>
        <w:t>avril 2019</w:t>
      </w:r>
    </w:p>
    <w:p w:rsidR="00472E5E" w:rsidRPr="00EF3FFE" w:rsidRDefault="00472E5E" w:rsidP="00472E5E">
      <w:pPr>
        <w:rPr>
          <w:lang w:val="fr-FR"/>
        </w:rPr>
      </w:pPr>
      <w:r w:rsidRPr="00EF3FFE">
        <w:rPr>
          <w:lang w:val="fr-FR"/>
        </w:rPr>
        <w:t>Point 3 de l’ordre du jour provisoire</w:t>
      </w:r>
    </w:p>
    <w:p w:rsidR="00472E5E" w:rsidRPr="00472E5E" w:rsidRDefault="00472E5E" w:rsidP="00472E5E">
      <w:pPr>
        <w:rPr>
          <w:b/>
          <w:lang w:val="fr-FR"/>
        </w:rPr>
      </w:pPr>
      <w:r w:rsidRPr="00472E5E">
        <w:rPr>
          <w:b/>
          <w:lang w:val="fr-FR"/>
        </w:rPr>
        <w:t>Règlement ONU n</w:t>
      </w:r>
      <w:r w:rsidRPr="00472E5E">
        <w:rPr>
          <w:b/>
          <w:vertAlign w:val="superscript"/>
          <w:lang w:val="fr-FR"/>
        </w:rPr>
        <w:t>o</w:t>
      </w:r>
      <w:r>
        <w:rPr>
          <w:b/>
          <w:lang w:val="fr-FR"/>
        </w:rPr>
        <w:t> </w:t>
      </w:r>
      <w:r w:rsidRPr="00472E5E">
        <w:rPr>
          <w:b/>
          <w:lang w:val="fr-FR"/>
        </w:rPr>
        <w:t>26 (Saillies extérieures des voitures particulières)</w:t>
      </w:r>
    </w:p>
    <w:p w:rsidR="00472E5E" w:rsidRPr="00EF3FFE" w:rsidRDefault="00472E5E" w:rsidP="00472E5E">
      <w:pPr>
        <w:pStyle w:val="HChG"/>
        <w:rPr>
          <w:lang w:val="fr-FR"/>
        </w:rPr>
      </w:pPr>
      <w:r w:rsidRPr="00EF3FFE">
        <w:rPr>
          <w:sz w:val="26"/>
          <w:lang w:val="fr-FR"/>
        </w:rPr>
        <w:tab/>
      </w:r>
      <w:r w:rsidRPr="00EF3FFE">
        <w:rPr>
          <w:sz w:val="26"/>
          <w:lang w:val="fr-FR"/>
        </w:rPr>
        <w:tab/>
      </w:r>
      <w:r w:rsidRPr="00EF3FFE">
        <w:rPr>
          <w:lang w:val="fr-FR"/>
        </w:rPr>
        <w:t xml:space="preserve">Proposition de complément 4 à la série 03 d’amendements </w:t>
      </w:r>
      <w:r>
        <w:rPr>
          <w:lang w:val="fr-FR"/>
        </w:rPr>
        <w:br/>
      </w:r>
      <w:r w:rsidRPr="00EF3FFE">
        <w:rPr>
          <w:lang w:val="fr-FR"/>
        </w:rPr>
        <w:t>au Règlement ONU n</w:t>
      </w:r>
      <w:r w:rsidRPr="00472E5E">
        <w:rPr>
          <w:vertAlign w:val="superscript"/>
          <w:lang w:val="fr-FR"/>
        </w:rPr>
        <w:t>o</w:t>
      </w:r>
      <w:r>
        <w:rPr>
          <w:lang w:val="fr-FR"/>
        </w:rPr>
        <w:t> </w:t>
      </w:r>
      <w:r w:rsidRPr="00EF3FFE">
        <w:rPr>
          <w:lang w:val="fr-FR"/>
        </w:rPr>
        <w:t>26 (</w:t>
      </w:r>
      <w:r w:rsidRPr="00EF3FFE">
        <w:t>Saillies extérieures des voitures particulières)</w:t>
      </w:r>
    </w:p>
    <w:p w:rsidR="00472E5E" w:rsidRPr="00EF3FFE" w:rsidRDefault="00472E5E" w:rsidP="00472E5E">
      <w:pPr>
        <w:pStyle w:val="H1G"/>
        <w:rPr>
          <w:vertAlign w:val="superscript"/>
          <w:lang w:val="fr-FR"/>
        </w:rPr>
      </w:pPr>
      <w:r>
        <w:rPr>
          <w:lang w:val="fr-FR"/>
        </w:rPr>
        <w:tab/>
      </w:r>
      <w:r>
        <w:rPr>
          <w:lang w:val="fr-FR"/>
        </w:rPr>
        <w:tab/>
      </w:r>
      <w:r w:rsidRPr="00EF3FFE">
        <w:rPr>
          <w:lang w:val="fr-FR"/>
        </w:rPr>
        <w:t>Communication de l’expert de la France</w:t>
      </w:r>
      <w:r w:rsidRPr="00472E5E">
        <w:rPr>
          <w:rStyle w:val="FootnoteReference"/>
          <w:b w:val="0"/>
          <w:sz w:val="20"/>
          <w:vertAlign w:val="baseline"/>
        </w:rPr>
        <w:footnoteReference w:customMarkFollows="1" w:id="2"/>
        <w:t>*</w:t>
      </w:r>
    </w:p>
    <w:p w:rsidR="00472E5E" w:rsidRPr="00EF3FFE" w:rsidRDefault="00472E5E" w:rsidP="00472E5E">
      <w:pPr>
        <w:pStyle w:val="SingleTxtG"/>
        <w:ind w:firstLine="567"/>
        <w:rPr>
          <w:lang w:val="fr-FR"/>
        </w:rPr>
      </w:pPr>
      <w:r w:rsidRPr="00EF3FFE">
        <w:rPr>
          <w:lang w:val="fr-FR"/>
        </w:rPr>
        <w:t>Le texte ci-après, établi par l’expert de la France, vise à clarifier les dispositions relatives aux essuie-glaces contenues dans le Règlement ONU n</w:t>
      </w:r>
      <w:r w:rsidRPr="00472E5E">
        <w:rPr>
          <w:vertAlign w:val="superscript"/>
          <w:lang w:val="fr-FR"/>
        </w:rPr>
        <w:t>o</w:t>
      </w:r>
      <w:r>
        <w:rPr>
          <w:lang w:val="fr-FR"/>
        </w:rPr>
        <w:t> </w:t>
      </w:r>
      <w:r w:rsidRPr="00EF3FFE">
        <w:rPr>
          <w:lang w:val="fr-FR"/>
        </w:rPr>
        <w:t>26. Il est fondé sur les documents ECE/TRANS/WP.29/GRSG/2018/17, GRSG-115-08 et GRSG-115-32, présentés à la 115</w:t>
      </w:r>
      <w:r w:rsidRPr="00EF3FFE">
        <w:rPr>
          <w:vertAlign w:val="superscript"/>
          <w:lang w:val="fr-FR"/>
        </w:rPr>
        <w:t>e</w:t>
      </w:r>
      <w:r>
        <w:rPr>
          <w:lang w:val="fr-FR"/>
        </w:rPr>
        <w:t> </w:t>
      </w:r>
      <w:r w:rsidRPr="00EF3FFE">
        <w:rPr>
          <w:lang w:val="fr-FR"/>
        </w:rPr>
        <w:t>session du Groupe de travail des dispositions générales de sécurité (GRSG) (voir le rapport ECE/TRANS/WP.29/GRSG/94, par.</w:t>
      </w:r>
      <w:r>
        <w:rPr>
          <w:lang w:val="fr-FR"/>
        </w:rPr>
        <w:t> </w:t>
      </w:r>
      <w:r w:rsidRPr="00EF3FFE">
        <w:rPr>
          <w:lang w:val="fr-FR"/>
        </w:rPr>
        <w:t xml:space="preserve">12). </w:t>
      </w:r>
      <w:r w:rsidRPr="00EF3FFE">
        <w:t>L</w:t>
      </w:r>
      <w:r w:rsidRPr="00EF3FFE">
        <w:rPr>
          <w:lang w:val="fr-FR"/>
        </w:rPr>
        <w:t xml:space="preserve">es modifications qu’il est proposé d’apporter au texte actuel du Règlement </w:t>
      </w:r>
      <w:r>
        <w:rPr>
          <w:lang w:val="fr-FR"/>
        </w:rPr>
        <w:t xml:space="preserve">ONU </w:t>
      </w:r>
      <w:r w:rsidRPr="00EF3FFE">
        <w:rPr>
          <w:lang w:val="fr-FR"/>
        </w:rPr>
        <w:t>n</w:t>
      </w:r>
      <w:r w:rsidRPr="00472E5E">
        <w:rPr>
          <w:vertAlign w:val="superscript"/>
          <w:lang w:val="fr-FR"/>
        </w:rPr>
        <w:t>o</w:t>
      </w:r>
      <w:r>
        <w:rPr>
          <w:lang w:val="fr-FR"/>
        </w:rPr>
        <w:t> </w:t>
      </w:r>
      <w:r w:rsidRPr="00EF3FFE">
        <w:rPr>
          <w:lang w:val="fr-FR"/>
        </w:rPr>
        <w:t xml:space="preserve">26 figurent en caractères gras pour les ajouts et biffés pour les suppressions. </w:t>
      </w:r>
    </w:p>
    <w:p w:rsidR="00472E5E" w:rsidRPr="00EF3FFE" w:rsidRDefault="00472E5E" w:rsidP="00453944">
      <w:pPr>
        <w:pStyle w:val="HChG"/>
        <w:rPr>
          <w:lang w:val="fr-FR"/>
        </w:rPr>
      </w:pPr>
      <w:r w:rsidRPr="00EF3FFE">
        <w:rPr>
          <w:lang w:val="fr-FR"/>
        </w:rPr>
        <w:br w:type="page"/>
      </w:r>
      <w:r w:rsidRPr="00EF3FFE">
        <w:rPr>
          <w:lang w:val="fr-FR"/>
        </w:rPr>
        <w:lastRenderedPageBreak/>
        <w:tab/>
        <w:t>I.</w:t>
      </w:r>
      <w:r w:rsidRPr="00EF3FFE">
        <w:rPr>
          <w:lang w:val="fr-FR"/>
        </w:rPr>
        <w:tab/>
        <w:t>Proposition</w:t>
      </w:r>
    </w:p>
    <w:p w:rsidR="00472E5E" w:rsidRPr="00EF3FFE" w:rsidRDefault="00472E5E" w:rsidP="00453944">
      <w:pPr>
        <w:pStyle w:val="SingleTxtG"/>
        <w:rPr>
          <w:lang w:val="fr-FR"/>
        </w:rPr>
      </w:pPr>
      <w:r w:rsidRPr="00453944">
        <w:rPr>
          <w:i/>
          <w:lang w:val="fr-FR"/>
        </w:rPr>
        <w:t>Paragraphes 6.4 à 6.4.2</w:t>
      </w:r>
      <w:r w:rsidRPr="00EF3FFE">
        <w:rPr>
          <w:lang w:val="fr-FR"/>
        </w:rPr>
        <w:t>, modifier comme suit</w:t>
      </w:r>
      <w:r w:rsidR="00453944">
        <w:rPr>
          <w:lang w:val="fr-FR"/>
        </w:rPr>
        <w:t> </w:t>
      </w:r>
      <w:r w:rsidRPr="00EF3FFE">
        <w:rPr>
          <w:lang w:val="fr-FR"/>
        </w:rPr>
        <w:t>:</w:t>
      </w:r>
    </w:p>
    <w:p w:rsidR="00472E5E" w:rsidRPr="00EF3FFE" w:rsidRDefault="00472E5E" w:rsidP="00453944">
      <w:pPr>
        <w:pStyle w:val="SingleTxtG"/>
        <w:tabs>
          <w:tab w:val="left" w:pos="2268"/>
        </w:tabs>
        <w:rPr>
          <w:lang w:val="fr-FR"/>
        </w:rPr>
      </w:pPr>
      <w:bookmarkStart w:id="1" w:name="A0_S6_4_"/>
      <w:r w:rsidRPr="00EF3FFE">
        <w:rPr>
          <w:lang w:val="fr-FR"/>
        </w:rPr>
        <w:t>6.4</w:t>
      </w:r>
      <w:bookmarkEnd w:id="1"/>
      <w:r w:rsidRPr="00EF3FFE">
        <w:rPr>
          <w:lang w:val="fr-FR"/>
        </w:rPr>
        <w:tab/>
        <w:t>Essuie-glaces</w:t>
      </w:r>
    </w:p>
    <w:p w:rsidR="00472E5E" w:rsidRPr="00EF3FFE" w:rsidRDefault="00472E5E" w:rsidP="00453944">
      <w:pPr>
        <w:pStyle w:val="SingleTxtG"/>
        <w:tabs>
          <w:tab w:val="left" w:pos="2268"/>
        </w:tabs>
        <w:ind w:left="2268" w:hanging="1134"/>
        <w:rPr>
          <w:lang w:val="fr-FR"/>
        </w:rPr>
      </w:pPr>
      <w:r w:rsidRPr="00EF3FFE">
        <w:rPr>
          <w:lang w:val="fr-FR"/>
        </w:rPr>
        <w:t>6.4.1</w:t>
      </w:r>
      <w:r w:rsidRPr="00EF3FFE">
        <w:rPr>
          <w:lang w:val="fr-FR"/>
        </w:rPr>
        <w:tab/>
      </w:r>
      <w:r w:rsidRPr="00EF3FFE">
        <w:t>Les balais d’essuie-glaces doivent être fixés de telle façon que l’axe</w:t>
      </w:r>
      <w:r w:rsidRPr="00EF3FFE">
        <w:rPr>
          <w:lang w:val="fr-FR"/>
        </w:rPr>
        <w:t xml:space="preserve"> </w:t>
      </w:r>
      <w:r w:rsidRPr="00453944">
        <w:rPr>
          <w:b/>
          <w:lang w:val="fr-FR"/>
        </w:rPr>
        <w:t>(numéro</w:t>
      </w:r>
      <w:r w:rsidR="00453944">
        <w:rPr>
          <w:b/>
          <w:lang w:val="fr-FR"/>
        </w:rPr>
        <w:t> </w:t>
      </w:r>
      <w:r w:rsidRPr="00453944">
        <w:rPr>
          <w:b/>
          <w:lang w:val="fr-FR"/>
        </w:rPr>
        <w:t>1 de la figure</w:t>
      </w:r>
      <w:r w:rsidR="00453944">
        <w:rPr>
          <w:b/>
          <w:lang w:val="fr-FR"/>
        </w:rPr>
        <w:t> </w:t>
      </w:r>
      <w:r w:rsidRPr="00453944">
        <w:rPr>
          <w:b/>
          <w:lang w:val="fr-FR"/>
        </w:rPr>
        <w:t>0)</w:t>
      </w:r>
      <w:r w:rsidRPr="00EF3FFE">
        <w:rPr>
          <w:lang w:val="fr-FR"/>
        </w:rPr>
        <w:t xml:space="preserve"> </w:t>
      </w:r>
      <w:r w:rsidRPr="00EF3FFE">
        <w:t xml:space="preserve">soit recouvert d’une protection </w:t>
      </w:r>
      <w:r w:rsidRPr="00453944">
        <w:rPr>
          <w:b/>
          <w:lang w:val="fr-FR"/>
        </w:rPr>
        <w:t>(numéro</w:t>
      </w:r>
      <w:r w:rsidR="00453944">
        <w:rPr>
          <w:b/>
          <w:lang w:val="fr-FR"/>
        </w:rPr>
        <w:t> </w:t>
      </w:r>
      <w:r w:rsidRPr="00453944">
        <w:rPr>
          <w:b/>
          <w:lang w:val="fr-FR"/>
        </w:rPr>
        <w:t>1.1 de la figure</w:t>
      </w:r>
      <w:r w:rsidR="00453944">
        <w:rPr>
          <w:b/>
          <w:lang w:val="fr-FR"/>
        </w:rPr>
        <w:t> </w:t>
      </w:r>
      <w:r w:rsidRPr="00453944">
        <w:rPr>
          <w:b/>
          <w:lang w:val="fr-FR"/>
        </w:rPr>
        <w:t>0)</w:t>
      </w:r>
      <w:r w:rsidRPr="00EF3FFE">
        <w:rPr>
          <w:lang w:val="fr-FR"/>
        </w:rPr>
        <w:t xml:space="preserve"> </w:t>
      </w:r>
      <w:r w:rsidRPr="00EF3FFE">
        <w:t>ayant un rayon de courbure satisfaisant à la prescription du paragraphe 5.4 et un embout d’au moins 150 mm</w:t>
      </w:r>
      <w:r w:rsidRPr="00EF3FFE">
        <w:rPr>
          <w:vertAlign w:val="superscript"/>
        </w:rPr>
        <w:t>2</w:t>
      </w:r>
      <w:r w:rsidRPr="00EF3FFE">
        <w:t xml:space="preserve"> de surface. </w:t>
      </w:r>
      <w:r w:rsidRPr="00453944">
        <w:rPr>
          <w:b/>
          <w:lang w:val="fr-FR"/>
        </w:rPr>
        <w:t>Les différentes parties du bras (base, corps et extension, c’est-à-dire les numéros</w:t>
      </w:r>
      <w:r w:rsidR="00453944">
        <w:rPr>
          <w:b/>
          <w:lang w:val="fr-FR"/>
        </w:rPr>
        <w:t> </w:t>
      </w:r>
      <w:r w:rsidRPr="00453944">
        <w:rPr>
          <w:b/>
          <w:lang w:val="fr-FR"/>
        </w:rPr>
        <w:t>2, 2.1 et 2.2 de la figure 0) doivent avoir un rayon de courbure satisfaisant aux prescriptions du paragraphe</w:t>
      </w:r>
      <w:r w:rsidR="00453944">
        <w:rPr>
          <w:b/>
          <w:lang w:val="fr-FR"/>
        </w:rPr>
        <w:t> </w:t>
      </w:r>
      <w:r w:rsidRPr="00453944">
        <w:rPr>
          <w:b/>
          <w:lang w:val="fr-FR"/>
        </w:rPr>
        <w:t>5.4.</w:t>
      </w:r>
      <w:r w:rsidRPr="00EF3FFE">
        <w:rPr>
          <w:lang w:val="fr-FR"/>
        </w:rPr>
        <w:t xml:space="preserve"> </w:t>
      </w:r>
      <w:r w:rsidRPr="00EF3FFE">
        <w:t>Dans le cas de protections arrondies, cette surface, projetée sur un plan dont la distance par rapport au point le plus saillant ne doit pas dépasser 6,5 mm, doit être d’au moins 150 mm</w:t>
      </w:r>
      <w:r w:rsidRPr="00EF3FFE">
        <w:rPr>
          <w:vertAlign w:val="superscript"/>
        </w:rPr>
        <w:t>2</w:t>
      </w:r>
      <w:r w:rsidRPr="00EF3FFE">
        <w:rPr>
          <w:lang w:val="fr-FR"/>
        </w:rPr>
        <w:t xml:space="preserve">. </w:t>
      </w:r>
      <w:r w:rsidRPr="00EF3FFE">
        <w:t>Les essuie-glaces arrière et les essuie-glaces de projecteurs doivent répondre à ces mêmes spécifications.</w:t>
      </w:r>
    </w:p>
    <w:p w:rsidR="00472E5E" w:rsidRPr="00EF3FFE" w:rsidRDefault="00472E5E" w:rsidP="00453944">
      <w:pPr>
        <w:pStyle w:val="SingleTxtG"/>
        <w:tabs>
          <w:tab w:val="left" w:pos="2268"/>
        </w:tabs>
        <w:ind w:left="2268" w:hanging="1134"/>
        <w:rPr>
          <w:lang w:val="fr-FR"/>
        </w:rPr>
      </w:pPr>
      <w:bookmarkStart w:id="2" w:name="A0_S6_4_2_"/>
      <w:r w:rsidRPr="00EF3FFE">
        <w:rPr>
          <w:lang w:val="fr-FR"/>
        </w:rPr>
        <w:t>6.4.2</w:t>
      </w:r>
      <w:bookmarkEnd w:id="2"/>
      <w:r w:rsidRPr="00EF3FFE">
        <w:rPr>
          <w:lang w:val="fr-FR"/>
        </w:rPr>
        <w:tab/>
        <w:t>Le paragraphe</w:t>
      </w:r>
      <w:r w:rsidR="00453944">
        <w:rPr>
          <w:lang w:val="fr-FR"/>
        </w:rPr>
        <w:t> </w:t>
      </w:r>
      <w:hyperlink r:id="rId8" w:anchor="A0_S5_4_" w:history="1">
        <w:r w:rsidRPr="00EF3FFE">
          <w:rPr>
            <w:lang w:val="fr-FR"/>
          </w:rPr>
          <w:t>5.4</w:t>
        </w:r>
      </w:hyperlink>
      <w:r w:rsidRPr="00EF3FFE">
        <w:rPr>
          <w:lang w:val="fr-FR"/>
        </w:rPr>
        <w:t xml:space="preserve"> ne s’applique ni aux balais </w:t>
      </w:r>
      <w:r w:rsidRPr="00453944">
        <w:rPr>
          <w:b/>
          <w:lang w:val="fr-FR"/>
        </w:rPr>
        <w:t>(numéro</w:t>
      </w:r>
      <w:r w:rsidR="00453944">
        <w:rPr>
          <w:b/>
          <w:lang w:val="fr-FR"/>
        </w:rPr>
        <w:t> </w:t>
      </w:r>
      <w:r w:rsidRPr="00453944">
        <w:rPr>
          <w:b/>
          <w:lang w:val="fr-FR"/>
        </w:rPr>
        <w:t>4 de la figure</w:t>
      </w:r>
      <w:r w:rsidR="00453944">
        <w:rPr>
          <w:b/>
          <w:lang w:val="fr-FR"/>
        </w:rPr>
        <w:t> </w:t>
      </w:r>
      <w:r w:rsidRPr="00453944">
        <w:rPr>
          <w:b/>
          <w:lang w:val="fr-FR"/>
        </w:rPr>
        <w:t>0),</w:t>
      </w:r>
      <w:r w:rsidRPr="00EF3FFE">
        <w:rPr>
          <w:lang w:val="fr-FR"/>
        </w:rPr>
        <w:t xml:space="preserve"> ni</w:t>
      </w:r>
      <w:r w:rsidRPr="00EF3FFE">
        <w:rPr>
          <w:strike/>
          <w:lang w:val="fr-FR"/>
        </w:rPr>
        <w:t xml:space="preserve"> </w:t>
      </w:r>
      <w:r w:rsidRPr="00EF3FFE">
        <w:rPr>
          <w:lang w:val="fr-FR"/>
        </w:rPr>
        <w:t xml:space="preserve">aux éléments du support </w:t>
      </w:r>
      <w:r w:rsidRPr="00453944">
        <w:rPr>
          <w:b/>
          <w:lang w:val="fr-FR"/>
        </w:rPr>
        <w:t>(numéro</w:t>
      </w:r>
      <w:r w:rsidR="00453944">
        <w:rPr>
          <w:b/>
          <w:lang w:val="fr-FR"/>
        </w:rPr>
        <w:t> </w:t>
      </w:r>
      <w:r w:rsidRPr="00453944">
        <w:rPr>
          <w:b/>
          <w:lang w:val="fr-FR"/>
        </w:rPr>
        <w:t>3 de la figure</w:t>
      </w:r>
      <w:r w:rsidR="00453944">
        <w:rPr>
          <w:b/>
          <w:lang w:val="fr-FR"/>
        </w:rPr>
        <w:t> </w:t>
      </w:r>
      <w:r w:rsidRPr="00453944">
        <w:rPr>
          <w:b/>
          <w:lang w:val="fr-FR"/>
        </w:rPr>
        <w:t>0), ni à la charnière reliant la base et le corps du bras</w:t>
      </w:r>
      <w:r w:rsidRPr="00EF3FFE">
        <w:rPr>
          <w:lang w:val="fr-FR"/>
        </w:rPr>
        <w:t>. Cependant, ces éléments ne doivent présenter ni angles vifs, ni parties tranchantes ou pointues.</w:t>
      </w:r>
    </w:p>
    <w:p w:rsidR="00453944" w:rsidRPr="00453944" w:rsidRDefault="00472E5E" w:rsidP="00453944">
      <w:pPr>
        <w:pStyle w:val="Heading1"/>
        <w:rPr>
          <w:b/>
          <w:lang w:val="fr-FR"/>
        </w:rPr>
      </w:pPr>
      <w:r w:rsidRPr="00453944">
        <w:rPr>
          <w:b/>
          <w:lang w:val="fr-FR"/>
        </w:rPr>
        <w:t>Figure 0</w:t>
      </w:r>
    </w:p>
    <w:p w:rsidR="00472E5E" w:rsidRPr="00453944" w:rsidRDefault="00472E5E" w:rsidP="00453944">
      <w:pPr>
        <w:pStyle w:val="Heading1"/>
        <w:spacing w:after="120"/>
        <w:rPr>
          <w:b/>
          <w:lang w:val="fr-FR"/>
        </w:rPr>
      </w:pPr>
      <w:r w:rsidRPr="00453944">
        <w:rPr>
          <w:b/>
          <w:lang w:val="fr-FR"/>
        </w:rPr>
        <w:t>Exemple de disposition des éléments</w:t>
      </w:r>
    </w:p>
    <w:p w:rsidR="00472E5E" w:rsidRPr="00EF3FFE" w:rsidRDefault="00472E5E" w:rsidP="00621E5C">
      <w:pPr>
        <w:ind w:left="1134"/>
        <w:rPr>
          <w:rFonts w:eastAsia="MS Mincho"/>
          <w:lang w:val="fr-FR"/>
        </w:rPr>
      </w:pPr>
      <w:r w:rsidRPr="00EF3FFE">
        <w:rPr>
          <w:noProof/>
          <w:lang w:eastAsia="fr-CH"/>
        </w:rPr>
        <w:drawing>
          <wp:inline distT="0" distB="0" distL="0" distR="0" wp14:anchorId="5C410D7D" wp14:editId="46AF5418">
            <wp:extent cx="4774019" cy="2694827"/>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0697" cy="2698597"/>
                    </a:xfrm>
                    <a:prstGeom prst="rect">
                      <a:avLst/>
                    </a:prstGeom>
                  </pic:spPr>
                </pic:pic>
              </a:graphicData>
            </a:graphic>
          </wp:inline>
        </w:drawing>
      </w:r>
    </w:p>
    <w:p w:rsidR="00472E5E" w:rsidRPr="00621E5C" w:rsidRDefault="00472E5E" w:rsidP="00621E5C">
      <w:pPr>
        <w:pStyle w:val="SingleTxtG"/>
        <w:rPr>
          <w:b/>
          <w:lang w:val="fr-FR"/>
        </w:rPr>
      </w:pPr>
      <w:r w:rsidRPr="00621E5C">
        <w:rPr>
          <w:b/>
          <w:lang w:val="fr-FR"/>
        </w:rPr>
        <w:t xml:space="preserve">1 </w:t>
      </w:r>
      <w:r w:rsidR="00621E5C">
        <w:rPr>
          <w:b/>
          <w:lang w:val="fr-FR"/>
        </w:rPr>
        <w:t>−</w:t>
      </w:r>
      <w:r w:rsidRPr="00621E5C">
        <w:rPr>
          <w:b/>
          <w:lang w:val="fr-FR"/>
        </w:rPr>
        <w:t xml:space="preserve"> Axe</w:t>
      </w:r>
    </w:p>
    <w:p w:rsidR="00472E5E" w:rsidRPr="00621E5C" w:rsidRDefault="00472E5E" w:rsidP="00621E5C">
      <w:pPr>
        <w:pStyle w:val="SingleTxtG"/>
        <w:rPr>
          <w:b/>
          <w:lang w:val="fr-FR"/>
        </w:rPr>
      </w:pPr>
      <w:r w:rsidRPr="00621E5C">
        <w:rPr>
          <w:b/>
          <w:lang w:val="fr-FR"/>
        </w:rPr>
        <w:t xml:space="preserve">1.1 </w:t>
      </w:r>
      <w:r w:rsidR="00621E5C">
        <w:rPr>
          <w:b/>
          <w:lang w:val="fr-FR"/>
        </w:rPr>
        <w:t>−</w:t>
      </w:r>
      <w:r w:rsidRPr="00621E5C">
        <w:rPr>
          <w:b/>
          <w:lang w:val="fr-FR"/>
        </w:rPr>
        <w:t xml:space="preserve"> Protection</w:t>
      </w:r>
    </w:p>
    <w:p w:rsidR="00472E5E" w:rsidRPr="00621E5C" w:rsidRDefault="00472E5E" w:rsidP="00621E5C">
      <w:pPr>
        <w:pStyle w:val="SingleTxtG"/>
        <w:rPr>
          <w:b/>
          <w:lang w:val="fr-FR"/>
        </w:rPr>
      </w:pPr>
      <w:r w:rsidRPr="00621E5C">
        <w:rPr>
          <w:b/>
          <w:lang w:val="fr-FR"/>
        </w:rPr>
        <w:t xml:space="preserve">2 </w:t>
      </w:r>
      <w:r w:rsidR="00621E5C">
        <w:rPr>
          <w:b/>
          <w:lang w:val="fr-FR"/>
        </w:rPr>
        <w:t>−</w:t>
      </w:r>
      <w:r w:rsidRPr="00621E5C">
        <w:rPr>
          <w:b/>
          <w:lang w:val="fr-FR"/>
        </w:rPr>
        <w:t xml:space="preserve"> Base du bras</w:t>
      </w:r>
    </w:p>
    <w:p w:rsidR="00472E5E" w:rsidRPr="00621E5C" w:rsidRDefault="00472E5E" w:rsidP="00621E5C">
      <w:pPr>
        <w:pStyle w:val="SingleTxtG"/>
        <w:rPr>
          <w:b/>
          <w:lang w:val="fr-FR"/>
        </w:rPr>
      </w:pPr>
      <w:r w:rsidRPr="00621E5C">
        <w:rPr>
          <w:b/>
          <w:lang w:val="fr-FR"/>
        </w:rPr>
        <w:t xml:space="preserve">2.1 </w:t>
      </w:r>
      <w:r w:rsidR="00621E5C">
        <w:rPr>
          <w:b/>
          <w:lang w:val="fr-FR"/>
        </w:rPr>
        <w:t>−</w:t>
      </w:r>
      <w:r w:rsidRPr="00621E5C">
        <w:rPr>
          <w:b/>
          <w:lang w:val="fr-FR"/>
        </w:rPr>
        <w:t xml:space="preserve"> Corps du bras</w:t>
      </w:r>
    </w:p>
    <w:p w:rsidR="00472E5E" w:rsidRPr="00621E5C" w:rsidRDefault="00472E5E" w:rsidP="00621E5C">
      <w:pPr>
        <w:pStyle w:val="SingleTxtG"/>
        <w:rPr>
          <w:b/>
          <w:lang w:val="fr-FR"/>
        </w:rPr>
      </w:pPr>
      <w:r w:rsidRPr="00621E5C">
        <w:rPr>
          <w:b/>
          <w:lang w:val="fr-FR"/>
        </w:rPr>
        <w:t xml:space="preserve">2.2 </w:t>
      </w:r>
      <w:r w:rsidR="00621E5C">
        <w:rPr>
          <w:b/>
          <w:lang w:val="fr-FR"/>
        </w:rPr>
        <w:t>−</w:t>
      </w:r>
      <w:r w:rsidRPr="00621E5C">
        <w:rPr>
          <w:b/>
          <w:lang w:val="fr-FR"/>
        </w:rPr>
        <w:t xml:space="preserve"> Extension</w:t>
      </w:r>
    </w:p>
    <w:p w:rsidR="00472E5E" w:rsidRPr="00621E5C" w:rsidRDefault="00472E5E" w:rsidP="00621E5C">
      <w:pPr>
        <w:pStyle w:val="SingleTxtG"/>
        <w:rPr>
          <w:b/>
          <w:lang w:val="fr-FR"/>
        </w:rPr>
      </w:pPr>
      <w:r w:rsidRPr="00621E5C">
        <w:rPr>
          <w:b/>
          <w:lang w:val="fr-FR"/>
        </w:rPr>
        <w:t xml:space="preserve">3 </w:t>
      </w:r>
      <w:r w:rsidR="00621E5C">
        <w:rPr>
          <w:b/>
          <w:lang w:val="fr-FR"/>
        </w:rPr>
        <w:t>−</w:t>
      </w:r>
      <w:r w:rsidRPr="00621E5C">
        <w:rPr>
          <w:b/>
          <w:lang w:val="fr-FR"/>
        </w:rPr>
        <w:t xml:space="preserve"> Éléments du support</w:t>
      </w:r>
    </w:p>
    <w:p w:rsidR="00472E5E" w:rsidRPr="00621E5C" w:rsidRDefault="00472E5E" w:rsidP="00621E5C">
      <w:pPr>
        <w:pStyle w:val="SingleTxtG"/>
        <w:rPr>
          <w:b/>
          <w:lang w:val="fr-FR"/>
        </w:rPr>
      </w:pPr>
      <w:r w:rsidRPr="00621E5C">
        <w:rPr>
          <w:b/>
          <w:lang w:val="fr-FR"/>
        </w:rPr>
        <w:t xml:space="preserve">4 </w:t>
      </w:r>
      <w:r w:rsidR="00621E5C">
        <w:rPr>
          <w:b/>
          <w:lang w:val="fr-FR"/>
        </w:rPr>
        <w:t>−</w:t>
      </w:r>
      <w:r w:rsidRPr="00621E5C">
        <w:rPr>
          <w:b/>
          <w:lang w:val="fr-FR"/>
        </w:rPr>
        <w:t xml:space="preserve"> Balais</w:t>
      </w:r>
    </w:p>
    <w:p w:rsidR="00472E5E" w:rsidRPr="00EF3FFE" w:rsidRDefault="00472E5E" w:rsidP="00621E5C">
      <w:pPr>
        <w:pStyle w:val="HChG"/>
        <w:rPr>
          <w:lang w:val="fr-FR"/>
        </w:rPr>
      </w:pPr>
      <w:r w:rsidRPr="00EF3FFE">
        <w:rPr>
          <w:lang w:val="fr-FR"/>
        </w:rPr>
        <w:br w:type="page"/>
      </w:r>
      <w:r w:rsidRPr="00EF3FFE">
        <w:rPr>
          <w:lang w:val="fr-FR"/>
        </w:rPr>
        <w:lastRenderedPageBreak/>
        <w:tab/>
        <w:t>II.</w:t>
      </w:r>
      <w:r w:rsidRPr="00EF3FFE">
        <w:rPr>
          <w:lang w:val="fr-FR"/>
        </w:rPr>
        <w:tab/>
        <w:t>Justification</w:t>
      </w:r>
    </w:p>
    <w:p w:rsidR="00F9573C" w:rsidRDefault="00472E5E" w:rsidP="00621E5C">
      <w:pPr>
        <w:pStyle w:val="SingleTxtG"/>
        <w:ind w:firstLine="567"/>
        <w:rPr>
          <w:lang w:val="fr-FR"/>
        </w:rPr>
      </w:pPr>
      <w:r w:rsidRPr="00EF3FFE">
        <w:t>Afin d’éviter tout malentendu en ce qui concerne les prescriptions s’appliquant aux différentes parties de l’essuie-glace, un simple schéma représentant les éléments concernés semble le meilleur moyen de garantir une application cohérente</w:t>
      </w:r>
      <w:r w:rsidRPr="00EF3FFE">
        <w:rPr>
          <w:lang w:val="fr-FR"/>
        </w:rPr>
        <w:t>. Les prescriptions géométriques ne sont applicables qu’aux éléments susceptibles d’être touchés (règle de la sphère).</w:t>
      </w:r>
    </w:p>
    <w:p w:rsidR="00621E5C" w:rsidRPr="00621E5C" w:rsidRDefault="00621E5C" w:rsidP="00621E5C">
      <w:pPr>
        <w:pStyle w:val="SingleTxtG"/>
        <w:spacing w:before="240" w:after="0"/>
        <w:jc w:val="center"/>
        <w:rPr>
          <w:u w:val="single"/>
        </w:rPr>
      </w:pPr>
      <w:r>
        <w:rPr>
          <w:u w:val="single"/>
        </w:rPr>
        <w:tab/>
      </w:r>
      <w:r>
        <w:rPr>
          <w:u w:val="single"/>
        </w:rPr>
        <w:tab/>
      </w:r>
      <w:r>
        <w:rPr>
          <w:u w:val="single"/>
        </w:rPr>
        <w:tab/>
      </w:r>
    </w:p>
    <w:sectPr w:rsidR="00621E5C" w:rsidRPr="00621E5C" w:rsidSect="00472E5E">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40" w:rsidRDefault="00F13E40" w:rsidP="00F95C08">
      <w:pPr>
        <w:spacing w:line="240" w:lineRule="auto"/>
      </w:pPr>
    </w:p>
  </w:endnote>
  <w:endnote w:type="continuationSeparator" w:id="0">
    <w:p w:rsidR="00F13E40" w:rsidRPr="00AC3823" w:rsidRDefault="00F13E40" w:rsidP="00AC3823">
      <w:pPr>
        <w:pStyle w:val="Footer"/>
      </w:pPr>
    </w:p>
  </w:endnote>
  <w:endnote w:type="continuationNotice" w:id="1">
    <w:p w:rsidR="00F13E40" w:rsidRDefault="00F13E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5E" w:rsidRPr="00472E5E" w:rsidRDefault="00472E5E" w:rsidP="00472E5E">
    <w:pPr>
      <w:pStyle w:val="Footer"/>
      <w:tabs>
        <w:tab w:val="right" w:pos="9638"/>
      </w:tabs>
    </w:pPr>
    <w:r w:rsidRPr="00472E5E">
      <w:rPr>
        <w:b/>
        <w:sz w:val="18"/>
      </w:rPr>
      <w:fldChar w:fldCharType="begin"/>
    </w:r>
    <w:r w:rsidRPr="00472E5E">
      <w:rPr>
        <w:b/>
        <w:sz w:val="18"/>
      </w:rPr>
      <w:instrText xml:space="preserve"> PAGE  \* MERGEFORMAT </w:instrText>
    </w:r>
    <w:r w:rsidRPr="00472E5E">
      <w:rPr>
        <w:b/>
        <w:sz w:val="18"/>
      </w:rPr>
      <w:fldChar w:fldCharType="separate"/>
    </w:r>
    <w:r w:rsidRPr="00472E5E">
      <w:rPr>
        <w:b/>
        <w:noProof/>
        <w:sz w:val="18"/>
      </w:rPr>
      <w:t>2</w:t>
    </w:r>
    <w:r w:rsidRPr="00472E5E">
      <w:rPr>
        <w:b/>
        <w:sz w:val="18"/>
      </w:rPr>
      <w:fldChar w:fldCharType="end"/>
    </w:r>
    <w:r>
      <w:rPr>
        <w:b/>
        <w:sz w:val="18"/>
      </w:rPr>
      <w:tab/>
    </w:r>
    <w:r>
      <w:t>GE.19-00447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5E" w:rsidRPr="00472E5E" w:rsidRDefault="00472E5E" w:rsidP="00472E5E">
    <w:pPr>
      <w:pStyle w:val="Footer"/>
      <w:tabs>
        <w:tab w:val="right" w:pos="9638"/>
      </w:tabs>
      <w:rPr>
        <w:b/>
        <w:sz w:val="18"/>
      </w:rPr>
    </w:pPr>
    <w:r>
      <w:t>GE.19-00447</w:t>
    </w:r>
    <w:r>
      <w:tab/>
    </w:r>
    <w:r w:rsidRPr="00472E5E">
      <w:rPr>
        <w:b/>
        <w:sz w:val="18"/>
      </w:rPr>
      <w:fldChar w:fldCharType="begin"/>
    </w:r>
    <w:r w:rsidRPr="00472E5E">
      <w:rPr>
        <w:b/>
        <w:sz w:val="18"/>
      </w:rPr>
      <w:instrText xml:space="preserve"> PAGE  \* MERGEFORMAT </w:instrText>
    </w:r>
    <w:r w:rsidRPr="00472E5E">
      <w:rPr>
        <w:b/>
        <w:sz w:val="18"/>
      </w:rPr>
      <w:fldChar w:fldCharType="separate"/>
    </w:r>
    <w:r w:rsidRPr="00472E5E">
      <w:rPr>
        <w:b/>
        <w:noProof/>
        <w:sz w:val="18"/>
      </w:rPr>
      <w:t>3</w:t>
    </w:r>
    <w:r w:rsidRPr="00472E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72E5E" w:rsidRDefault="00472E5E" w:rsidP="00472E5E">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00447  (</w:t>
    </w:r>
    <w:proofErr w:type="gramEnd"/>
    <w:r>
      <w:rPr>
        <w:sz w:val="20"/>
      </w:rPr>
      <w:t>F)    120219    140219</w:t>
    </w:r>
    <w:r>
      <w:rPr>
        <w:sz w:val="20"/>
      </w:rPr>
      <w:br/>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sidRPr="00472E5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40" w:rsidRPr="00AC3823" w:rsidRDefault="00F13E40" w:rsidP="00AC3823">
      <w:pPr>
        <w:pStyle w:val="Footer"/>
        <w:tabs>
          <w:tab w:val="right" w:pos="2155"/>
        </w:tabs>
        <w:spacing w:after="80" w:line="240" w:lineRule="atLeast"/>
        <w:ind w:left="680"/>
        <w:rPr>
          <w:u w:val="single"/>
        </w:rPr>
      </w:pPr>
      <w:r>
        <w:rPr>
          <w:u w:val="single"/>
        </w:rPr>
        <w:tab/>
      </w:r>
    </w:p>
  </w:footnote>
  <w:footnote w:type="continuationSeparator" w:id="0">
    <w:p w:rsidR="00F13E40" w:rsidRPr="00AC3823" w:rsidRDefault="00F13E40" w:rsidP="00AC3823">
      <w:pPr>
        <w:pStyle w:val="Footer"/>
        <w:tabs>
          <w:tab w:val="right" w:pos="2155"/>
        </w:tabs>
        <w:spacing w:after="80" w:line="240" w:lineRule="atLeast"/>
        <w:ind w:left="680"/>
        <w:rPr>
          <w:u w:val="single"/>
        </w:rPr>
      </w:pPr>
      <w:r>
        <w:rPr>
          <w:u w:val="single"/>
        </w:rPr>
        <w:tab/>
      </w:r>
    </w:p>
  </w:footnote>
  <w:footnote w:type="continuationNotice" w:id="1">
    <w:p w:rsidR="00F13E40" w:rsidRPr="00AC3823" w:rsidRDefault="00F13E40">
      <w:pPr>
        <w:spacing w:line="240" w:lineRule="auto"/>
        <w:rPr>
          <w:sz w:val="2"/>
          <w:szCs w:val="2"/>
        </w:rPr>
      </w:pPr>
    </w:p>
  </w:footnote>
  <w:footnote w:id="2">
    <w:p w:rsidR="00472E5E" w:rsidRPr="00472E5E" w:rsidRDefault="00472E5E">
      <w:pPr>
        <w:pStyle w:val="FootnoteText"/>
      </w:pPr>
      <w:r>
        <w:rPr>
          <w:rStyle w:val="FootnoteReference"/>
        </w:rPr>
        <w:tab/>
      </w:r>
      <w:r w:rsidRPr="00472E5E">
        <w:rPr>
          <w:rStyle w:val="FootnoteReference"/>
          <w:sz w:val="20"/>
          <w:vertAlign w:val="baseline"/>
        </w:rPr>
        <w:t>*</w:t>
      </w:r>
      <w:r>
        <w:rPr>
          <w:rStyle w:val="FootnoteReference"/>
          <w:sz w:val="20"/>
          <w:vertAlign w:val="baseline"/>
        </w:rPr>
        <w:tab/>
      </w:r>
      <w:r w:rsidRPr="00564DE5">
        <w:t>Conformément au programme de travail du Comité des transports intérieurs pour la période 2018</w:t>
      </w:r>
      <w:r>
        <w:noBreakHyphen/>
      </w:r>
      <w:r w:rsidRPr="00564DE5">
        <w:t>2019 (ECE/TRANS/274, par.</w:t>
      </w:r>
      <w:r>
        <w:t> </w:t>
      </w:r>
      <w:r w:rsidRPr="00564DE5">
        <w:t>123, et ECE/TRANS/2018/21/Add.1, module 3.1), le Forum mondial a pour mission d’élaborer, d’harmoniser et de mettre à jour les Règlements ONU en vue d’améliorer les caractéristiques fonctionnelles des véhicules.</w:t>
      </w:r>
      <w: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5E" w:rsidRPr="00472E5E" w:rsidRDefault="00CD7FFA">
    <w:pPr>
      <w:pStyle w:val="Header"/>
    </w:pPr>
    <w:r>
      <w:fldChar w:fldCharType="begin"/>
    </w:r>
    <w:r>
      <w:instrText xml:space="preserve"> TITLE  \* MERGEFORMAT </w:instrText>
    </w:r>
    <w:r>
      <w:fldChar w:fldCharType="separate"/>
    </w:r>
    <w:r w:rsidR="008B29C8">
      <w:t>ECE/TRANS/WP.29/GRSG/2019/11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E5E" w:rsidRPr="00472E5E" w:rsidRDefault="00CD7FFA" w:rsidP="00472E5E">
    <w:pPr>
      <w:pStyle w:val="Header"/>
      <w:jc w:val="right"/>
    </w:pPr>
    <w:r>
      <w:fldChar w:fldCharType="begin"/>
    </w:r>
    <w:r>
      <w:instrText xml:space="preserve"> TITLE  \* MERGEFORMAT </w:instrText>
    </w:r>
    <w:r>
      <w:fldChar w:fldCharType="separate"/>
    </w:r>
    <w:r w:rsidR="008B29C8">
      <w:t>ECE/TRANS/WP.29/GRSG/2019/11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4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53944"/>
    <w:rsid w:val="00472E5E"/>
    <w:rsid w:val="004837D8"/>
    <w:rsid w:val="004E2EED"/>
    <w:rsid w:val="004E468C"/>
    <w:rsid w:val="005505B7"/>
    <w:rsid w:val="00573BE5"/>
    <w:rsid w:val="00586ED3"/>
    <w:rsid w:val="00596AA9"/>
    <w:rsid w:val="00621E5C"/>
    <w:rsid w:val="0071601D"/>
    <w:rsid w:val="007327B9"/>
    <w:rsid w:val="007A62E6"/>
    <w:rsid w:val="007F20FA"/>
    <w:rsid w:val="0080684C"/>
    <w:rsid w:val="00871C75"/>
    <w:rsid w:val="00875F62"/>
    <w:rsid w:val="008776DC"/>
    <w:rsid w:val="008B29C8"/>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D7FFA"/>
    <w:rsid w:val="00D3439C"/>
    <w:rsid w:val="00DB1831"/>
    <w:rsid w:val="00DD3BFD"/>
    <w:rsid w:val="00DF6678"/>
    <w:rsid w:val="00E0299A"/>
    <w:rsid w:val="00E85C74"/>
    <w:rsid w:val="00EA6547"/>
    <w:rsid w:val="00EF2E22"/>
    <w:rsid w:val="00F13E4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036582-6270-457E-AE5C-E2B1EBA9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eonline.utac.com/fr/document/show/document_id/40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ECE/TRANS/WP.29/GRSG/2019/11</vt:lpstr>
      <vt:lpstr>ECE/TRANS/WP.29/GRSG/2019/11</vt:lpstr>
    </vt:vector>
  </TitlesOfParts>
  <Company>DCM</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ECE/TRANS/WP.29/GRSG/2019/11</dc:title>
  <dc:subject/>
  <dc:creator>Christine CHAUTAGNAT</dc:creator>
  <cp:keywords/>
  <cp:lastModifiedBy>Benedicte Boudol</cp:lastModifiedBy>
  <cp:revision>2</cp:revision>
  <cp:lastPrinted>2019-02-14T12:44:00Z</cp:lastPrinted>
  <dcterms:created xsi:type="dcterms:W3CDTF">2019-02-14T13:41:00Z</dcterms:created>
  <dcterms:modified xsi:type="dcterms:W3CDTF">2019-02-14T13:41:00Z</dcterms:modified>
</cp:coreProperties>
</file>