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0568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0568E" w:rsidP="0060568E">
            <w:pPr>
              <w:jc w:val="right"/>
            </w:pPr>
            <w:r w:rsidRPr="0060568E">
              <w:rPr>
                <w:sz w:val="40"/>
              </w:rPr>
              <w:t>ECE</w:t>
            </w:r>
            <w:r>
              <w:t>/TRANS/WP.29/GRSG/2019/5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0568E" w:rsidP="00C97039">
            <w:pPr>
              <w:spacing w:before="240"/>
            </w:pPr>
            <w:r>
              <w:t xml:space="preserve">Distr. </w:t>
            </w:r>
            <w:proofErr w:type="gramStart"/>
            <w:r>
              <w:t>générale</w:t>
            </w:r>
            <w:proofErr w:type="gramEnd"/>
          </w:p>
          <w:p w:rsidR="0060568E" w:rsidRDefault="0060568E" w:rsidP="0060568E">
            <w:pPr>
              <w:spacing w:line="240" w:lineRule="exact"/>
            </w:pPr>
            <w:r>
              <w:t>8 janvier 2019</w:t>
            </w:r>
          </w:p>
          <w:p w:rsidR="0060568E" w:rsidRDefault="0060568E" w:rsidP="0060568E">
            <w:pPr>
              <w:spacing w:line="240" w:lineRule="exact"/>
            </w:pPr>
            <w:r>
              <w:t>Français</w:t>
            </w:r>
          </w:p>
          <w:p w:rsidR="0060568E" w:rsidRPr="00DB58B5" w:rsidRDefault="0060568E" w:rsidP="0060568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C10AC" w:rsidRPr="005B11A6" w:rsidRDefault="005C10AC" w:rsidP="005B11A6">
      <w:pPr>
        <w:spacing w:before="120"/>
        <w:rPr>
          <w:b/>
          <w:sz w:val="24"/>
          <w:szCs w:val="24"/>
        </w:rPr>
      </w:pPr>
      <w:r w:rsidRPr="005B11A6">
        <w:rPr>
          <w:b/>
          <w:sz w:val="24"/>
          <w:szCs w:val="24"/>
          <w:lang w:val="fr-FR"/>
        </w:rPr>
        <w:t xml:space="preserve">Forum mondial de l’harmonisation des Règlements </w:t>
      </w:r>
      <w:r w:rsidR="005B11A6">
        <w:rPr>
          <w:b/>
          <w:sz w:val="24"/>
          <w:szCs w:val="24"/>
          <w:lang w:val="fr-FR"/>
        </w:rPr>
        <w:br/>
      </w:r>
      <w:r w:rsidRPr="005B11A6">
        <w:rPr>
          <w:b/>
          <w:sz w:val="24"/>
          <w:szCs w:val="24"/>
          <w:lang w:val="fr-FR"/>
        </w:rPr>
        <w:t>concernant les véhicules</w:t>
      </w:r>
    </w:p>
    <w:p w:rsidR="005C10AC" w:rsidRPr="005B11A6" w:rsidRDefault="005C10AC" w:rsidP="005B11A6">
      <w:pPr>
        <w:spacing w:before="120"/>
        <w:rPr>
          <w:b/>
        </w:rPr>
      </w:pPr>
      <w:r w:rsidRPr="005B11A6">
        <w:rPr>
          <w:b/>
          <w:lang w:val="fr-FR"/>
        </w:rPr>
        <w:t>Groupe de travail des dispositions générales de sécurité</w:t>
      </w:r>
    </w:p>
    <w:p w:rsidR="005C10AC" w:rsidRPr="005B11A6" w:rsidRDefault="005C10AC" w:rsidP="005B11A6">
      <w:pPr>
        <w:spacing w:before="120"/>
        <w:rPr>
          <w:b/>
        </w:rPr>
      </w:pPr>
      <w:r w:rsidRPr="005B11A6">
        <w:rPr>
          <w:b/>
          <w:lang w:val="fr-FR"/>
        </w:rPr>
        <w:t>116</w:t>
      </w:r>
      <w:r w:rsidRPr="005B11A6">
        <w:rPr>
          <w:b/>
          <w:vertAlign w:val="superscript"/>
          <w:lang w:val="fr-FR"/>
        </w:rPr>
        <w:t>e</w:t>
      </w:r>
      <w:r w:rsidR="005B11A6">
        <w:rPr>
          <w:b/>
          <w:lang w:val="fr-FR"/>
        </w:rPr>
        <w:t> </w:t>
      </w:r>
      <w:r w:rsidRPr="005B11A6">
        <w:rPr>
          <w:b/>
          <w:lang w:val="fr-FR"/>
        </w:rPr>
        <w:t>session</w:t>
      </w:r>
    </w:p>
    <w:p w:rsidR="005C10AC" w:rsidRPr="00DC2C32" w:rsidRDefault="005C10AC" w:rsidP="005C10AC">
      <w:r w:rsidRPr="00DC2C32">
        <w:rPr>
          <w:lang w:val="fr-FR"/>
        </w:rPr>
        <w:t>Genève, 1</w:t>
      </w:r>
      <w:r w:rsidR="005D19A5" w:rsidRPr="005D19A5">
        <w:rPr>
          <w:vertAlign w:val="superscript"/>
          <w:lang w:val="fr-FR"/>
        </w:rPr>
        <w:t>er</w:t>
      </w:r>
      <w:r w:rsidR="005D19A5">
        <w:rPr>
          <w:lang w:val="fr-FR"/>
        </w:rPr>
        <w:noBreakHyphen/>
      </w:r>
      <w:r w:rsidRPr="00DC2C32">
        <w:rPr>
          <w:lang w:val="fr-FR"/>
        </w:rPr>
        <w:t>5</w:t>
      </w:r>
      <w:r w:rsidR="005D19A5">
        <w:rPr>
          <w:lang w:val="fr-FR"/>
        </w:rPr>
        <w:t> </w:t>
      </w:r>
      <w:r w:rsidRPr="00DC2C32">
        <w:rPr>
          <w:lang w:val="fr-FR"/>
        </w:rPr>
        <w:t>avril 2019</w:t>
      </w:r>
    </w:p>
    <w:p w:rsidR="005C10AC" w:rsidRPr="00DC2C32" w:rsidRDefault="005C10AC" w:rsidP="005C10AC">
      <w:r w:rsidRPr="00DC2C32">
        <w:rPr>
          <w:lang w:val="fr-FR"/>
        </w:rPr>
        <w:t>Point</w:t>
      </w:r>
      <w:r w:rsidR="005D19A5">
        <w:rPr>
          <w:lang w:val="fr-FR"/>
        </w:rPr>
        <w:t> </w:t>
      </w:r>
      <w:r w:rsidRPr="00DC2C32">
        <w:rPr>
          <w:lang w:val="fr-FR"/>
        </w:rPr>
        <w:t>6</w:t>
      </w:r>
      <w:r w:rsidR="005D19A5">
        <w:rPr>
          <w:lang w:val="fr-FR"/>
        </w:rPr>
        <w:t> </w:t>
      </w:r>
      <w:r w:rsidRPr="00DC2C32">
        <w:rPr>
          <w:lang w:val="fr-FR"/>
        </w:rPr>
        <w:t>b) de l’ordre du jour provisoire</w:t>
      </w:r>
    </w:p>
    <w:p w:rsidR="005C10AC" w:rsidRPr="005D19A5" w:rsidRDefault="005C10AC" w:rsidP="005C10AC">
      <w:pPr>
        <w:rPr>
          <w:b/>
        </w:rPr>
      </w:pPr>
      <w:r w:rsidRPr="005D19A5">
        <w:rPr>
          <w:b/>
          <w:lang w:val="fr-FR"/>
        </w:rPr>
        <w:t>Amendements aux Règlements relatifs aux vitrages de sécurité</w:t>
      </w:r>
      <w:r w:rsidR="005D19A5">
        <w:rPr>
          <w:b/>
          <w:lang w:val="fr-FR"/>
        </w:rPr>
        <w:t> </w:t>
      </w:r>
      <w:r w:rsidRPr="005D19A5">
        <w:rPr>
          <w:b/>
          <w:lang w:val="fr-FR"/>
        </w:rPr>
        <w:t>:</w:t>
      </w:r>
    </w:p>
    <w:p w:rsidR="005C10AC" w:rsidRPr="005D19A5" w:rsidRDefault="005C10AC" w:rsidP="005C10AC">
      <w:pPr>
        <w:rPr>
          <w:b/>
        </w:rPr>
      </w:pPr>
      <w:r w:rsidRPr="005D19A5">
        <w:rPr>
          <w:b/>
          <w:lang w:val="fr-FR"/>
        </w:rPr>
        <w:t>Règlement ONU n</w:t>
      </w:r>
      <w:r w:rsidRPr="005D19A5">
        <w:rPr>
          <w:b/>
          <w:vertAlign w:val="superscript"/>
          <w:lang w:val="fr-FR"/>
        </w:rPr>
        <w:t>o</w:t>
      </w:r>
      <w:r w:rsidR="005D19A5">
        <w:rPr>
          <w:b/>
          <w:lang w:val="fr-FR"/>
        </w:rPr>
        <w:t> </w:t>
      </w:r>
      <w:r w:rsidRPr="005D19A5">
        <w:rPr>
          <w:b/>
          <w:lang w:val="fr-FR"/>
        </w:rPr>
        <w:t>43 (Vitrages de sécurité)</w:t>
      </w:r>
    </w:p>
    <w:p w:rsidR="005C10AC" w:rsidRPr="00DC2C32" w:rsidRDefault="005C10AC" w:rsidP="005D19A5">
      <w:pPr>
        <w:pStyle w:val="HChG"/>
      </w:pPr>
      <w:r w:rsidRPr="00DC2C32">
        <w:rPr>
          <w:lang w:val="fr-FR"/>
        </w:rPr>
        <w:tab/>
      </w:r>
      <w:r w:rsidRPr="00DC2C32">
        <w:rPr>
          <w:lang w:val="fr-FR"/>
        </w:rPr>
        <w:tab/>
        <w:t xml:space="preserve">Proposition de complément 9 à la série 01 d’amendements </w:t>
      </w:r>
      <w:r w:rsidR="005D19A5">
        <w:rPr>
          <w:lang w:val="fr-FR"/>
        </w:rPr>
        <w:br/>
      </w:r>
      <w:r w:rsidRPr="00DC2C32">
        <w:rPr>
          <w:lang w:val="fr-FR"/>
        </w:rPr>
        <w:t>au Règlement ONU n</w:t>
      </w:r>
      <w:r w:rsidRPr="00DC2C32">
        <w:rPr>
          <w:vertAlign w:val="superscript"/>
          <w:lang w:val="fr-FR"/>
        </w:rPr>
        <w:t>o</w:t>
      </w:r>
      <w:r w:rsidR="005D19A5">
        <w:rPr>
          <w:lang w:val="fr-FR"/>
        </w:rPr>
        <w:t> </w:t>
      </w:r>
      <w:r w:rsidRPr="00DC2C32">
        <w:rPr>
          <w:lang w:val="fr-FR"/>
        </w:rPr>
        <w:t>43 (Vitrages de sécurité)</w:t>
      </w:r>
    </w:p>
    <w:p w:rsidR="005C10AC" w:rsidRPr="00DC2C32" w:rsidRDefault="005D19A5" w:rsidP="005D19A5">
      <w:pPr>
        <w:pStyle w:val="H1G"/>
        <w:rPr>
          <w:vertAlign w:val="superscript"/>
          <w:lang w:val="fr-FR"/>
        </w:rPr>
      </w:pPr>
      <w:r>
        <w:rPr>
          <w:lang w:val="fr-FR"/>
        </w:rPr>
        <w:tab/>
      </w:r>
      <w:r>
        <w:rPr>
          <w:lang w:val="fr-FR"/>
        </w:rPr>
        <w:tab/>
      </w:r>
      <w:r w:rsidR="005C10AC" w:rsidRPr="00DC2C32">
        <w:rPr>
          <w:lang w:val="fr-FR"/>
        </w:rPr>
        <w:t>Communication de l’expert de la France</w:t>
      </w:r>
      <w:r w:rsidRPr="005D19A5">
        <w:rPr>
          <w:rStyle w:val="FootnoteReference"/>
          <w:sz w:val="20"/>
          <w:vertAlign w:val="baseline"/>
        </w:rPr>
        <w:footnoteReference w:customMarkFollows="1" w:id="2"/>
        <w:t>*</w:t>
      </w:r>
    </w:p>
    <w:p w:rsidR="005C10AC" w:rsidRPr="00DC2C32" w:rsidRDefault="005C10AC" w:rsidP="005D19A5">
      <w:pPr>
        <w:pStyle w:val="SingleTxtG"/>
        <w:ind w:firstLine="567"/>
        <w:rPr>
          <w:lang w:val="fr-FR"/>
        </w:rPr>
      </w:pPr>
      <w:r w:rsidRPr="00DC2C32">
        <w:rPr>
          <w:lang w:val="fr-FR"/>
        </w:rPr>
        <w:t>Le texte reproduit ci-après, établi par l’expert de la France, a pour objet d’apporter des modifications aux prescriptions d’essai relatives à la résistance aux intempéries. Il est fondé sur le document GRSG-115-09, présenté à la 115</w:t>
      </w:r>
      <w:r w:rsidRPr="00DC2C32">
        <w:rPr>
          <w:vertAlign w:val="superscript"/>
          <w:lang w:val="fr-FR"/>
        </w:rPr>
        <w:t>e</w:t>
      </w:r>
      <w:r w:rsidR="005D19A5">
        <w:rPr>
          <w:lang w:val="fr-FR"/>
        </w:rPr>
        <w:t> </w:t>
      </w:r>
      <w:r w:rsidRPr="00DC2C32">
        <w:rPr>
          <w:lang w:val="fr-FR"/>
        </w:rPr>
        <w:t>session du Groupe de travail des dispositions générales de sécurité (GRSG) (voir le rapport ECE/TRANS/WP.29/GRSG/94, par.</w:t>
      </w:r>
      <w:r w:rsidR="005D19A5">
        <w:rPr>
          <w:lang w:val="fr-FR"/>
        </w:rPr>
        <w:t> </w:t>
      </w:r>
      <w:r w:rsidRPr="00DC2C32">
        <w:rPr>
          <w:lang w:val="fr-FR"/>
        </w:rPr>
        <w:t>19). Les modifications qu’il est proposé d’apporter au texte actuel du Règlement ONU n</w:t>
      </w:r>
      <w:r w:rsidRPr="00DC2C32">
        <w:rPr>
          <w:vertAlign w:val="superscript"/>
          <w:lang w:val="fr-FR"/>
        </w:rPr>
        <w:t>o</w:t>
      </w:r>
      <w:r w:rsidR="005D19A5">
        <w:rPr>
          <w:lang w:val="fr-FR"/>
        </w:rPr>
        <w:t> </w:t>
      </w:r>
      <w:r w:rsidRPr="00DC2C32">
        <w:rPr>
          <w:lang w:val="fr-FR"/>
        </w:rPr>
        <w:t>43 sont signalées en caractères biffés.</w:t>
      </w:r>
    </w:p>
    <w:p w:rsidR="005C10AC" w:rsidRPr="00DC2C32" w:rsidRDefault="005C10AC" w:rsidP="00932936">
      <w:pPr>
        <w:pStyle w:val="HChG"/>
      </w:pPr>
      <w:r w:rsidRPr="00DC2C32">
        <w:rPr>
          <w:lang w:val="fr-FR"/>
        </w:rPr>
        <w:br w:type="page"/>
      </w:r>
      <w:r w:rsidR="00932936">
        <w:rPr>
          <w:lang w:val="fr-FR"/>
        </w:rPr>
        <w:lastRenderedPageBreak/>
        <w:tab/>
      </w:r>
      <w:r w:rsidRPr="00DC2C32">
        <w:rPr>
          <w:lang w:val="fr-FR"/>
        </w:rPr>
        <w:t>I.</w:t>
      </w:r>
      <w:r w:rsidRPr="00DC2C32">
        <w:rPr>
          <w:lang w:val="fr-FR"/>
        </w:rPr>
        <w:tab/>
        <w:t>Proposition</w:t>
      </w:r>
    </w:p>
    <w:p w:rsidR="005C10AC" w:rsidRPr="00DC2C32" w:rsidRDefault="005C10AC" w:rsidP="00EC5FC4">
      <w:pPr>
        <w:pStyle w:val="SingleTxtG"/>
        <w:keepNext/>
      </w:pPr>
      <w:r w:rsidRPr="00DC2C32">
        <w:rPr>
          <w:i/>
          <w:iCs/>
          <w:lang w:val="fr-FR"/>
        </w:rPr>
        <w:t>Annexe 3, paragraphe 6.4.1.3</w:t>
      </w:r>
      <w:r w:rsidRPr="00DC2C32">
        <w:rPr>
          <w:lang w:val="fr-FR"/>
        </w:rPr>
        <w:t>, lire (supprimer la deuxième phrase)</w:t>
      </w:r>
      <w:r w:rsidR="00932936">
        <w:rPr>
          <w:lang w:val="fr-FR"/>
        </w:rPr>
        <w:t> </w:t>
      </w:r>
      <w:r w:rsidRPr="00DC2C32">
        <w:rPr>
          <w:lang w:val="fr-FR"/>
        </w:rPr>
        <w:t>:</w:t>
      </w:r>
    </w:p>
    <w:p w:rsidR="005C10AC" w:rsidRPr="00DC2C32" w:rsidRDefault="005C10AC" w:rsidP="00EC5FC4">
      <w:pPr>
        <w:pStyle w:val="SingleTxtG"/>
        <w:keepNext/>
        <w:tabs>
          <w:tab w:val="left" w:pos="2268"/>
        </w:tabs>
      </w:pPr>
      <w:r w:rsidRPr="00DC2C32">
        <w:rPr>
          <w:lang w:val="fr-FR"/>
        </w:rPr>
        <w:t>« 6.4.1.3</w:t>
      </w:r>
      <w:r w:rsidRPr="00DC2C32">
        <w:rPr>
          <w:lang w:val="fr-FR"/>
        </w:rPr>
        <w:tab/>
        <w:t>Mode opératoire</w:t>
      </w:r>
    </w:p>
    <w:p w:rsidR="005C10AC" w:rsidRPr="00DC2C32" w:rsidRDefault="005C10AC" w:rsidP="00932936">
      <w:pPr>
        <w:pStyle w:val="SingleTxtG"/>
        <w:tabs>
          <w:tab w:val="left" w:pos="2268"/>
        </w:tabs>
        <w:ind w:left="2268"/>
      </w:pPr>
      <w:r w:rsidRPr="00DC2C32">
        <w:rPr>
          <w:lang w:val="fr-FR"/>
        </w:rPr>
        <w:tab/>
        <w:t>Mesurer, conformément au paragraphe</w:t>
      </w:r>
      <w:r w:rsidR="00932936">
        <w:rPr>
          <w:lang w:val="fr-FR"/>
        </w:rPr>
        <w:t> </w:t>
      </w:r>
      <w:r w:rsidRPr="00DC2C32">
        <w:rPr>
          <w:lang w:val="fr-FR"/>
        </w:rPr>
        <w:t xml:space="preserve">9.1 de la présente annexe, la transmission lumineuse de l’éprouvette ou des éprouvettes à exposer. </w:t>
      </w:r>
      <w:r w:rsidRPr="00DC2C32">
        <w:rPr>
          <w:strike/>
          <w:lang w:val="fr-FR"/>
        </w:rPr>
        <w:t>Mesurer, conformément au paragraphe 4 de la présente annexe, la résistance à l’abrasion de la surface de l’éprouvette ou des éprouvettes témoins.</w:t>
      </w:r>
      <w:r w:rsidRPr="00DC2C32">
        <w:rPr>
          <w:lang w:val="fr-FR"/>
        </w:rPr>
        <w:t xml:space="preserve"> La face de chaque éprouvette d’essai qui représenterait la face externe du vitrage sur un véhicule doit faire face à la lampe. Les autres conditions d’exposition sont les suivantes</w:t>
      </w:r>
      <w:r w:rsidR="00932936">
        <w:rPr>
          <w:lang w:val="fr-FR"/>
        </w:rPr>
        <w:t> </w:t>
      </w:r>
      <w:r w:rsidRPr="00DC2C32">
        <w:rPr>
          <w:lang w:val="fr-FR"/>
        </w:rPr>
        <w:t>:</w:t>
      </w:r>
    </w:p>
    <w:p w:rsidR="005C10AC" w:rsidRPr="00DC2C32" w:rsidRDefault="0066583E" w:rsidP="00932936">
      <w:pPr>
        <w:pStyle w:val="SingleTxtG"/>
        <w:tabs>
          <w:tab w:val="left" w:pos="2268"/>
        </w:tabs>
        <w:ind w:left="2268"/>
      </w:pPr>
      <w:r w:rsidRPr="00314A4D">
        <w:t>……</w:t>
      </w:r>
      <w:r>
        <w:t> </w:t>
      </w:r>
      <w:r w:rsidR="005C10AC" w:rsidRPr="00DC2C32">
        <w:rPr>
          <w:lang w:val="fr-FR"/>
        </w:rPr>
        <w:t>»</w:t>
      </w:r>
      <w:r w:rsidR="00932936">
        <w:rPr>
          <w:lang w:val="fr-FR"/>
        </w:rPr>
        <w:t>.</w:t>
      </w:r>
    </w:p>
    <w:p w:rsidR="005C10AC" w:rsidRPr="00DC2C32" w:rsidRDefault="00EC5FC4" w:rsidP="00EC5FC4">
      <w:pPr>
        <w:pStyle w:val="HChG"/>
        <w:rPr>
          <w:lang w:val="fr-FR"/>
        </w:rPr>
      </w:pPr>
      <w:r>
        <w:rPr>
          <w:lang w:val="fr-FR"/>
        </w:rPr>
        <w:tab/>
      </w:r>
      <w:r w:rsidR="005C10AC" w:rsidRPr="00DC2C32">
        <w:rPr>
          <w:lang w:val="fr-FR"/>
        </w:rPr>
        <w:t>II.</w:t>
      </w:r>
      <w:r w:rsidR="005C10AC" w:rsidRPr="00DC2C32">
        <w:rPr>
          <w:lang w:val="fr-FR"/>
        </w:rPr>
        <w:tab/>
        <w:t>Justification</w:t>
      </w:r>
    </w:p>
    <w:p w:rsidR="005C10AC" w:rsidRDefault="005C10AC" w:rsidP="00EC5FC4">
      <w:pPr>
        <w:pStyle w:val="SingleTxtG"/>
        <w:ind w:firstLine="567"/>
        <w:rPr>
          <w:lang w:val="fr-FR"/>
        </w:rPr>
      </w:pPr>
      <w:r w:rsidRPr="00DC2C32">
        <w:rPr>
          <w:lang w:val="fr-FR"/>
        </w:rPr>
        <w:t>Les prescriptions d’essai relatives à la résistance à l’abrasion (annexe</w:t>
      </w:r>
      <w:r w:rsidR="00EC5FC4">
        <w:rPr>
          <w:lang w:val="fr-FR"/>
        </w:rPr>
        <w:t> </w:t>
      </w:r>
      <w:r w:rsidRPr="00DC2C32">
        <w:rPr>
          <w:lang w:val="fr-FR"/>
        </w:rPr>
        <w:t>3, par.</w:t>
      </w:r>
      <w:r w:rsidR="00EC5FC4">
        <w:rPr>
          <w:lang w:val="fr-FR"/>
        </w:rPr>
        <w:t> </w:t>
      </w:r>
      <w:r w:rsidRPr="00DC2C32">
        <w:rPr>
          <w:lang w:val="fr-FR"/>
        </w:rPr>
        <w:t>4) et aux intempéries (annexe</w:t>
      </w:r>
      <w:r w:rsidR="00EC5FC4">
        <w:rPr>
          <w:lang w:val="fr-FR"/>
        </w:rPr>
        <w:t> </w:t>
      </w:r>
      <w:r w:rsidRPr="00DC2C32">
        <w:rPr>
          <w:lang w:val="fr-FR"/>
        </w:rPr>
        <w:t>3, par.</w:t>
      </w:r>
      <w:r w:rsidR="00EC5FC4">
        <w:rPr>
          <w:lang w:val="fr-FR"/>
        </w:rPr>
        <w:t> </w:t>
      </w:r>
      <w:r w:rsidRPr="00DC2C32">
        <w:rPr>
          <w:lang w:val="fr-FR"/>
        </w:rPr>
        <w:t>6) doivent être clairement séparées. La mesure de l’abrasion effectuée selon le mode opératoire actuel semble dénuée d’intérêt en ce qui concerne la résistance aux intempéries, et elle n’est pas mentionnée dans l’évaluation des résultats d’essai (par.</w:t>
      </w:r>
      <w:r w:rsidR="00EC5FC4">
        <w:rPr>
          <w:lang w:val="fr-FR"/>
        </w:rPr>
        <w:t> </w:t>
      </w:r>
      <w:r w:rsidRPr="00DC2C32">
        <w:rPr>
          <w:lang w:val="fr-FR"/>
        </w:rPr>
        <w:t>6.4.1.4). En ce qui concerne l’interprétation des résultats des essais de résistance aux intempéries, dans les annexes</w:t>
      </w:r>
      <w:r w:rsidR="00EC5FC4">
        <w:rPr>
          <w:lang w:val="fr-FR"/>
        </w:rPr>
        <w:t> </w:t>
      </w:r>
      <w:r w:rsidRPr="00DC2C32">
        <w:rPr>
          <w:lang w:val="fr-FR"/>
        </w:rPr>
        <w:t>14 à 19, seules les limites de transmission de lumière et évaluation visuelle sont prises en compte, et il n’est pas fait mention des limites de diffusion de lumière, qui sont mesurées après l’essai d’abrasion.</w:t>
      </w:r>
    </w:p>
    <w:p w:rsidR="00EC5FC4" w:rsidRPr="00EC5FC4" w:rsidRDefault="00EC5FC4" w:rsidP="00EC5FC4">
      <w:pPr>
        <w:pStyle w:val="SingleTxtG"/>
        <w:spacing w:before="240" w:after="0"/>
        <w:jc w:val="center"/>
        <w:rPr>
          <w:u w:val="single"/>
        </w:rPr>
      </w:pPr>
      <w:r>
        <w:rPr>
          <w:u w:val="single"/>
        </w:rPr>
        <w:tab/>
      </w:r>
      <w:r>
        <w:rPr>
          <w:u w:val="single"/>
        </w:rPr>
        <w:tab/>
      </w:r>
      <w:r>
        <w:rPr>
          <w:u w:val="single"/>
        </w:rPr>
        <w:tab/>
      </w:r>
    </w:p>
    <w:sectPr w:rsidR="00EC5FC4" w:rsidRPr="00EC5FC4" w:rsidSect="006056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A8D" w:rsidRDefault="00520A8D" w:rsidP="00F95C08">
      <w:pPr>
        <w:spacing w:line="240" w:lineRule="auto"/>
      </w:pPr>
    </w:p>
  </w:endnote>
  <w:endnote w:type="continuationSeparator" w:id="0">
    <w:p w:rsidR="00520A8D" w:rsidRPr="00AC3823" w:rsidRDefault="00520A8D" w:rsidP="00AC3823">
      <w:pPr>
        <w:pStyle w:val="Footer"/>
      </w:pPr>
    </w:p>
  </w:endnote>
  <w:endnote w:type="continuationNotice" w:id="1">
    <w:p w:rsidR="00520A8D" w:rsidRDefault="00520A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8E" w:rsidRPr="0060568E" w:rsidRDefault="0060568E" w:rsidP="0060568E">
    <w:pPr>
      <w:pStyle w:val="Footer"/>
      <w:tabs>
        <w:tab w:val="right" w:pos="9638"/>
      </w:tabs>
    </w:pPr>
    <w:r w:rsidRPr="0060568E">
      <w:rPr>
        <w:b/>
        <w:sz w:val="18"/>
      </w:rPr>
      <w:fldChar w:fldCharType="begin"/>
    </w:r>
    <w:r w:rsidRPr="0060568E">
      <w:rPr>
        <w:b/>
        <w:sz w:val="18"/>
      </w:rPr>
      <w:instrText xml:space="preserve"> PAGE  \* MERGEFORMAT </w:instrText>
    </w:r>
    <w:r w:rsidRPr="0060568E">
      <w:rPr>
        <w:b/>
        <w:sz w:val="18"/>
      </w:rPr>
      <w:fldChar w:fldCharType="separate"/>
    </w:r>
    <w:r w:rsidRPr="0060568E">
      <w:rPr>
        <w:b/>
        <w:noProof/>
        <w:sz w:val="18"/>
      </w:rPr>
      <w:t>2</w:t>
    </w:r>
    <w:r w:rsidRPr="0060568E">
      <w:rPr>
        <w:b/>
        <w:sz w:val="18"/>
      </w:rPr>
      <w:fldChar w:fldCharType="end"/>
    </w:r>
    <w:r>
      <w:rPr>
        <w:b/>
        <w:sz w:val="18"/>
      </w:rPr>
      <w:tab/>
    </w:r>
    <w:r>
      <w:t>GE.19-00235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8E" w:rsidRPr="0060568E" w:rsidRDefault="0060568E" w:rsidP="0060568E">
    <w:pPr>
      <w:pStyle w:val="Footer"/>
      <w:tabs>
        <w:tab w:val="right" w:pos="9638"/>
      </w:tabs>
      <w:rPr>
        <w:b/>
        <w:sz w:val="18"/>
      </w:rPr>
    </w:pPr>
    <w:r>
      <w:t>GE.19-00235</w:t>
    </w:r>
    <w:r>
      <w:tab/>
    </w:r>
    <w:r w:rsidRPr="0060568E">
      <w:rPr>
        <w:b/>
        <w:sz w:val="18"/>
      </w:rPr>
      <w:fldChar w:fldCharType="begin"/>
    </w:r>
    <w:r w:rsidRPr="0060568E">
      <w:rPr>
        <w:b/>
        <w:sz w:val="18"/>
      </w:rPr>
      <w:instrText xml:space="preserve"> PAGE  \* MERGEFORMAT </w:instrText>
    </w:r>
    <w:r w:rsidRPr="0060568E">
      <w:rPr>
        <w:b/>
        <w:sz w:val="18"/>
      </w:rPr>
      <w:fldChar w:fldCharType="separate"/>
    </w:r>
    <w:r w:rsidRPr="0060568E">
      <w:rPr>
        <w:b/>
        <w:noProof/>
        <w:sz w:val="18"/>
      </w:rPr>
      <w:t>3</w:t>
    </w:r>
    <w:r w:rsidRPr="006056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0568E" w:rsidRDefault="0060568E" w:rsidP="0060568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00235  (</w:t>
    </w:r>
    <w:proofErr w:type="gramEnd"/>
    <w:r>
      <w:rPr>
        <w:sz w:val="20"/>
      </w:rPr>
      <w:t>F)    120219    140219</w:t>
    </w:r>
    <w:r>
      <w:rPr>
        <w:sz w:val="20"/>
      </w:rPr>
      <w:br/>
    </w:r>
    <w:r w:rsidRPr="0060568E">
      <w:rPr>
        <w:rFonts w:ascii="C39T30Lfz" w:hAnsi="C39T30Lfz"/>
        <w:sz w:val="56"/>
      </w:rPr>
      <w:t></w:t>
    </w:r>
    <w:r w:rsidRPr="0060568E">
      <w:rPr>
        <w:rFonts w:ascii="C39T30Lfz" w:hAnsi="C39T30Lfz"/>
        <w:sz w:val="56"/>
      </w:rPr>
      <w:t></w:t>
    </w:r>
    <w:r w:rsidRPr="0060568E">
      <w:rPr>
        <w:rFonts w:ascii="C39T30Lfz" w:hAnsi="C39T30Lfz"/>
        <w:sz w:val="56"/>
      </w:rPr>
      <w:t></w:t>
    </w:r>
    <w:r w:rsidRPr="0060568E">
      <w:rPr>
        <w:rFonts w:ascii="C39T30Lfz" w:hAnsi="C39T30Lfz"/>
        <w:sz w:val="56"/>
      </w:rPr>
      <w:t></w:t>
    </w:r>
    <w:r w:rsidRPr="0060568E">
      <w:rPr>
        <w:rFonts w:ascii="C39T30Lfz" w:hAnsi="C39T30Lfz"/>
        <w:sz w:val="56"/>
      </w:rPr>
      <w:t></w:t>
    </w:r>
    <w:r w:rsidRPr="0060568E">
      <w:rPr>
        <w:rFonts w:ascii="C39T30Lfz" w:hAnsi="C39T30Lfz"/>
        <w:sz w:val="56"/>
      </w:rPr>
      <w:t></w:t>
    </w:r>
    <w:r w:rsidRPr="0060568E">
      <w:rPr>
        <w:rFonts w:ascii="C39T30Lfz" w:hAnsi="C39T30Lfz"/>
        <w:sz w:val="56"/>
      </w:rPr>
      <w:t></w:t>
    </w:r>
    <w:r w:rsidRPr="0060568E">
      <w:rPr>
        <w:rFonts w:ascii="C39T30Lfz" w:hAnsi="C39T30Lfz"/>
        <w:sz w:val="56"/>
      </w:rPr>
      <w:t></w:t>
    </w:r>
    <w:r w:rsidRPr="0060568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A8D" w:rsidRPr="00AC3823" w:rsidRDefault="00520A8D" w:rsidP="00AC3823">
      <w:pPr>
        <w:pStyle w:val="Footer"/>
        <w:tabs>
          <w:tab w:val="right" w:pos="2155"/>
        </w:tabs>
        <w:spacing w:after="80" w:line="240" w:lineRule="atLeast"/>
        <w:ind w:left="680"/>
        <w:rPr>
          <w:u w:val="single"/>
        </w:rPr>
      </w:pPr>
      <w:r>
        <w:rPr>
          <w:u w:val="single"/>
        </w:rPr>
        <w:tab/>
      </w:r>
    </w:p>
  </w:footnote>
  <w:footnote w:type="continuationSeparator" w:id="0">
    <w:p w:rsidR="00520A8D" w:rsidRPr="00AC3823" w:rsidRDefault="00520A8D" w:rsidP="00AC3823">
      <w:pPr>
        <w:pStyle w:val="Footer"/>
        <w:tabs>
          <w:tab w:val="right" w:pos="2155"/>
        </w:tabs>
        <w:spacing w:after="80" w:line="240" w:lineRule="atLeast"/>
        <w:ind w:left="680"/>
        <w:rPr>
          <w:u w:val="single"/>
        </w:rPr>
      </w:pPr>
      <w:r>
        <w:rPr>
          <w:u w:val="single"/>
        </w:rPr>
        <w:tab/>
      </w:r>
    </w:p>
  </w:footnote>
  <w:footnote w:type="continuationNotice" w:id="1">
    <w:p w:rsidR="00520A8D" w:rsidRPr="00AC3823" w:rsidRDefault="00520A8D">
      <w:pPr>
        <w:spacing w:line="240" w:lineRule="auto"/>
        <w:rPr>
          <w:sz w:val="2"/>
          <w:szCs w:val="2"/>
        </w:rPr>
      </w:pPr>
    </w:p>
  </w:footnote>
  <w:footnote w:id="2">
    <w:p w:rsidR="005D19A5" w:rsidRPr="005D19A5" w:rsidRDefault="005D19A5">
      <w:pPr>
        <w:pStyle w:val="FootnoteText"/>
      </w:pPr>
      <w:r>
        <w:rPr>
          <w:rStyle w:val="FootnoteReference"/>
        </w:rPr>
        <w:tab/>
      </w:r>
      <w:r w:rsidRPr="005D19A5">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8E" w:rsidRPr="0060568E" w:rsidRDefault="001C05E1">
    <w:pPr>
      <w:pStyle w:val="Header"/>
    </w:pPr>
    <w:r>
      <w:fldChar w:fldCharType="begin"/>
    </w:r>
    <w:r>
      <w:instrText xml:space="preserve"> TITLE  \* MERGEFORMAT </w:instrText>
    </w:r>
    <w:r>
      <w:fldChar w:fldCharType="separate"/>
    </w:r>
    <w:r w:rsidR="00C15C12">
      <w:t>ECE/TRANS/WP.29/GRSG/2019/5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8E" w:rsidRPr="0060568E" w:rsidRDefault="001C05E1" w:rsidP="0060568E">
    <w:pPr>
      <w:pStyle w:val="Header"/>
      <w:jc w:val="right"/>
    </w:pPr>
    <w:r>
      <w:fldChar w:fldCharType="begin"/>
    </w:r>
    <w:r>
      <w:instrText xml:space="preserve"> TITLE  \* MERGEFORMAT </w:instrText>
    </w:r>
    <w:r>
      <w:fldChar w:fldCharType="separate"/>
    </w:r>
    <w:r w:rsidR="00C15C12">
      <w:t>ECE/TRANS/WP.29/GRSG/2019/5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8D"/>
    <w:rsid w:val="00017F94"/>
    <w:rsid w:val="00023842"/>
    <w:rsid w:val="000334F9"/>
    <w:rsid w:val="00045FEB"/>
    <w:rsid w:val="0007796D"/>
    <w:rsid w:val="000B7790"/>
    <w:rsid w:val="00111F2F"/>
    <w:rsid w:val="0014365E"/>
    <w:rsid w:val="00143C66"/>
    <w:rsid w:val="00176178"/>
    <w:rsid w:val="001C05E1"/>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20A8D"/>
    <w:rsid w:val="005505B7"/>
    <w:rsid w:val="00573BE5"/>
    <w:rsid w:val="00586ED3"/>
    <w:rsid w:val="00596AA9"/>
    <w:rsid w:val="005B11A6"/>
    <w:rsid w:val="005C10AC"/>
    <w:rsid w:val="005D19A5"/>
    <w:rsid w:val="0060568E"/>
    <w:rsid w:val="00641B58"/>
    <w:rsid w:val="00644D91"/>
    <w:rsid w:val="00645F0A"/>
    <w:rsid w:val="0066583E"/>
    <w:rsid w:val="0071601D"/>
    <w:rsid w:val="007A62E6"/>
    <w:rsid w:val="007F20FA"/>
    <w:rsid w:val="0080684C"/>
    <w:rsid w:val="00871C75"/>
    <w:rsid w:val="008776DC"/>
    <w:rsid w:val="008D5378"/>
    <w:rsid w:val="00932936"/>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15C12"/>
    <w:rsid w:val="00C97039"/>
    <w:rsid w:val="00CC768D"/>
    <w:rsid w:val="00D3439C"/>
    <w:rsid w:val="00DB1831"/>
    <w:rsid w:val="00DD3BFD"/>
    <w:rsid w:val="00DF6678"/>
    <w:rsid w:val="00E0299A"/>
    <w:rsid w:val="00E85C74"/>
    <w:rsid w:val="00EA6547"/>
    <w:rsid w:val="00EC5FC4"/>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B3CDF8-AE39-4BD4-934D-68617053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ECE/TRANS/WP.29/GRSG/2019/5</vt:lpstr>
      <vt:lpstr>ECE/TRANS/WP.29/GRSG/2019/5</vt:lpstr>
    </vt:vector>
  </TitlesOfParts>
  <Company>DCM</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ECE/TRANS/WP.29/GRSG/2019/5</dc:title>
  <dc:subject/>
  <dc:creator>Christine CHAUTAGNAT</dc:creator>
  <cp:keywords/>
  <cp:lastModifiedBy>Benedicte Boudol</cp:lastModifiedBy>
  <cp:revision>2</cp:revision>
  <cp:lastPrinted>2019-02-14T13:36:00Z</cp:lastPrinted>
  <dcterms:created xsi:type="dcterms:W3CDTF">2019-02-14T14:29:00Z</dcterms:created>
  <dcterms:modified xsi:type="dcterms:W3CDTF">2019-02-14T14:29:00Z</dcterms:modified>
</cp:coreProperties>
</file>