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30CC" w:rsidRPr="00DC1BF6" w:rsidTr="00DC1BF6">
        <w:tc>
          <w:tcPr>
            <w:tcW w:w="4785" w:type="dxa"/>
          </w:tcPr>
          <w:p w:rsidR="002C2FCA" w:rsidRDefault="00B530CC" w:rsidP="00DC1B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Transmitted by the </w:t>
            </w:r>
            <w:r w:rsidR="00DC1BF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C2FCA">
              <w:rPr>
                <w:rFonts w:ascii="Times New Roman" w:hAnsi="Times New Roman"/>
                <w:bCs/>
                <w:sz w:val="24"/>
                <w:szCs w:val="24"/>
              </w:rPr>
              <w:t xml:space="preserve">Co-Chairs of 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Informal Working </w:t>
            </w:r>
          </w:p>
          <w:p w:rsidR="00B530CC" w:rsidRPr="00DE343D" w:rsidRDefault="00B530CC" w:rsidP="006161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on P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eriodical Technical Inspections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4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13CCD" w:rsidRPr="009956F9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Informal document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WP.29-17</w:t>
            </w:r>
            <w:r w:rsidR="009956F9" w:rsidRPr="009956F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50331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4A1FD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DC1BF6" w:rsidRPr="00503314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9956F9" w:rsidRPr="009956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850FC" w:rsidRPr="0050331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WP.29, </w:t>
            </w:r>
            <w:r w:rsidR="009956F9" w:rsidRPr="0093047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956F9" w:rsidRPr="0093047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B1477"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1E00">
              <w:rPr>
                <w:rFonts w:ascii="Times New Roman" w:hAnsi="Times New Roman"/>
                <w:bCs/>
                <w:sz w:val="24"/>
                <w:szCs w:val="24"/>
              </w:rPr>
              <w:t>Nov</w:t>
            </w:r>
            <w:r w:rsidR="009956F9">
              <w:rPr>
                <w:rFonts w:ascii="Times New Roman" w:hAnsi="Times New Roman"/>
                <w:bCs/>
                <w:sz w:val="24"/>
                <w:szCs w:val="24"/>
              </w:rPr>
              <w:t>ember</w:t>
            </w:r>
            <w:r w:rsidRPr="0050331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61619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DC1BF6" w:rsidRPr="00DC1BF6" w:rsidRDefault="00DC1BF6" w:rsidP="00A13C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DC1BF6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Agenda item </w:t>
            </w:r>
            <w:r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7</w:t>
            </w:r>
          </w:p>
        </w:tc>
      </w:tr>
    </w:tbl>
    <w:p w:rsidR="00014134" w:rsidRPr="00DC1BF6" w:rsidRDefault="00014134" w:rsidP="00016529">
      <w:pPr>
        <w:pStyle w:val="HChG"/>
        <w:rPr>
          <w:lang w:val="fr-CH"/>
        </w:rPr>
      </w:pPr>
    </w:p>
    <w:p w:rsidR="009B76AA" w:rsidRDefault="009B76AA" w:rsidP="00B530CC">
      <w:pPr>
        <w:pStyle w:val="HChG"/>
        <w:jc w:val="center"/>
      </w:pPr>
      <w:r w:rsidRPr="008A118A">
        <w:t xml:space="preserve">Report to WP.29 </w:t>
      </w:r>
      <w:r w:rsidR="003D7634" w:rsidRPr="008A118A">
        <w:t xml:space="preserve">about results of </w:t>
      </w:r>
      <w:r w:rsidR="003B25EC">
        <w:t xml:space="preserve">the </w:t>
      </w:r>
      <w:r w:rsidR="00C850FC">
        <w:t>1</w:t>
      </w:r>
      <w:r w:rsidR="009956F9">
        <w:t>5</w:t>
      </w:r>
      <w:r w:rsidRPr="008A118A">
        <w:rPr>
          <w:vertAlign w:val="superscript"/>
        </w:rPr>
        <w:t>th</w:t>
      </w:r>
      <w:r w:rsidRPr="008A118A">
        <w:t xml:space="preserve"> </w:t>
      </w:r>
      <w:r w:rsidR="003D7634" w:rsidRPr="008A118A">
        <w:t xml:space="preserve">meeting of </w:t>
      </w:r>
      <w:r w:rsidR="00C92FE2">
        <w:t xml:space="preserve">the </w:t>
      </w:r>
      <w:r w:rsidR="003D7634" w:rsidRPr="008A118A">
        <w:t xml:space="preserve">Informal </w:t>
      </w:r>
      <w:r w:rsidR="00C92FE2">
        <w:t xml:space="preserve">Working </w:t>
      </w:r>
      <w:r w:rsidR="003D7634" w:rsidRPr="008A118A">
        <w:t>Group on Periodical Technical Inspections</w:t>
      </w:r>
    </w:p>
    <w:p w:rsidR="003F2D0A" w:rsidRDefault="003F2D0A" w:rsidP="00E84FAF">
      <w:pPr>
        <w:pStyle w:val="SingleTxtG"/>
        <w:spacing w:after="0" w:line="240" w:lineRule="auto"/>
        <w:ind w:left="0" w:firstLine="675"/>
        <w:rPr>
          <w:rFonts w:cs="Arial"/>
          <w:color w:val="585858"/>
          <w:lang w:val="en"/>
        </w:rPr>
      </w:pPr>
      <w:r w:rsidRPr="00CD2FAD">
        <w:rPr>
          <w:sz w:val="24"/>
          <w:szCs w:val="24"/>
        </w:rPr>
        <w:t>The 1</w:t>
      </w:r>
      <w:r w:rsidR="009956F9">
        <w:rPr>
          <w:sz w:val="24"/>
          <w:szCs w:val="24"/>
          <w:lang w:val="en-US"/>
        </w:rPr>
        <w:t>5</w:t>
      </w:r>
      <w:proofErr w:type="spellStart"/>
      <w:r w:rsidRPr="00CD2FAD">
        <w:rPr>
          <w:sz w:val="24"/>
          <w:szCs w:val="24"/>
          <w:vertAlign w:val="superscript"/>
        </w:rPr>
        <w:t>th</w:t>
      </w:r>
      <w:proofErr w:type="spellEnd"/>
      <w:r w:rsidRPr="00CD2FAD">
        <w:rPr>
          <w:sz w:val="24"/>
          <w:szCs w:val="24"/>
        </w:rPr>
        <w:t xml:space="preserve"> IWG on PTI meeting was arranged with support of </w:t>
      </w:r>
      <w:r w:rsidR="009956F9" w:rsidRPr="009956F9">
        <w:rPr>
          <w:bCs/>
          <w:sz w:val="24"/>
          <w:szCs w:val="24"/>
          <w:lang w:val="nl-NL"/>
        </w:rPr>
        <w:t>Rijksdienst voor het Wegverkeer</w:t>
      </w:r>
      <w:r w:rsidR="009956F9" w:rsidRPr="009956F9">
        <w:rPr>
          <w:b/>
          <w:bCs/>
          <w:sz w:val="24"/>
          <w:szCs w:val="24"/>
          <w:lang w:val="en-US"/>
        </w:rPr>
        <w:t xml:space="preserve"> (</w:t>
      </w:r>
      <w:r w:rsidR="009956F9" w:rsidRPr="009956F9">
        <w:rPr>
          <w:sz w:val="24"/>
          <w:szCs w:val="24"/>
        </w:rPr>
        <w:t>RDW</w:t>
      </w:r>
      <w:r w:rsidR="009956F9" w:rsidRPr="009956F9">
        <w:rPr>
          <w:sz w:val="24"/>
          <w:szCs w:val="24"/>
          <w:lang w:val="en-US"/>
        </w:rPr>
        <w:t>)</w:t>
      </w:r>
      <w:r w:rsidRPr="009956F9">
        <w:rPr>
          <w:color w:val="000000"/>
          <w:sz w:val="24"/>
          <w:szCs w:val="24"/>
        </w:rPr>
        <w:t xml:space="preserve"> </w:t>
      </w:r>
      <w:r w:rsidRPr="009956F9">
        <w:rPr>
          <w:sz w:val="24"/>
          <w:szCs w:val="24"/>
          <w:lang w:val="en-GB"/>
        </w:rPr>
        <w:t>a</w:t>
      </w:r>
      <w:r w:rsidRPr="00CD2FAD">
        <w:rPr>
          <w:sz w:val="24"/>
          <w:szCs w:val="24"/>
          <w:lang w:val="en-GB"/>
        </w:rPr>
        <w:t xml:space="preserve">nd held on </w:t>
      </w:r>
      <w:r w:rsidR="009956F9">
        <w:rPr>
          <w:sz w:val="24"/>
          <w:szCs w:val="24"/>
          <w:lang w:val="en-GB"/>
        </w:rPr>
        <w:t>10</w:t>
      </w:r>
      <w:r w:rsidRPr="00CD2FAD">
        <w:rPr>
          <w:sz w:val="24"/>
          <w:szCs w:val="24"/>
          <w:lang w:val="en-GB"/>
        </w:rPr>
        <w:t xml:space="preserve"> </w:t>
      </w:r>
      <w:r w:rsidR="009956F9">
        <w:rPr>
          <w:sz w:val="24"/>
          <w:szCs w:val="24"/>
          <w:lang w:val="en-US"/>
        </w:rPr>
        <w:t>September</w:t>
      </w:r>
      <w:r w:rsidRPr="00CD2FAD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9</w:t>
      </w:r>
      <w:r w:rsidRPr="00CD2FAD">
        <w:rPr>
          <w:sz w:val="24"/>
          <w:szCs w:val="24"/>
          <w:lang w:val="en-GB"/>
        </w:rPr>
        <w:t xml:space="preserve"> </w:t>
      </w:r>
      <w:r w:rsidRPr="009956F9">
        <w:rPr>
          <w:sz w:val="24"/>
          <w:szCs w:val="24"/>
          <w:lang w:val="en-GB"/>
        </w:rPr>
        <w:t xml:space="preserve">in </w:t>
      </w:r>
      <w:r w:rsidR="009956F9" w:rsidRPr="009956F9">
        <w:rPr>
          <w:sz w:val="24"/>
          <w:szCs w:val="24"/>
        </w:rPr>
        <w:t>Schiphol</w:t>
      </w:r>
      <w:r w:rsidRPr="00CD2FAD">
        <w:rPr>
          <w:sz w:val="24"/>
          <w:szCs w:val="24"/>
          <w:lang w:val="en-GB"/>
        </w:rPr>
        <w:t xml:space="preserve"> (</w:t>
      </w:r>
      <w:r w:rsidR="009956F9">
        <w:rPr>
          <w:sz w:val="24"/>
          <w:szCs w:val="24"/>
          <w:lang w:val="en-GB"/>
        </w:rPr>
        <w:t>the Netherlan</w:t>
      </w:r>
      <w:r w:rsidR="005B1E00">
        <w:rPr>
          <w:sz w:val="24"/>
          <w:szCs w:val="24"/>
          <w:lang w:val="en-GB"/>
        </w:rPr>
        <w:t>d</w:t>
      </w:r>
      <w:r w:rsidR="009956F9">
        <w:rPr>
          <w:sz w:val="24"/>
          <w:szCs w:val="24"/>
          <w:lang w:val="en-GB"/>
        </w:rPr>
        <w:t>s</w:t>
      </w:r>
      <w:r w:rsidRPr="00CD2FAD">
        <w:rPr>
          <w:sz w:val="24"/>
          <w:szCs w:val="24"/>
          <w:lang w:val="en-GB"/>
        </w:rPr>
        <w:t>).</w:t>
      </w:r>
      <w:r w:rsidRPr="008630E1">
        <w:rPr>
          <w:rFonts w:cs="Arial"/>
          <w:color w:val="585858"/>
          <w:lang w:val="en"/>
        </w:rPr>
        <w:t xml:space="preserve"> </w:t>
      </w:r>
    </w:p>
    <w:p w:rsidR="00A13CCD" w:rsidRPr="003A405E" w:rsidRDefault="00A13CCD" w:rsidP="00E84FAF">
      <w:pPr>
        <w:pStyle w:val="SingleTxtG"/>
        <w:spacing w:after="0" w:line="240" w:lineRule="auto"/>
        <w:ind w:left="0" w:firstLine="675"/>
        <w:rPr>
          <w:rFonts w:cs="Arial"/>
          <w:color w:val="585858"/>
          <w:lang w:val="en"/>
        </w:rPr>
      </w:pPr>
    </w:p>
    <w:p w:rsidR="0003367C" w:rsidRDefault="0003367C" w:rsidP="0003367C">
      <w:pPr>
        <w:pStyle w:val="BodyText"/>
      </w:pPr>
    </w:p>
    <w:p w:rsidR="003F2D0A" w:rsidRDefault="00765EA5" w:rsidP="0003367C">
      <w:pPr>
        <w:pStyle w:val="BodyText"/>
        <w:rPr>
          <w:b/>
          <w:szCs w:val="24"/>
        </w:rPr>
      </w:pPr>
      <w:r>
        <w:rPr>
          <w:b/>
          <w:szCs w:val="24"/>
        </w:rPr>
        <w:t>1</w:t>
      </w:r>
      <w:r w:rsidR="0003367C" w:rsidRPr="0003367C">
        <w:rPr>
          <w:b/>
          <w:szCs w:val="24"/>
        </w:rPr>
        <w:t xml:space="preserve">. </w:t>
      </w:r>
      <w:r w:rsidR="0003367C">
        <w:rPr>
          <w:b/>
          <w:szCs w:val="24"/>
        </w:rPr>
        <w:tab/>
      </w:r>
      <w:r w:rsidR="0003367C">
        <w:rPr>
          <w:b/>
          <w:szCs w:val="24"/>
        </w:rPr>
        <w:tab/>
      </w:r>
      <w:r w:rsidR="003F2D0A" w:rsidRPr="0003367C">
        <w:rPr>
          <w:b/>
          <w:szCs w:val="24"/>
        </w:rPr>
        <w:t>In-Service compliance</w:t>
      </w:r>
    </w:p>
    <w:p w:rsidR="00930473" w:rsidRPr="00204854" w:rsidRDefault="00930473" w:rsidP="00204854">
      <w:pPr>
        <w:jc w:val="center"/>
        <w:rPr>
          <w:rFonts w:ascii="Times New Roman" w:hAnsi="Times New Roman"/>
          <w:b/>
          <w:sz w:val="24"/>
          <w:szCs w:val="24"/>
        </w:rPr>
      </w:pPr>
      <w:r w:rsidRPr="00204854">
        <w:rPr>
          <w:rFonts w:ascii="Times New Roman" w:hAnsi="Times New Roman"/>
          <w:b/>
          <w:sz w:val="24"/>
          <w:szCs w:val="24"/>
        </w:rPr>
        <w:t>F</w:t>
      </w:r>
      <w:r w:rsidR="00204854" w:rsidRPr="00204854">
        <w:rPr>
          <w:rFonts w:ascii="Times New Roman" w:hAnsi="Times New Roman"/>
          <w:b/>
          <w:sz w:val="24"/>
          <w:szCs w:val="24"/>
        </w:rPr>
        <w:t>ive</w:t>
      </w:r>
      <w:r w:rsidRPr="00204854">
        <w:rPr>
          <w:rFonts w:ascii="Times New Roman" w:hAnsi="Times New Roman"/>
          <w:b/>
          <w:sz w:val="24"/>
          <w:szCs w:val="24"/>
        </w:rPr>
        <w:t xml:space="preserve"> Pillars of the Compliance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985"/>
        <w:gridCol w:w="1984"/>
        <w:gridCol w:w="1701"/>
        <w:gridCol w:w="1525"/>
      </w:tblGrid>
      <w:tr w:rsidR="00930473" w:rsidTr="00F522D8">
        <w:tc>
          <w:tcPr>
            <w:tcW w:w="8851" w:type="dxa"/>
            <w:gridSpan w:val="5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  <w:r w:rsidRPr="00930473">
              <w:rPr>
                <w:b/>
                <w:sz w:val="24"/>
                <w:szCs w:val="24"/>
              </w:rPr>
              <w:t>Transport Sustainability</w:t>
            </w:r>
          </w:p>
        </w:tc>
      </w:tr>
      <w:tr w:rsidR="00930473" w:rsidTr="00F522D8">
        <w:tc>
          <w:tcPr>
            <w:tcW w:w="7326" w:type="dxa"/>
            <w:gridSpan w:val="4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  <w:r w:rsidRPr="00930473">
              <w:rPr>
                <w:b/>
                <w:sz w:val="24"/>
                <w:szCs w:val="24"/>
              </w:rPr>
              <w:t>Safety</w:t>
            </w:r>
          </w:p>
        </w:tc>
        <w:tc>
          <w:tcPr>
            <w:tcW w:w="1525" w:type="dxa"/>
            <w:vMerge w:val="restart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</w:p>
          <w:p w:rsidR="00930473" w:rsidRPr="00930473" w:rsidRDefault="00930473" w:rsidP="00930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b/>
                <w:sz w:val="24"/>
                <w:szCs w:val="24"/>
              </w:rPr>
              <w:t>Security</w:t>
            </w:r>
          </w:p>
        </w:tc>
      </w:tr>
      <w:tr w:rsidR="00930473" w:rsidTr="00F522D8">
        <w:tc>
          <w:tcPr>
            <w:tcW w:w="1656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b/>
                <w:sz w:val="24"/>
                <w:szCs w:val="24"/>
              </w:rPr>
              <w:t>CoP</w:t>
            </w:r>
          </w:p>
          <w:p w:rsidR="00930473" w:rsidRPr="00930473" w:rsidRDefault="00930473" w:rsidP="00930473">
            <w:pPr>
              <w:pStyle w:val="ListParagraph"/>
              <w:ind w:left="88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b/>
                <w:sz w:val="24"/>
                <w:szCs w:val="24"/>
              </w:rPr>
              <w:t>In-Service Conformity</w:t>
            </w:r>
          </w:p>
        </w:tc>
        <w:tc>
          <w:tcPr>
            <w:tcW w:w="1984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b/>
                <w:sz w:val="24"/>
                <w:szCs w:val="24"/>
              </w:rPr>
              <w:t>Market Surveillance</w:t>
            </w:r>
          </w:p>
        </w:tc>
        <w:tc>
          <w:tcPr>
            <w:tcW w:w="1701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b/>
                <w:sz w:val="24"/>
                <w:szCs w:val="24"/>
              </w:rPr>
              <w:t>PTI/Roadside Inspection</w:t>
            </w:r>
          </w:p>
        </w:tc>
        <w:tc>
          <w:tcPr>
            <w:tcW w:w="1525" w:type="dxa"/>
            <w:vMerge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</w:p>
        </w:tc>
      </w:tr>
      <w:tr w:rsidR="00930473" w:rsidTr="00F522D8">
        <w:tc>
          <w:tcPr>
            <w:tcW w:w="8851" w:type="dxa"/>
            <w:gridSpan w:val="5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  <w:r w:rsidRPr="00930473">
              <w:rPr>
                <w:b/>
                <w:sz w:val="24"/>
                <w:szCs w:val="24"/>
              </w:rPr>
              <w:t>Legislation</w:t>
            </w:r>
          </w:p>
        </w:tc>
      </w:tr>
      <w:tr w:rsidR="00930473" w:rsidTr="00F522D8">
        <w:tc>
          <w:tcPr>
            <w:tcW w:w="3641" w:type="dxa"/>
            <w:gridSpan w:val="2"/>
          </w:tcPr>
          <w:p w:rsidR="00930473" w:rsidRPr="00930473" w:rsidRDefault="00930473" w:rsidP="00930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The 1958 Agreement</w:t>
            </w:r>
          </w:p>
        </w:tc>
        <w:tc>
          <w:tcPr>
            <w:tcW w:w="1984" w:type="dxa"/>
          </w:tcPr>
          <w:p w:rsidR="00930473" w:rsidRPr="00930473" w:rsidRDefault="00930473" w:rsidP="00930473">
            <w:pPr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National Legislation</w:t>
            </w:r>
          </w:p>
        </w:tc>
        <w:tc>
          <w:tcPr>
            <w:tcW w:w="1701" w:type="dxa"/>
          </w:tcPr>
          <w:p w:rsidR="00930473" w:rsidRPr="00930473" w:rsidRDefault="00930473" w:rsidP="00930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The 1997 Agreement</w:t>
            </w:r>
          </w:p>
        </w:tc>
        <w:tc>
          <w:tcPr>
            <w:tcW w:w="1525" w:type="dxa"/>
          </w:tcPr>
          <w:p w:rsidR="00930473" w:rsidRPr="00262BD8" w:rsidRDefault="00930473" w:rsidP="00930473">
            <w:pPr>
              <w:pStyle w:val="ListParagraph"/>
              <w:ind w:left="880"/>
              <w:jc w:val="center"/>
              <w:rPr>
                <w:b/>
                <w:sz w:val="28"/>
                <w:szCs w:val="28"/>
              </w:rPr>
            </w:pPr>
          </w:p>
        </w:tc>
      </w:tr>
      <w:tr w:rsidR="00930473" w:rsidRPr="000B5317" w:rsidTr="00F522D8">
        <w:tc>
          <w:tcPr>
            <w:tcW w:w="8851" w:type="dxa"/>
            <w:gridSpan w:val="5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  <w:r w:rsidRPr="00930473">
              <w:rPr>
                <w:b/>
                <w:sz w:val="24"/>
                <w:szCs w:val="24"/>
              </w:rPr>
              <w:t>The legal acts shall be interconnected</w:t>
            </w:r>
          </w:p>
        </w:tc>
      </w:tr>
      <w:tr w:rsidR="00930473" w:rsidTr="00F522D8">
        <w:tc>
          <w:tcPr>
            <w:tcW w:w="8851" w:type="dxa"/>
            <w:gridSpan w:val="5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  <w:r w:rsidRPr="00930473">
              <w:rPr>
                <w:b/>
                <w:sz w:val="24"/>
                <w:szCs w:val="24"/>
              </w:rPr>
              <w:t>Supervision</w:t>
            </w:r>
          </w:p>
        </w:tc>
      </w:tr>
      <w:tr w:rsidR="00930473" w:rsidTr="00F522D8">
        <w:tc>
          <w:tcPr>
            <w:tcW w:w="1656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Manufacturer</w:t>
            </w:r>
          </w:p>
        </w:tc>
        <w:tc>
          <w:tcPr>
            <w:tcW w:w="1985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Manufacturer/Type Approval Authority</w:t>
            </w:r>
          </w:p>
        </w:tc>
        <w:tc>
          <w:tcPr>
            <w:tcW w:w="1984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Contracting Parties</w:t>
            </w:r>
          </w:p>
        </w:tc>
        <w:tc>
          <w:tcPr>
            <w:tcW w:w="1701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Contracting Parties</w:t>
            </w:r>
          </w:p>
        </w:tc>
        <w:tc>
          <w:tcPr>
            <w:tcW w:w="1525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Manufacturer/Type Approval Authority</w:t>
            </w:r>
          </w:p>
        </w:tc>
      </w:tr>
      <w:tr w:rsidR="00930473" w:rsidTr="00F522D8">
        <w:tc>
          <w:tcPr>
            <w:tcW w:w="1656" w:type="dxa"/>
          </w:tcPr>
          <w:p w:rsidR="00930473" w:rsidRPr="00930473" w:rsidRDefault="00930473" w:rsidP="00930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473">
              <w:rPr>
                <w:rFonts w:ascii="Times New Roman" w:hAnsi="Times New Roman"/>
                <w:sz w:val="24"/>
                <w:szCs w:val="24"/>
              </w:rPr>
              <w:t>The Manufacturer’s Facilities</w:t>
            </w:r>
          </w:p>
        </w:tc>
        <w:tc>
          <w:tcPr>
            <w:tcW w:w="7195" w:type="dxa"/>
            <w:gridSpan w:val="4"/>
          </w:tcPr>
          <w:p w:rsidR="00930473" w:rsidRPr="00930473" w:rsidRDefault="00930473" w:rsidP="00930473">
            <w:pPr>
              <w:pStyle w:val="ListParagraph"/>
              <w:ind w:left="880"/>
              <w:rPr>
                <w:sz w:val="24"/>
                <w:szCs w:val="24"/>
              </w:rPr>
            </w:pPr>
            <w:r w:rsidRPr="00930473">
              <w:rPr>
                <w:sz w:val="24"/>
                <w:szCs w:val="24"/>
              </w:rPr>
              <w:t>Automatic remote permanent monitoring</w:t>
            </w:r>
          </w:p>
        </w:tc>
      </w:tr>
      <w:tr w:rsidR="00930473" w:rsidRPr="00930473" w:rsidTr="00F522D8">
        <w:tc>
          <w:tcPr>
            <w:tcW w:w="8851" w:type="dxa"/>
            <w:gridSpan w:val="5"/>
          </w:tcPr>
          <w:p w:rsidR="00930473" w:rsidRPr="00930473" w:rsidRDefault="00930473" w:rsidP="00930473">
            <w:pPr>
              <w:pStyle w:val="ListParagraph"/>
              <w:ind w:left="880"/>
              <w:jc w:val="center"/>
              <w:rPr>
                <w:b/>
                <w:sz w:val="24"/>
                <w:szCs w:val="24"/>
              </w:rPr>
            </w:pPr>
            <w:r w:rsidRPr="00930473">
              <w:rPr>
                <w:b/>
                <w:sz w:val="24"/>
                <w:szCs w:val="24"/>
              </w:rPr>
              <w:t>Continuous Compliance</w:t>
            </w:r>
          </w:p>
        </w:tc>
      </w:tr>
    </w:tbl>
    <w:p w:rsidR="00930473" w:rsidRPr="00204854" w:rsidRDefault="00204854" w:rsidP="00204854">
      <w:pPr>
        <w:pStyle w:val="BodyText"/>
        <w:jc w:val="center"/>
        <w:rPr>
          <w:szCs w:val="24"/>
        </w:rPr>
      </w:pPr>
      <w:r w:rsidRPr="00204854">
        <w:rPr>
          <w:szCs w:val="24"/>
        </w:rPr>
        <w:t>Fig.1</w:t>
      </w:r>
    </w:p>
    <w:p w:rsidR="00846F9D" w:rsidRDefault="005365FB" w:rsidP="002048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930473">
        <w:rPr>
          <w:rFonts w:ascii="Times New Roman" w:hAnsi="Times New Roman"/>
          <w:sz w:val="24"/>
          <w:szCs w:val="24"/>
          <w:lang w:val="en-GB"/>
        </w:rPr>
        <w:t>he group discuss</w:t>
      </w:r>
      <w:r>
        <w:rPr>
          <w:rFonts w:ascii="Times New Roman" w:hAnsi="Times New Roman"/>
          <w:sz w:val="24"/>
          <w:szCs w:val="24"/>
          <w:lang w:val="en-GB"/>
        </w:rPr>
        <w:t xml:space="preserve">ed </w:t>
      </w:r>
      <w:r w:rsidRPr="00930473">
        <w:rPr>
          <w:rFonts w:ascii="Times New Roman" w:hAnsi="Times New Roman"/>
          <w:sz w:val="24"/>
          <w:szCs w:val="24"/>
        </w:rPr>
        <w:t>general overview of in-service compliance assessment</w:t>
      </w:r>
      <w:r w:rsidRPr="0093047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approach presented by the Russian Federation</w:t>
      </w:r>
      <w:r w:rsidR="00204854">
        <w:rPr>
          <w:rFonts w:ascii="Times New Roman" w:hAnsi="Times New Roman"/>
          <w:sz w:val="24"/>
          <w:szCs w:val="24"/>
          <w:lang w:val="en-GB"/>
        </w:rPr>
        <w:t xml:space="preserve"> (Fig.1)</w:t>
      </w:r>
      <w:r>
        <w:rPr>
          <w:rFonts w:ascii="Times New Roman" w:hAnsi="Times New Roman"/>
          <w:sz w:val="24"/>
          <w:szCs w:val="24"/>
          <w:lang w:val="en-GB"/>
        </w:rPr>
        <w:t xml:space="preserve">. According to the </w:t>
      </w:r>
      <w:r>
        <w:rPr>
          <w:rFonts w:ascii="Times New Roman" w:hAnsi="Times New Roman"/>
          <w:sz w:val="24"/>
          <w:szCs w:val="24"/>
        </w:rPr>
        <w:t>principles for in-service compliance e</w:t>
      </w:r>
      <w:r w:rsidRPr="005365FB">
        <w:rPr>
          <w:rFonts w:ascii="Times New Roman" w:hAnsi="Times New Roman"/>
          <w:sz w:val="24"/>
          <w:szCs w:val="24"/>
        </w:rPr>
        <w:t>nforcement</w:t>
      </w:r>
      <w:r>
        <w:rPr>
          <w:rFonts w:ascii="Times New Roman" w:hAnsi="Times New Roman"/>
          <w:sz w:val="24"/>
          <w:szCs w:val="24"/>
        </w:rPr>
        <w:t>, supported by WP.29,</w:t>
      </w:r>
      <w:r w:rsidRPr="00C77726">
        <w:rPr>
          <w:rFonts w:ascii="Times New Roman" w:hAnsi="Times New Roman"/>
          <w:b/>
          <w:sz w:val="28"/>
          <w:szCs w:val="28"/>
        </w:rPr>
        <w:t xml:space="preserve"> </w:t>
      </w:r>
      <w:r w:rsidRPr="005365FB">
        <w:rPr>
          <w:rFonts w:ascii="Times New Roman" w:hAnsi="Times New Roman"/>
          <w:sz w:val="24"/>
          <w:szCs w:val="24"/>
        </w:rPr>
        <w:t>a shift towards sustainability of transport systems, where all aspects of vehicle use need to be considered, including safety, the environment, mobility, efficiency, productivity and personal security</w:t>
      </w:r>
      <w:r>
        <w:rPr>
          <w:rFonts w:ascii="Times New Roman" w:hAnsi="Times New Roman"/>
          <w:sz w:val="24"/>
          <w:szCs w:val="24"/>
        </w:rPr>
        <w:t xml:space="preserve">. </w:t>
      </w:r>
      <w:r w:rsidR="00EF3F6A">
        <w:rPr>
          <w:rFonts w:ascii="Times New Roman" w:hAnsi="Times New Roman"/>
          <w:sz w:val="24"/>
          <w:szCs w:val="24"/>
        </w:rPr>
        <w:t xml:space="preserve">The </w:t>
      </w:r>
      <w:r w:rsidR="00EF3F6A" w:rsidRPr="00EF3F6A">
        <w:rPr>
          <w:rFonts w:ascii="Times New Roman" w:hAnsi="Times New Roman"/>
          <w:sz w:val="24"/>
          <w:szCs w:val="24"/>
        </w:rPr>
        <w:t xml:space="preserve">increased complexity of vehicles </w:t>
      </w:r>
      <w:proofErr w:type="gramStart"/>
      <w:r w:rsidR="00EF3F6A">
        <w:rPr>
          <w:rFonts w:ascii="Times New Roman" w:hAnsi="Times New Roman"/>
          <w:sz w:val="24"/>
          <w:szCs w:val="24"/>
        </w:rPr>
        <w:t xml:space="preserve">requires </w:t>
      </w:r>
      <w:r w:rsidR="00EF3F6A" w:rsidRPr="00EF3F6A">
        <w:rPr>
          <w:rFonts w:ascii="Times New Roman" w:hAnsi="Times New Roman"/>
          <w:sz w:val="24"/>
          <w:szCs w:val="24"/>
        </w:rPr>
        <w:t xml:space="preserve"> the</w:t>
      </w:r>
      <w:r w:rsidR="00EF3F6A">
        <w:rPr>
          <w:rFonts w:ascii="Times New Roman" w:hAnsi="Times New Roman"/>
          <w:sz w:val="24"/>
          <w:szCs w:val="24"/>
        </w:rPr>
        <w:t>y</w:t>
      </w:r>
      <w:proofErr w:type="gramEnd"/>
      <w:r w:rsidR="00EF3F6A" w:rsidRPr="00EF3F6A">
        <w:rPr>
          <w:rFonts w:ascii="Times New Roman" w:hAnsi="Times New Roman"/>
          <w:sz w:val="24"/>
          <w:szCs w:val="24"/>
        </w:rPr>
        <w:t xml:space="preserve"> need to be properly maintained throughout their life</w:t>
      </w:r>
      <w:r w:rsidR="00EF3F6A">
        <w:rPr>
          <w:rFonts w:ascii="Times New Roman" w:hAnsi="Times New Roman"/>
          <w:sz w:val="24"/>
          <w:szCs w:val="24"/>
        </w:rPr>
        <w:t xml:space="preserve">. To meet the above two principles the continuous compliance of vehicles through their whole life shall </w:t>
      </w:r>
      <w:r w:rsidR="00204854">
        <w:rPr>
          <w:rFonts w:ascii="Times New Roman" w:hAnsi="Times New Roman"/>
          <w:sz w:val="24"/>
          <w:szCs w:val="24"/>
        </w:rPr>
        <w:t>be provided</w:t>
      </w:r>
      <w:r w:rsidR="00EF3F6A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There are </w:t>
      </w:r>
      <w:r w:rsidR="00EF3F6A">
        <w:rPr>
          <w:rFonts w:ascii="Times New Roman" w:hAnsi="Times New Roman"/>
          <w:sz w:val="24"/>
          <w:szCs w:val="24"/>
        </w:rPr>
        <w:t xml:space="preserve">several procedures to </w:t>
      </w:r>
      <w:r w:rsidR="00EF3F6A">
        <w:rPr>
          <w:rFonts w:ascii="Times New Roman" w:hAnsi="Times New Roman"/>
          <w:sz w:val="24"/>
          <w:szCs w:val="24"/>
        </w:rPr>
        <w:lastRenderedPageBreak/>
        <w:t>ensure continuous compliance of the vehicle: CoP and in-service conformity in frame of the 1958 Agreement</w:t>
      </w:r>
      <w:r w:rsidR="005B020C">
        <w:rPr>
          <w:rFonts w:ascii="Times New Roman" w:hAnsi="Times New Roman"/>
          <w:sz w:val="24"/>
          <w:szCs w:val="24"/>
        </w:rPr>
        <w:t>, market s</w:t>
      </w:r>
      <w:r w:rsidR="005B020C" w:rsidRPr="005B020C">
        <w:rPr>
          <w:rFonts w:ascii="Times New Roman" w:hAnsi="Times New Roman"/>
          <w:sz w:val="24"/>
          <w:szCs w:val="24"/>
        </w:rPr>
        <w:t>urveillance</w:t>
      </w:r>
      <w:r w:rsidR="005B020C">
        <w:rPr>
          <w:rFonts w:ascii="Times New Roman" w:hAnsi="Times New Roman"/>
          <w:sz w:val="24"/>
          <w:szCs w:val="24"/>
        </w:rPr>
        <w:t>,</w:t>
      </w:r>
      <w:r w:rsidR="005B020C" w:rsidRPr="005B020C">
        <w:rPr>
          <w:rFonts w:ascii="Times New Roman" w:hAnsi="Times New Roman"/>
          <w:b/>
          <w:sz w:val="24"/>
          <w:szCs w:val="24"/>
        </w:rPr>
        <w:t xml:space="preserve"> </w:t>
      </w:r>
      <w:r w:rsidR="005B020C">
        <w:rPr>
          <w:rFonts w:ascii="Times New Roman" w:hAnsi="Times New Roman"/>
          <w:sz w:val="24"/>
          <w:szCs w:val="24"/>
        </w:rPr>
        <w:t>PTI/roadside i</w:t>
      </w:r>
      <w:r w:rsidR="005B020C" w:rsidRPr="005B020C">
        <w:rPr>
          <w:rFonts w:ascii="Times New Roman" w:hAnsi="Times New Roman"/>
          <w:sz w:val="24"/>
          <w:szCs w:val="24"/>
        </w:rPr>
        <w:t>nspection</w:t>
      </w:r>
      <w:r w:rsidR="005B020C">
        <w:rPr>
          <w:rFonts w:ascii="Times New Roman" w:hAnsi="Times New Roman"/>
          <w:sz w:val="24"/>
          <w:szCs w:val="24"/>
        </w:rPr>
        <w:t xml:space="preserve">s in frame of the 1997 Agreement. </w:t>
      </w:r>
      <w:r w:rsidR="005B020C" w:rsidRPr="00930473">
        <w:rPr>
          <w:rFonts w:ascii="Times New Roman" w:hAnsi="Times New Roman"/>
          <w:sz w:val="24"/>
          <w:szCs w:val="24"/>
        </w:rPr>
        <w:t xml:space="preserve"> </w:t>
      </w:r>
      <w:r w:rsidR="005B020C">
        <w:rPr>
          <w:rFonts w:ascii="Times New Roman" w:hAnsi="Times New Roman"/>
          <w:sz w:val="24"/>
          <w:szCs w:val="24"/>
        </w:rPr>
        <w:t xml:space="preserve">The data collected in the processes can be used by the Contracting parties for proper safety management. </w:t>
      </w:r>
      <w:r w:rsidR="005B020C" w:rsidRPr="005B020C">
        <w:rPr>
          <w:rFonts w:ascii="Times New Roman" w:hAnsi="Times New Roman"/>
          <w:sz w:val="24"/>
          <w:szCs w:val="24"/>
        </w:rPr>
        <w:t xml:space="preserve">The </w:t>
      </w:r>
      <w:r w:rsidR="005B020C">
        <w:rPr>
          <w:rFonts w:ascii="Times New Roman" w:hAnsi="Times New Roman"/>
          <w:sz w:val="24"/>
          <w:szCs w:val="24"/>
        </w:rPr>
        <w:t xml:space="preserve">mentioned international </w:t>
      </w:r>
      <w:r w:rsidR="005B020C" w:rsidRPr="005B020C">
        <w:rPr>
          <w:rFonts w:ascii="Times New Roman" w:hAnsi="Times New Roman"/>
          <w:sz w:val="24"/>
          <w:szCs w:val="24"/>
        </w:rPr>
        <w:t>legal acts shall be interconnected</w:t>
      </w:r>
      <w:r w:rsidR="005B020C">
        <w:rPr>
          <w:rFonts w:ascii="Times New Roman" w:hAnsi="Times New Roman"/>
          <w:sz w:val="24"/>
          <w:szCs w:val="24"/>
        </w:rPr>
        <w:t xml:space="preserve"> </w:t>
      </w:r>
      <w:r w:rsidR="00846F9D">
        <w:rPr>
          <w:rFonts w:ascii="Times New Roman" w:hAnsi="Times New Roman"/>
          <w:sz w:val="24"/>
          <w:szCs w:val="24"/>
        </w:rPr>
        <w:t>and could be united in future. There are international legal acts arranged this way. One of them is Customs Union Regulation on the safety of wheeled vehicles.</w:t>
      </w:r>
      <w:r w:rsidR="00876448">
        <w:rPr>
          <w:rFonts w:ascii="Times New Roman" w:hAnsi="Times New Roman"/>
          <w:sz w:val="24"/>
          <w:szCs w:val="24"/>
        </w:rPr>
        <w:t xml:space="preserve"> The approach was supported by the group.</w:t>
      </w:r>
    </w:p>
    <w:p w:rsidR="00846F9D" w:rsidRDefault="00846F9D" w:rsidP="002048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04854">
        <w:rPr>
          <w:rFonts w:ascii="Times New Roman" w:hAnsi="Times New Roman"/>
          <w:sz w:val="24"/>
          <w:szCs w:val="24"/>
        </w:rPr>
        <w:t>IWG on PTI</w:t>
      </w:r>
      <w:r w:rsidRPr="00930473">
        <w:rPr>
          <w:rFonts w:ascii="Times New Roman" w:hAnsi="Times New Roman"/>
          <w:sz w:val="24"/>
          <w:szCs w:val="24"/>
        </w:rPr>
        <w:t xml:space="preserve"> consider</w:t>
      </w:r>
      <w:r w:rsidR="00204854">
        <w:rPr>
          <w:rFonts w:ascii="Times New Roman" w:hAnsi="Times New Roman"/>
          <w:sz w:val="24"/>
          <w:szCs w:val="24"/>
        </w:rPr>
        <w:t>s</w:t>
      </w:r>
      <w:r w:rsidRPr="00930473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term</w:t>
      </w:r>
      <w:r w:rsidRPr="00930473">
        <w:rPr>
          <w:rFonts w:ascii="Times New Roman" w:hAnsi="Times New Roman"/>
          <w:sz w:val="24"/>
          <w:szCs w:val="24"/>
        </w:rPr>
        <w:t xml:space="preserve"> “compliance” as the fulfilment of the appropriate requirements during each stage of the life of vehicles. </w:t>
      </w:r>
      <w:r>
        <w:rPr>
          <w:rFonts w:ascii="Times New Roman" w:hAnsi="Times New Roman"/>
          <w:sz w:val="24"/>
          <w:szCs w:val="24"/>
        </w:rPr>
        <w:t>The requirements can be prescribed in the Agreements supervised by WP.29.</w:t>
      </w:r>
    </w:p>
    <w:p w:rsidR="00D16D41" w:rsidRPr="00930473" w:rsidRDefault="00204854" w:rsidP="0087644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</w:t>
      </w:r>
      <w:r w:rsidR="00930473" w:rsidRPr="00930473">
        <w:rPr>
          <w:rFonts w:ascii="Times New Roman" w:hAnsi="Times New Roman"/>
          <w:sz w:val="24"/>
          <w:szCs w:val="24"/>
        </w:rPr>
        <w:t xml:space="preserve"> proposed to </w:t>
      </w:r>
      <w:r>
        <w:rPr>
          <w:rFonts w:ascii="Times New Roman" w:hAnsi="Times New Roman"/>
          <w:sz w:val="24"/>
          <w:szCs w:val="24"/>
        </w:rPr>
        <w:t>take into consideration</w:t>
      </w:r>
      <w:r w:rsidR="00930473" w:rsidRPr="00930473">
        <w:rPr>
          <w:rFonts w:ascii="Times New Roman" w:hAnsi="Times New Roman"/>
          <w:sz w:val="24"/>
          <w:szCs w:val="24"/>
        </w:rPr>
        <w:t xml:space="preserve"> the concept of “Vehicle Integrity” and concerns related to continuous PTI, since that may create privacy issues.</w:t>
      </w:r>
      <w:r w:rsidR="00D16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Moreover </w:t>
      </w:r>
      <w:r w:rsidR="00930473" w:rsidRPr="00930473">
        <w:rPr>
          <w:rFonts w:ascii="Times New Roman" w:hAnsi="Times New Roman"/>
          <w:sz w:val="24"/>
          <w:szCs w:val="24"/>
        </w:rPr>
        <w:t>electronic diagnostics are not sufficient to ensure vehicle roadworthiness.</w:t>
      </w:r>
      <w:r w:rsidR="00D16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930473" w:rsidRPr="00930473">
        <w:rPr>
          <w:rFonts w:ascii="Times New Roman" w:hAnsi="Times New Roman"/>
          <w:sz w:val="24"/>
          <w:szCs w:val="24"/>
        </w:rPr>
        <w:t xml:space="preserve"> continuous PTI requires information managed in a neutral way.</w:t>
      </w:r>
    </w:p>
    <w:p w:rsidR="00930473" w:rsidRPr="009A4F96" w:rsidRDefault="00930473" w:rsidP="009A4F96">
      <w:pPr>
        <w:pStyle w:val="Default"/>
        <w:ind w:firstLine="708"/>
        <w:jc w:val="both"/>
        <w:rPr>
          <w:lang w:val="en-US"/>
        </w:rPr>
      </w:pPr>
      <w:r w:rsidRPr="00930473">
        <w:rPr>
          <w:lang w:val="en-US"/>
        </w:rPr>
        <w:t xml:space="preserve">The group </w:t>
      </w:r>
      <w:r w:rsidR="00876448" w:rsidRPr="00876448">
        <w:rPr>
          <w:lang w:val="en-US"/>
        </w:rPr>
        <w:t>continue</w:t>
      </w:r>
      <w:r w:rsidR="00765EA5">
        <w:rPr>
          <w:lang w:val="en-US"/>
        </w:rPr>
        <w:t xml:space="preserve">s </w:t>
      </w:r>
      <w:r w:rsidRPr="00876448">
        <w:rPr>
          <w:lang w:val="en-US"/>
        </w:rPr>
        <w:t>develop</w:t>
      </w:r>
      <w:r w:rsidR="00876448" w:rsidRPr="00876448">
        <w:rPr>
          <w:lang w:val="en-US"/>
        </w:rPr>
        <w:t xml:space="preserve">ment of </w:t>
      </w:r>
      <w:r w:rsidRPr="00876448">
        <w:rPr>
          <w:lang w:val="en-US"/>
        </w:rPr>
        <w:t xml:space="preserve">the </w:t>
      </w:r>
      <w:r w:rsidR="00876448" w:rsidRPr="00876448">
        <w:rPr>
          <w:lang w:val="en-US"/>
        </w:rPr>
        <w:t>general framework of in-service compliance assessment the vehicles and their components</w:t>
      </w:r>
      <w:r w:rsidR="00765EA5">
        <w:rPr>
          <w:lang w:val="en-US"/>
        </w:rPr>
        <w:t xml:space="preserve">. </w:t>
      </w:r>
      <w:r w:rsidRPr="00876448">
        <w:rPr>
          <w:lang w:val="en-US"/>
        </w:rPr>
        <w:t>The nearest task is development of the definition for in-service conformity, in-service compliance</w:t>
      </w:r>
      <w:r w:rsidRPr="00930473">
        <w:rPr>
          <w:lang w:val="en-US"/>
        </w:rPr>
        <w:t>, vehicle normal in-service conditions and vehicle normal useful life period.</w:t>
      </w:r>
    </w:p>
    <w:p w:rsidR="00E84FAF" w:rsidRPr="00930473" w:rsidRDefault="00E84FAF" w:rsidP="00930473">
      <w:pPr>
        <w:pStyle w:val="SingleTxtG"/>
        <w:spacing w:after="0" w:line="240" w:lineRule="auto"/>
        <w:ind w:left="0" w:firstLine="708"/>
        <w:rPr>
          <w:sz w:val="24"/>
          <w:szCs w:val="24"/>
          <w:lang w:val="en-US"/>
        </w:rPr>
      </w:pPr>
    </w:p>
    <w:p w:rsidR="003F2D0A" w:rsidRPr="00A13CCD" w:rsidRDefault="003F2D0A" w:rsidP="00A13CCD">
      <w:pPr>
        <w:pStyle w:val="ListParagraph"/>
        <w:numPr>
          <w:ilvl w:val="0"/>
          <w:numId w:val="9"/>
        </w:numPr>
        <w:spacing w:line="240" w:lineRule="auto"/>
        <w:ind w:leftChars="0" w:left="709" w:right="1041" w:hanging="709"/>
        <w:jc w:val="both"/>
        <w:rPr>
          <w:b/>
          <w:sz w:val="24"/>
          <w:szCs w:val="24"/>
        </w:rPr>
      </w:pPr>
      <w:r w:rsidRPr="00A13CCD">
        <w:rPr>
          <w:b/>
          <w:sz w:val="24"/>
          <w:szCs w:val="24"/>
        </w:rPr>
        <w:t>Measures to detect tampering: methods and supervision</w:t>
      </w:r>
    </w:p>
    <w:p w:rsidR="00A13CCD" w:rsidRPr="00A13CCD" w:rsidRDefault="00A13CCD" w:rsidP="00A13CCD">
      <w:pPr>
        <w:pStyle w:val="ListParagraph"/>
        <w:spacing w:line="240" w:lineRule="auto"/>
        <w:ind w:leftChars="0" w:left="0" w:right="1041"/>
        <w:jc w:val="both"/>
        <w:rPr>
          <w:b/>
          <w:sz w:val="24"/>
          <w:szCs w:val="24"/>
        </w:rPr>
      </w:pPr>
    </w:p>
    <w:p w:rsidR="004050ED" w:rsidRPr="00852549" w:rsidRDefault="00765EA5" w:rsidP="00765E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5EA5">
        <w:rPr>
          <w:rFonts w:ascii="Times New Roman" w:hAnsi="Times New Roman"/>
          <w:sz w:val="24"/>
          <w:szCs w:val="24"/>
        </w:rPr>
        <w:t xml:space="preserve">The group follows progress in development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765EA5">
        <w:rPr>
          <w:rFonts w:ascii="Times New Roman" w:hAnsi="Times New Roman"/>
          <w:sz w:val="24"/>
          <w:szCs w:val="24"/>
        </w:rPr>
        <w:t>a method for measuring NOx</w:t>
      </w:r>
      <w:r w:rsidR="00CA14A9">
        <w:rPr>
          <w:rFonts w:ascii="Times New Roman" w:hAnsi="Times New Roman"/>
          <w:sz w:val="24"/>
          <w:szCs w:val="24"/>
        </w:rPr>
        <w:t xml:space="preserve"> in frame of PTI</w:t>
      </w:r>
      <w:r w:rsidRPr="00765EA5">
        <w:rPr>
          <w:rFonts w:ascii="Times New Roman" w:hAnsi="Times New Roman"/>
          <w:sz w:val="24"/>
          <w:szCs w:val="24"/>
        </w:rPr>
        <w:t>.</w:t>
      </w:r>
    </w:p>
    <w:p w:rsidR="00105419" w:rsidRDefault="009A4F96" w:rsidP="00E84FAF">
      <w:pPr>
        <w:pStyle w:val="SingleTxtG"/>
        <w:tabs>
          <w:tab w:val="left" w:pos="709"/>
        </w:tabs>
        <w:spacing w:after="0" w:line="240" w:lineRule="auto"/>
        <w:ind w:left="0" w:right="104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4050ED" w:rsidRPr="004050ED">
        <w:rPr>
          <w:b/>
          <w:sz w:val="24"/>
          <w:szCs w:val="24"/>
          <w:lang w:val="en-US"/>
        </w:rPr>
        <w:t xml:space="preserve">. </w:t>
      </w:r>
      <w:r w:rsidR="00E41C8C">
        <w:rPr>
          <w:b/>
          <w:sz w:val="24"/>
          <w:szCs w:val="24"/>
          <w:lang w:val="en-US"/>
        </w:rPr>
        <w:tab/>
      </w:r>
      <w:r w:rsidR="003F2D0A" w:rsidRPr="004050ED">
        <w:rPr>
          <w:b/>
          <w:sz w:val="24"/>
          <w:szCs w:val="24"/>
        </w:rPr>
        <w:t>Innovative technologies</w:t>
      </w:r>
    </w:p>
    <w:p w:rsidR="004050ED" w:rsidRPr="004050ED" w:rsidRDefault="004050ED" w:rsidP="00E84FAF">
      <w:pPr>
        <w:pStyle w:val="SingleTxtG"/>
        <w:tabs>
          <w:tab w:val="left" w:pos="709"/>
        </w:tabs>
        <w:spacing w:after="0" w:line="240" w:lineRule="auto"/>
        <w:ind w:left="0" w:right="1043"/>
        <w:rPr>
          <w:b/>
          <w:sz w:val="24"/>
          <w:szCs w:val="24"/>
          <w:lang w:val="en-US"/>
        </w:rPr>
      </w:pPr>
    </w:p>
    <w:p w:rsidR="00765EA5" w:rsidRPr="009A4F96" w:rsidRDefault="009A4F96" w:rsidP="00765EA5">
      <w:pPr>
        <w:pStyle w:val="SingleTxtG"/>
        <w:tabs>
          <w:tab w:val="left" w:pos="709"/>
        </w:tabs>
        <w:spacing w:after="0"/>
        <w:ind w:left="0"/>
        <w:rPr>
          <w:rFonts w:eastAsia="MS Mincho"/>
          <w:sz w:val="24"/>
          <w:szCs w:val="24"/>
          <w:lang w:val="en-US"/>
        </w:rPr>
      </w:pPr>
      <w:r>
        <w:rPr>
          <w:rFonts w:eastAsia="MS Mincho"/>
          <w:sz w:val="24"/>
          <w:szCs w:val="24"/>
          <w:lang w:val="en-US"/>
        </w:rPr>
        <w:tab/>
      </w:r>
      <w:r w:rsidR="00765EA5" w:rsidRPr="00E2542F">
        <w:rPr>
          <w:rFonts w:eastAsia="MS Mincho"/>
          <w:sz w:val="24"/>
          <w:szCs w:val="24"/>
          <w:lang w:val="en-US"/>
        </w:rPr>
        <w:t xml:space="preserve">FSD and CITA made the presentation of the EU project assessing the introduction of </w:t>
      </w:r>
      <w:proofErr w:type="spellStart"/>
      <w:r w:rsidR="00765EA5" w:rsidRPr="00E2542F">
        <w:rPr>
          <w:rFonts w:eastAsia="MS Mincho"/>
          <w:sz w:val="24"/>
          <w:szCs w:val="24"/>
          <w:lang w:val="en-US"/>
        </w:rPr>
        <w:t>eCall</w:t>
      </w:r>
      <w:proofErr w:type="spellEnd"/>
      <w:r w:rsidR="00765EA5" w:rsidRPr="00E2542F">
        <w:rPr>
          <w:rFonts w:eastAsia="MS Mincho"/>
          <w:sz w:val="24"/>
          <w:szCs w:val="24"/>
          <w:lang w:val="en-US"/>
        </w:rPr>
        <w:t xml:space="preserve"> within </w:t>
      </w:r>
      <w:proofErr w:type="gramStart"/>
      <w:r w:rsidR="00765EA5" w:rsidRPr="00E2542F">
        <w:rPr>
          <w:rFonts w:eastAsia="MS Mincho"/>
          <w:sz w:val="24"/>
          <w:szCs w:val="24"/>
          <w:lang w:val="en-US"/>
        </w:rPr>
        <w:t>PTI</w:t>
      </w:r>
      <w:r>
        <w:rPr>
          <w:rFonts w:eastAsia="MS Mincho"/>
          <w:sz w:val="24"/>
          <w:szCs w:val="24"/>
          <w:lang w:val="en-US"/>
        </w:rPr>
        <w:t xml:space="preserve"> </w:t>
      </w:r>
      <w:r w:rsidR="00765EA5" w:rsidRPr="00E2542F">
        <w:rPr>
          <w:rFonts w:eastAsia="MS Mincho"/>
          <w:sz w:val="24"/>
          <w:szCs w:val="24"/>
          <w:lang w:val="en-US"/>
        </w:rPr>
        <w:t>.</w:t>
      </w:r>
      <w:proofErr w:type="gramEnd"/>
      <w:r>
        <w:rPr>
          <w:rFonts w:eastAsia="MS Mincho"/>
          <w:sz w:val="24"/>
          <w:szCs w:val="24"/>
          <w:lang w:val="en-US"/>
        </w:rPr>
        <w:t xml:space="preserve"> It was decided to take into consideration the results of the </w:t>
      </w:r>
      <w:proofErr w:type="gramStart"/>
      <w:r>
        <w:rPr>
          <w:rFonts w:eastAsia="MS Mincho"/>
          <w:sz w:val="24"/>
          <w:szCs w:val="24"/>
          <w:lang w:val="en-US"/>
        </w:rPr>
        <w:t xml:space="preserve">project </w:t>
      </w:r>
      <w:r w:rsidR="00765EA5" w:rsidRPr="00E2542F">
        <w:rPr>
          <w:rFonts w:eastAsia="MS Mincho"/>
          <w:sz w:val="24"/>
          <w:szCs w:val="24"/>
          <w:lang w:val="en-US"/>
        </w:rPr>
        <w:t xml:space="preserve"> to</w:t>
      </w:r>
      <w:proofErr w:type="gramEnd"/>
      <w:r w:rsidR="00765EA5" w:rsidRPr="00E2542F">
        <w:rPr>
          <w:rFonts w:eastAsia="MS Mincho"/>
          <w:sz w:val="24"/>
          <w:szCs w:val="24"/>
          <w:lang w:val="en-US"/>
        </w:rPr>
        <w:t xml:space="preserve"> update draft Rule </w:t>
      </w:r>
      <w:r w:rsidR="00765EA5">
        <w:rPr>
          <w:rFonts w:eastAsia="MS Mincho"/>
          <w:sz w:val="24"/>
          <w:szCs w:val="24"/>
          <w:lang w:val="en-US"/>
        </w:rPr>
        <w:t>on u</w:t>
      </w:r>
      <w:r w:rsidR="00765EA5" w:rsidRPr="00E2542F">
        <w:rPr>
          <w:sz w:val="24"/>
          <w:szCs w:val="24"/>
          <w:lang w:val="en-US"/>
        </w:rPr>
        <w:t>niform provisions for periodical technical inspections of accident emergency call systems</w:t>
      </w:r>
      <w:r>
        <w:rPr>
          <w:sz w:val="24"/>
          <w:szCs w:val="24"/>
          <w:lang w:val="en-US"/>
        </w:rPr>
        <w:t>.</w:t>
      </w:r>
      <w:r w:rsidR="00765EA5" w:rsidRPr="00E2542F">
        <w:rPr>
          <w:sz w:val="24"/>
          <w:szCs w:val="24"/>
          <w:lang w:val="en-US"/>
        </w:rPr>
        <w:t xml:space="preserve"> </w:t>
      </w:r>
    </w:p>
    <w:p w:rsidR="004050ED" w:rsidRDefault="00765EA5" w:rsidP="009A4F96">
      <w:pPr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A4F96">
        <w:rPr>
          <w:rFonts w:ascii="Times New Roman" w:eastAsia="MS Mincho" w:hAnsi="Times New Roman"/>
          <w:sz w:val="24"/>
          <w:szCs w:val="24"/>
        </w:rPr>
        <w:t>The group ask</w:t>
      </w:r>
      <w:r w:rsidR="009A4F96" w:rsidRPr="009A4F96">
        <w:rPr>
          <w:rFonts w:ascii="Times New Roman" w:eastAsia="MS Mincho" w:hAnsi="Times New Roman"/>
          <w:sz w:val="24"/>
          <w:szCs w:val="24"/>
        </w:rPr>
        <w:t>s</w:t>
      </w:r>
      <w:r w:rsidRPr="009A4F96">
        <w:rPr>
          <w:rFonts w:ascii="Times New Roman" w:eastAsia="MS Mincho" w:hAnsi="Times New Roman"/>
          <w:sz w:val="24"/>
          <w:szCs w:val="24"/>
        </w:rPr>
        <w:t xml:space="preserve"> </w:t>
      </w:r>
      <w:r w:rsidR="009A4F96" w:rsidRPr="009A4F96">
        <w:rPr>
          <w:rFonts w:ascii="Times New Roman" w:eastAsia="MS Mincho" w:hAnsi="Times New Roman"/>
          <w:sz w:val="24"/>
          <w:szCs w:val="24"/>
        </w:rPr>
        <w:t>guidance of WP.29 for coordination</w:t>
      </w:r>
      <w:r w:rsidRPr="009A4F96">
        <w:rPr>
          <w:rFonts w:ascii="Times New Roman" w:eastAsia="MS Mincho" w:hAnsi="Times New Roman"/>
          <w:sz w:val="24"/>
          <w:szCs w:val="24"/>
        </w:rPr>
        <w:t xml:space="preserve"> the work with the GRSG.</w:t>
      </w:r>
    </w:p>
    <w:p w:rsidR="000A3162" w:rsidRDefault="00CA14A9" w:rsidP="000A3162">
      <w:pPr>
        <w:pStyle w:val="SingleTxtG"/>
        <w:tabs>
          <w:tab w:val="left" w:pos="709"/>
        </w:tabs>
        <w:spacing w:after="0"/>
        <w:ind w:left="705" w:hanging="705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4</w:t>
      </w:r>
      <w:r w:rsidRPr="00B54748">
        <w:rPr>
          <w:rFonts w:eastAsia="MS Mincho"/>
          <w:b/>
          <w:sz w:val="24"/>
          <w:szCs w:val="24"/>
          <w:lang w:val="en-GB"/>
        </w:rPr>
        <w:t>.</w:t>
      </w:r>
      <w:r w:rsidRPr="00B54748">
        <w:rPr>
          <w:rFonts w:eastAsia="MS Mincho"/>
          <w:b/>
          <w:sz w:val="24"/>
          <w:szCs w:val="24"/>
          <w:lang w:val="en-GB"/>
        </w:rPr>
        <w:tab/>
        <w:t>Guidance for road-side technical inspections and enforcement</w:t>
      </w:r>
    </w:p>
    <w:p w:rsidR="000A3162" w:rsidRDefault="000A3162" w:rsidP="000A3162">
      <w:pPr>
        <w:pStyle w:val="SingleTxtG"/>
        <w:tabs>
          <w:tab w:val="left" w:pos="709"/>
        </w:tabs>
        <w:spacing w:after="0"/>
        <w:ind w:left="705" w:hanging="705"/>
        <w:rPr>
          <w:rFonts w:eastAsia="MS Mincho"/>
          <w:b/>
          <w:sz w:val="24"/>
          <w:szCs w:val="24"/>
          <w:lang w:val="en-GB"/>
        </w:rPr>
      </w:pPr>
    </w:p>
    <w:p w:rsidR="00CA14A9" w:rsidRDefault="000A3162" w:rsidP="000A3162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  <w:t>T</w:t>
      </w:r>
      <w:r w:rsidR="00CA14A9">
        <w:rPr>
          <w:sz w:val="24"/>
          <w:szCs w:val="24"/>
          <w:lang w:val="en-US"/>
        </w:rPr>
        <w:t xml:space="preserve">he </w:t>
      </w:r>
      <w:r w:rsidR="00CA14A9" w:rsidRPr="005F4C64">
        <w:rPr>
          <w:sz w:val="24"/>
          <w:szCs w:val="24"/>
        </w:rPr>
        <w:t xml:space="preserve">proposal for </w:t>
      </w:r>
      <w:r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amendment to </w:t>
      </w:r>
      <w:r>
        <w:rPr>
          <w:sz w:val="24"/>
          <w:szCs w:val="24"/>
          <w:lang w:val="en-US"/>
        </w:rPr>
        <w:t>R</w:t>
      </w:r>
      <w:proofErr w:type="spellStart"/>
      <w:r w:rsidR="00CA14A9" w:rsidRPr="005F4C64">
        <w:rPr>
          <w:sz w:val="24"/>
          <w:szCs w:val="24"/>
        </w:rPr>
        <w:t>esolution</w:t>
      </w:r>
      <w:proofErr w:type="spellEnd"/>
      <w:r w:rsidR="00CA14A9" w:rsidRPr="005F4C64">
        <w:rPr>
          <w:sz w:val="24"/>
          <w:szCs w:val="24"/>
        </w:rPr>
        <w:t xml:space="preserve"> R.E.6, </w:t>
      </w:r>
      <w:r>
        <w:rPr>
          <w:sz w:val="24"/>
          <w:szCs w:val="24"/>
        </w:rPr>
        <w:t>introduc</w:t>
      </w:r>
      <w:r>
        <w:rPr>
          <w:sz w:val="24"/>
          <w:szCs w:val="24"/>
          <w:lang w:val="en-US"/>
        </w:rPr>
        <w:t>ing</w:t>
      </w:r>
      <w:r>
        <w:rPr>
          <w:sz w:val="24"/>
          <w:szCs w:val="24"/>
        </w:rPr>
        <w:t xml:space="preserve"> recommendations</w:t>
      </w:r>
      <w:r>
        <w:rPr>
          <w:sz w:val="24"/>
          <w:szCs w:val="24"/>
          <w:lang w:val="en-US"/>
        </w:rPr>
        <w:t xml:space="preserve"> </w:t>
      </w:r>
      <w:r w:rsidR="00CA14A9" w:rsidRPr="005F4C64">
        <w:rPr>
          <w:sz w:val="24"/>
          <w:szCs w:val="24"/>
        </w:rPr>
        <w:t>for technical roadside inspections</w:t>
      </w:r>
      <w:r w:rsidR="00CA14A9">
        <w:rPr>
          <w:sz w:val="24"/>
          <w:szCs w:val="24"/>
          <w:lang w:val="en-US"/>
        </w:rPr>
        <w:t xml:space="preserve">, had been submitted to the WP.29 (document </w:t>
      </w:r>
      <w:r w:rsidR="00CA14A9" w:rsidRPr="005F4C64">
        <w:rPr>
          <w:sz w:val="24"/>
          <w:szCs w:val="24"/>
        </w:rPr>
        <w:t>WP.29-178-14</w:t>
      </w:r>
      <w:r w:rsidR="00CA14A9">
        <w:rPr>
          <w:sz w:val="24"/>
          <w:szCs w:val="24"/>
          <w:lang w:val="en-US"/>
        </w:rPr>
        <w:t>)</w:t>
      </w:r>
      <w:r w:rsidR="00CA14A9" w:rsidRPr="005F4C64">
        <w:rPr>
          <w:sz w:val="24"/>
          <w:szCs w:val="24"/>
        </w:rPr>
        <w:t xml:space="preserve">. </w:t>
      </w:r>
      <w:r w:rsidR="00CA14A9">
        <w:rPr>
          <w:sz w:val="24"/>
          <w:szCs w:val="24"/>
          <w:lang w:val="en-US"/>
        </w:rPr>
        <w:t xml:space="preserve">The </w:t>
      </w:r>
      <w:r w:rsidR="00CA14A9" w:rsidRPr="005F4C64">
        <w:rPr>
          <w:sz w:val="24"/>
          <w:szCs w:val="24"/>
        </w:rPr>
        <w:t>WP.29 Working Parties</w:t>
      </w:r>
      <w:r w:rsidR="00CA14A9">
        <w:rPr>
          <w:sz w:val="24"/>
          <w:szCs w:val="24"/>
          <w:lang w:val="en-US"/>
        </w:rPr>
        <w:t xml:space="preserve"> had been </w:t>
      </w:r>
      <w:r w:rsidR="00CA14A9" w:rsidRPr="005F4C64">
        <w:rPr>
          <w:sz w:val="24"/>
          <w:szCs w:val="24"/>
        </w:rPr>
        <w:t>invited to include the document on their agendas and provide comments according to their areas of expertise, which would be included in the final version for submission to AC.4</w:t>
      </w:r>
      <w:r w:rsidR="00CA14A9" w:rsidRPr="00F41A1B">
        <w:rPr>
          <w:sz w:val="24"/>
          <w:szCs w:val="24"/>
        </w:rPr>
        <w:t xml:space="preserve">. </w:t>
      </w:r>
      <w:r w:rsidR="00CA14A9" w:rsidRPr="00F41A1B">
        <w:rPr>
          <w:sz w:val="24"/>
          <w:szCs w:val="24"/>
          <w:lang w:val="en-US"/>
        </w:rPr>
        <w:t xml:space="preserve"> The group </w:t>
      </w:r>
      <w:r>
        <w:rPr>
          <w:sz w:val="24"/>
          <w:szCs w:val="24"/>
          <w:lang w:val="en-US"/>
        </w:rPr>
        <w:t xml:space="preserve">will follow </w:t>
      </w:r>
      <w:r w:rsidR="00CA14A9" w:rsidRPr="00F41A1B">
        <w:rPr>
          <w:sz w:val="24"/>
          <w:szCs w:val="24"/>
          <w:lang w:val="en-US"/>
        </w:rPr>
        <w:t>the remarks received from the GRs.</w:t>
      </w:r>
    </w:p>
    <w:p w:rsidR="000A3162" w:rsidRPr="000A3162" w:rsidRDefault="000A3162" w:rsidP="000A3162">
      <w:pPr>
        <w:pStyle w:val="SingleTxtG"/>
        <w:tabs>
          <w:tab w:val="left" w:pos="709"/>
        </w:tabs>
        <w:spacing w:after="0"/>
        <w:ind w:left="0"/>
        <w:rPr>
          <w:rFonts w:eastAsia="MS Mincho"/>
          <w:b/>
          <w:sz w:val="24"/>
          <w:szCs w:val="24"/>
          <w:lang w:val="en-GB"/>
        </w:rPr>
      </w:pPr>
    </w:p>
    <w:p w:rsidR="009A4F96" w:rsidRPr="009A4F96" w:rsidRDefault="00CA14A9" w:rsidP="009A4F96">
      <w:pPr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5</w:t>
      </w:r>
      <w:r w:rsidR="009A4F96" w:rsidRPr="009A4F96">
        <w:rPr>
          <w:rFonts w:ascii="Times New Roman" w:eastAsia="MS Mincho" w:hAnsi="Times New Roman"/>
          <w:b/>
          <w:sz w:val="24"/>
          <w:szCs w:val="24"/>
        </w:rPr>
        <w:t xml:space="preserve">. </w:t>
      </w:r>
      <w:r w:rsidR="009A4F96" w:rsidRPr="009A4F96">
        <w:rPr>
          <w:rFonts w:ascii="Times New Roman" w:eastAsia="MS Mincho" w:hAnsi="Times New Roman"/>
          <w:b/>
          <w:sz w:val="24"/>
          <w:szCs w:val="24"/>
        </w:rPr>
        <w:tab/>
      </w:r>
      <w:r w:rsidR="009A4F96" w:rsidRPr="009A4F96">
        <w:rPr>
          <w:rFonts w:ascii="Times New Roman" w:hAnsi="Times New Roman"/>
          <w:b/>
          <w:sz w:val="24"/>
          <w:szCs w:val="24"/>
          <w:lang w:val="en-GB"/>
        </w:rPr>
        <w:t>Inspection of two- and three-wheelers and light trailers</w:t>
      </w:r>
    </w:p>
    <w:p w:rsidR="009A4F96" w:rsidRDefault="009A4F96" w:rsidP="009A4F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F96">
        <w:rPr>
          <w:rFonts w:ascii="Times New Roman" w:hAnsi="Times New Roman"/>
          <w:sz w:val="24"/>
          <w:szCs w:val="24"/>
        </w:rPr>
        <w:t>The CITA made the presentation about the EU study on the inclusion of 2- and 3-wheelers and light trailers in PTI, which shows a strong case thanks to the comparison of fatality parameters in Spain before and after the introduct</w:t>
      </w:r>
      <w:r>
        <w:rPr>
          <w:rFonts w:ascii="Times New Roman" w:hAnsi="Times New Roman"/>
          <w:sz w:val="24"/>
          <w:szCs w:val="24"/>
        </w:rPr>
        <w:t>ion of PTI of mopeds (</w:t>
      </w:r>
      <w:r w:rsidRPr="009A4F96">
        <w:rPr>
          <w:rStyle w:val="Hyperlink"/>
          <w:rFonts w:ascii="Times New Roman" w:hAnsi="Times New Roman"/>
          <w:color w:val="5B9BD5"/>
          <w:sz w:val="24"/>
          <w:szCs w:val="24"/>
          <w:u w:val="single"/>
          <w:lang w:val="en-GB"/>
        </w:rPr>
        <w:t>https://publications.europa.eu/en/publication-detail/-/publication/366a32b6-34c2-11e9-8d04-01aa75ed71a1</w:t>
      </w:r>
      <w:r>
        <w:rPr>
          <w:rStyle w:val="Hyperlink"/>
          <w:rFonts w:ascii="Times New Roman" w:hAnsi="Times New Roman"/>
          <w:color w:val="5B9BD5"/>
          <w:sz w:val="24"/>
          <w:szCs w:val="24"/>
          <w:u w:val="single"/>
          <w:lang w:val="en-GB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4F96">
        <w:rPr>
          <w:rFonts w:ascii="Times New Roman" w:hAnsi="Times New Roman"/>
          <w:sz w:val="24"/>
          <w:szCs w:val="24"/>
        </w:rPr>
        <w:t>The UK has also undertaken a similar study with light trailers but with different conclusions.</w:t>
      </w:r>
      <w:r w:rsidR="00CA14A9">
        <w:rPr>
          <w:rFonts w:ascii="Times New Roman" w:hAnsi="Times New Roman"/>
          <w:sz w:val="24"/>
          <w:szCs w:val="24"/>
        </w:rPr>
        <w:t xml:space="preserve"> </w:t>
      </w:r>
    </w:p>
    <w:p w:rsidR="009A4F96" w:rsidRPr="00CA14A9" w:rsidRDefault="000A3162" w:rsidP="00CA14A9">
      <w:pPr>
        <w:ind w:right="10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A4F96" w:rsidRPr="0003367C">
        <w:rPr>
          <w:rFonts w:ascii="Times New Roman" w:hAnsi="Times New Roman"/>
          <w:b/>
          <w:sz w:val="24"/>
          <w:szCs w:val="24"/>
        </w:rPr>
        <w:t xml:space="preserve">. </w:t>
      </w:r>
      <w:r w:rsidR="009A4F96">
        <w:rPr>
          <w:rFonts w:ascii="Times New Roman" w:hAnsi="Times New Roman"/>
          <w:b/>
          <w:sz w:val="24"/>
          <w:szCs w:val="24"/>
        </w:rPr>
        <w:tab/>
      </w:r>
      <w:r w:rsidR="009A4F96" w:rsidRPr="0003367C">
        <w:rPr>
          <w:rFonts w:ascii="Times New Roman" w:hAnsi="Times New Roman"/>
          <w:b/>
          <w:sz w:val="24"/>
          <w:szCs w:val="24"/>
        </w:rPr>
        <w:t>Other Business</w:t>
      </w:r>
      <w:r w:rsidR="009A4F96" w:rsidRPr="009A4F96">
        <w:rPr>
          <w:rFonts w:ascii="Times New Roman" w:hAnsi="Times New Roman"/>
          <w:sz w:val="24"/>
          <w:szCs w:val="24"/>
        </w:rPr>
        <w:tab/>
      </w:r>
    </w:p>
    <w:p w:rsidR="009A4F96" w:rsidRPr="009A4F96" w:rsidRDefault="009A4F96" w:rsidP="00CA14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4F96">
        <w:rPr>
          <w:rFonts w:ascii="Times New Roman" w:hAnsi="Times New Roman"/>
          <w:sz w:val="24"/>
          <w:szCs w:val="24"/>
        </w:rPr>
        <w:t xml:space="preserve">The representative of the Netherlands </w:t>
      </w:r>
      <w:r w:rsidR="00CA14A9">
        <w:rPr>
          <w:rFonts w:ascii="Times New Roman" w:hAnsi="Times New Roman"/>
          <w:sz w:val="24"/>
          <w:szCs w:val="24"/>
        </w:rPr>
        <w:t xml:space="preserve">invited to join the New PTI group which </w:t>
      </w:r>
      <w:r w:rsidRPr="009A4F96">
        <w:rPr>
          <w:rFonts w:ascii="Times New Roman" w:hAnsi="Times New Roman"/>
          <w:sz w:val="24"/>
          <w:szCs w:val="24"/>
        </w:rPr>
        <w:t xml:space="preserve">had developed the procedure to measure PN during PTI and now starts to work on NOx. </w:t>
      </w:r>
    </w:p>
    <w:p w:rsidR="009A4F96" w:rsidRPr="00CA14A9" w:rsidRDefault="000A3162" w:rsidP="00CA14A9">
      <w:pPr>
        <w:pStyle w:val="Subtitle"/>
        <w:rPr>
          <w:b/>
          <w:szCs w:val="24"/>
          <w:u w:val="none"/>
        </w:rPr>
      </w:pPr>
      <w:r>
        <w:rPr>
          <w:b/>
          <w:szCs w:val="24"/>
          <w:u w:val="none"/>
        </w:rPr>
        <w:t>7</w:t>
      </w:r>
      <w:r w:rsidR="00CA14A9" w:rsidRPr="00CA14A9">
        <w:rPr>
          <w:b/>
          <w:szCs w:val="24"/>
          <w:u w:val="none"/>
        </w:rPr>
        <w:t xml:space="preserve">. </w:t>
      </w:r>
      <w:r w:rsidR="00CA14A9">
        <w:rPr>
          <w:b/>
          <w:szCs w:val="24"/>
          <w:u w:val="none"/>
        </w:rPr>
        <w:t xml:space="preserve">         </w:t>
      </w:r>
      <w:r w:rsidR="009A4F96" w:rsidRPr="00CA14A9">
        <w:rPr>
          <w:b/>
          <w:szCs w:val="24"/>
          <w:u w:val="none"/>
        </w:rPr>
        <w:t>Next meeting</w:t>
      </w:r>
    </w:p>
    <w:p w:rsidR="00136E28" w:rsidRDefault="009A4F96" w:rsidP="00CA14A9">
      <w:pPr>
        <w:ind w:firstLine="708"/>
        <w:jc w:val="both"/>
        <w:rPr>
          <w:sz w:val="24"/>
          <w:szCs w:val="24"/>
        </w:rPr>
      </w:pPr>
      <w:r w:rsidRPr="009A4F96">
        <w:rPr>
          <w:rFonts w:ascii="Times New Roman" w:hAnsi="Times New Roman"/>
          <w:sz w:val="24"/>
          <w:szCs w:val="24"/>
        </w:rPr>
        <w:t xml:space="preserve">The next meeting is scheduled to be held in frame of the 179-th session of WP.29 in Geneva. </w:t>
      </w:r>
    </w:p>
    <w:p w:rsidR="00A13CCD" w:rsidRPr="0003367C" w:rsidRDefault="00A13CCD" w:rsidP="00A13CCD">
      <w:pPr>
        <w:pStyle w:val="SingleTxtG"/>
        <w:tabs>
          <w:tab w:val="left" w:pos="709"/>
        </w:tabs>
        <w:spacing w:after="0"/>
        <w:ind w:left="0" w:right="1041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</w:t>
      </w:r>
    </w:p>
    <w:p w:rsidR="00623469" w:rsidRPr="0003367C" w:rsidRDefault="00623469" w:rsidP="00AE25C7">
      <w:pPr>
        <w:pStyle w:val="SingleTxtG"/>
        <w:tabs>
          <w:tab w:val="left" w:pos="709"/>
        </w:tabs>
        <w:spacing w:after="0"/>
        <w:ind w:left="0" w:right="1041"/>
        <w:rPr>
          <w:sz w:val="24"/>
          <w:szCs w:val="24"/>
          <w:lang w:val="en-GB"/>
        </w:rPr>
      </w:pPr>
    </w:p>
    <w:sectPr w:rsidR="00623469" w:rsidRPr="0003367C" w:rsidSect="00A13CCD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134" w:bottom="2268" w:left="1276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AD" w:rsidRDefault="000778AD">
      <w:pPr>
        <w:spacing w:after="0" w:line="240" w:lineRule="auto"/>
      </w:pPr>
      <w:r>
        <w:separator/>
      </w:r>
    </w:p>
  </w:endnote>
  <w:endnote w:type="continuationSeparator" w:id="0">
    <w:p w:rsidR="000778AD" w:rsidRDefault="0007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75" w:rsidRPr="00884F75" w:rsidRDefault="006E6E75" w:rsidP="00884F75">
    <w:pPr>
      <w:suppressAutoHyphens/>
      <w:spacing w:after="0" w:line="240" w:lineRule="auto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0A3162">
      <w:rPr>
        <w:rFonts w:ascii="Times New Roman" w:eastAsia="Times New Roman" w:hAnsi="Times New Roman"/>
        <w:b/>
        <w:noProof/>
        <w:sz w:val="20"/>
        <w:szCs w:val="20"/>
        <w:lang w:val="en-GB"/>
      </w:rPr>
      <w:t>2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0A3162">
      <w:rPr>
        <w:rFonts w:ascii="Times New Roman" w:eastAsia="Times New Roman" w:hAnsi="Times New Roman"/>
        <w:b/>
        <w:noProof/>
        <w:sz w:val="20"/>
        <w:szCs w:val="20"/>
        <w:lang w:val="en-GB"/>
      </w:rPr>
      <w:t>3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9" w:rsidRPr="00884F75" w:rsidRDefault="006E6E75" w:rsidP="00884F75">
    <w:pPr>
      <w:suppressAutoHyphens/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val="en-GB"/>
      </w:rPr>
    </w:pP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begin"/>
    </w:r>
    <w:r w:rsidR="00884F75" w:rsidRPr="00884F75">
      <w:rPr>
        <w:rFonts w:ascii="Times New Roman" w:eastAsia="Times New Roman" w:hAnsi="Times New Roman"/>
        <w:b/>
        <w:sz w:val="20"/>
        <w:szCs w:val="20"/>
        <w:lang w:val="en-GB"/>
      </w:rPr>
      <w:instrText xml:space="preserve"> PAGE   \* MERGEFORMAT </w:instrTex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separate"/>
    </w:r>
    <w:r w:rsidR="000A3162">
      <w:rPr>
        <w:rFonts w:ascii="Times New Roman" w:eastAsia="Times New Roman" w:hAnsi="Times New Roman"/>
        <w:b/>
        <w:noProof/>
        <w:sz w:val="20"/>
        <w:szCs w:val="20"/>
        <w:lang w:val="en-GB"/>
      </w:rPr>
      <w:t>1</w:t>
    </w:r>
    <w:r w:rsidRPr="00884F75">
      <w:rPr>
        <w:rFonts w:ascii="Times New Roman" w:eastAsia="Times New Roman" w:hAnsi="Times New Roman"/>
        <w:b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AD" w:rsidRDefault="000778AD">
      <w:pPr>
        <w:spacing w:after="0" w:line="240" w:lineRule="auto"/>
      </w:pPr>
      <w:r>
        <w:separator/>
      </w:r>
    </w:p>
  </w:footnote>
  <w:footnote w:type="continuationSeparator" w:id="0">
    <w:p w:rsidR="000778AD" w:rsidRDefault="0007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75" w:rsidRPr="00884F75" w:rsidRDefault="00884F75" w:rsidP="00884F75">
    <w:pPr>
      <w:pBdr>
        <w:bottom w:val="single" w:sz="4" w:space="1" w:color="auto"/>
      </w:pBdr>
      <w:suppressAutoHyphens/>
      <w:spacing w:after="0" w:line="240" w:lineRule="auto"/>
      <w:jc w:val="right"/>
      <w:rPr>
        <w:rFonts w:ascii="Times New Roman" w:eastAsia="Times New Roman" w:hAnsi="Times New Roman"/>
        <w:b/>
        <w:sz w:val="18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465ACA"/>
    <w:multiLevelType w:val="hybridMultilevel"/>
    <w:tmpl w:val="4594A1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495A78"/>
    <w:multiLevelType w:val="hybridMultilevel"/>
    <w:tmpl w:val="DFEE5A36"/>
    <w:lvl w:ilvl="0" w:tplc="2BD2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6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4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E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C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C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27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C6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B21EA"/>
    <w:multiLevelType w:val="hybridMultilevel"/>
    <w:tmpl w:val="278CB2BA"/>
    <w:lvl w:ilvl="0" w:tplc="3A6CA340">
      <w:start w:val="6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8815269"/>
    <w:multiLevelType w:val="hybridMultilevel"/>
    <w:tmpl w:val="BD306576"/>
    <w:lvl w:ilvl="0" w:tplc="4F6C4F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64A0BB8"/>
    <w:multiLevelType w:val="hybridMultilevel"/>
    <w:tmpl w:val="583C57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AA1F"/>
    <w:multiLevelType w:val="hybridMultilevel"/>
    <w:tmpl w:val="70CF4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5E1262"/>
    <w:multiLevelType w:val="hybridMultilevel"/>
    <w:tmpl w:val="D93A1FEA"/>
    <w:lvl w:ilvl="0" w:tplc="24A657C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171D"/>
    <w:multiLevelType w:val="hybridMultilevel"/>
    <w:tmpl w:val="4EFA2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0A22"/>
    <w:multiLevelType w:val="hybridMultilevel"/>
    <w:tmpl w:val="0024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7DE4"/>
    <w:multiLevelType w:val="hybridMultilevel"/>
    <w:tmpl w:val="C9FA2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5002A3"/>
    <w:multiLevelType w:val="hybridMultilevel"/>
    <w:tmpl w:val="CFFC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84D84"/>
    <w:multiLevelType w:val="hybridMultilevel"/>
    <w:tmpl w:val="F4A4F288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 w15:restartNumberingAfterBreak="0">
    <w:nsid w:val="49C72886"/>
    <w:multiLevelType w:val="hybridMultilevel"/>
    <w:tmpl w:val="9FC6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22050"/>
    <w:multiLevelType w:val="hybridMultilevel"/>
    <w:tmpl w:val="C9D0BE50"/>
    <w:lvl w:ilvl="0" w:tplc="1FCE96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D6A5B"/>
    <w:multiLevelType w:val="hybridMultilevel"/>
    <w:tmpl w:val="FF0C2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40042"/>
    <w:multiLevelType w:val="hybridMultilevel"/>
    <w:tmpl w:val="320C6844"/>
    <w:lvl w:ilvl="0" w:tplc="69C6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2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EE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C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2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B32644"/>
    <w:multiLevelType w:val="hybridMultilevel"/>
    <w:tmpl w:val="B4F0ECDC"/>
    <w:lvl w:ilvl="0" w:tplc="E87C7D7E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AF3CA7"/>
    <w:multiLevelType w:val="multilevel"/>
    <w:tmpl w:val="CFF2F036"/>
    <w:lvl w:ilvl="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abstractNum w:abstractNumId="22" w15:restartNumberingAfterBreak="0">
    <w:nsid w:val="7C3020F0"/>
    <w:multiLevelType w:val="hybridMultilevel"/>
    <w:tmpl w:val="7E2A6DB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9"/>
  </w:num>
  <w:num w:numId="5">
    <w:abstractNumId w:val="13"/>
  </w:num>
  <w:num w:numId="6">
    <w:abstractNumId w:val="22"/>
  </w:num>
  <w:num w:numId="7">
    <w:abstractNumId w:val="20"/>
  </w:num>
  <w:num w:numId="8">
    <w:abstractNumId w:val="4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6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2"/>
  </w:num>
  <w:num w:numId="20">
    <w:abstractNumId w:val="10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6AC"/>
    <w:rsid w:val="00014134"/>
    <w:rsid w:val="00016529"/>
    <w:rsid w:val="000225C9"/>
    <w:rsid w:val="0003367C"/>
    <w:rsid w:val="0003647D"/>
    <w:rsid w:val="00056B9C"/>
    <w:rsid w:val="000757D4"/>
    <w:rsid w:val="000778AD"/>
    <w:rsid w:val="00086E75"/>
    <w:rsid w:val="00091DA3"/>
    <w:rsid w:val="000A3162"/>
    <w:rsid w:val="000B0728"/>
    <w:rsid w:val="000C2F32"/>
    <w:rsid w:val="000D250C"/>
    <w:rsid w:val="000D580F"/>
    <w:rsid w:val="000D63BE"/>
    <w:rsid w:val="000E0C85"/>
    <w:rsid w:val="000F245B"/>
    <w:rsid w:val="00104BDA"/>
    <w:rsid w:val="00105419"/>
    <w:rsid w:val="001142E7"/>
    <w:rsid w:val="001167C7"/>
    <w:rsid w:val="001252DC"/>
    <w:rsid w:val="00136E28"/>
    <w:rsid w:val="001378E9"/>
    <w:rsid w:val="00152ADB"/>
    <w:rsid w:val="00152EBD"/>
    <w:rsid w:val="001577FE"/>
    <w:rsid w:val="001A092B"/>
    <w:rsid w:val="001D268F"/>
    <w:rsid w:val="001D3D87"/>
    <w:rsid w:val="001E48A0"/>
    <w:rsid w:val="001F1DFF"/>
    <w:rsid w:val="00204854"/>
    <w:rsid w:val="002167CB"/>
    <w:rsid w:val="00222811"/>
    <w:rsid w:val="00245CA6"/>
    <w:rsid w:val="00293AFB"/>
    <w:rsid w:val="00296E4B"/>
    <w:rsid w:val="00297B7A"/>
    <w:rsid w:val="002A0D96"/>
    <w:rsid w:val="002A1092"/>
    <w:rsid w:val="002A6214"/>
    <w:rsid w:val="002C2FCA"/>
    <w:rsid w:val="002C6E1D"/>
    <w:rsid w:val="002C707B"/>
    <w:rsid w:val="002C7155"/>
    <w:rsid w:val="002E3C5C"/>
    <w:rsid w:val="002F01A9"/>
    <w:rsid w:val="00314580"/>
    <w:rsid w:val="00326383"/>
    <w:rsid w:val="0033551D"/>
    <w:rsid w:val="00351540"/>
    <w:rsid w:val="00377C11"/>
    <w:rsid w:val="003A1A5A"/>
    <w:rsid w:val="003A2E93"/>
    <w:rsid w:val="003A405E"/>
    <w:rsid w:val="003B25EC"/>
    <w:rsid w:val="003C642F"/>
    <w:rsid w:val="003C749F"/>
    <w:rsid w:val="003D30DA"/>
    <w:rsid w:val="003D7634"/>
    <w:rsid w:val="003F2D0A"/>
    <w:rsid w:val="004050ED"/>
    <w:rsid w:val="00437DE3"/>
    <w:rsid w:val="00452FAE"/>
    <w:rsid w:val="00467ED2"/>
    <w:rsid w:val="00491531"/>
    <w:rsid w:val="004A136B"/>
    <w:rsid w:val="004A1FDD"/>
    <w:rsid w:val="004A3AA7"/>
    <w:rsid w:val="004B54BD"/>
    <w:rsid w:val="004C2791"/>
    <w:rsid w:val="004C39D4"/>
    <w:rsid w:val="004D3BFD"/>
    <w:rsid w:val="004E55FE"/>
    <w:rsid w:val="004F3888"/>
    <w:rsid w:val="00503314"/>
    <w:rsid w:val="005365FB"/>
    <w:rsid w:val="005706A8"/>
    <w:rsid w:val="005709B5"/>
    <w:rsid w:val="00571394"/>
    <w:rsid w:val="00582977"/>
    <w:rsid w:val="00590DDE"/>
    <w:rsid w:val="005922AF"/>
    <w:rsid w:val="005B020C"/>
    <w:rsid w:val="005B1E00"/>
    <w:rsid w:val="005B316F"/>
    <w:rsid w:val="005C3B59"/>
    <w:rsid w:val="005D07D8"/>
    <w:rsid w:val="005F4C64"/>
    <w:rsid w:val="00616190"/>
    <w:rsid w:val="006175A9"/>
    <w:rsid w:val="00623469"/>
    <w:rsid w:val="006615D1"/>
    <w:rsid w:val="00662844"/>
    <w:rsid w:val="006A4085"/>
    <w:rsid w:val="006B0EA8"/>
    <w:rsid w:val="006D7462"/>
    <w:rsid w:val="006E5D10"/>
    <w:rsid w:val="006E6E75"/>
    <w:rsid w:val="007209CF"/>
    <w:rsid w:val="00734CD0"/>
    <w:rsid w:val="0073698B"/>
    <w:rsid w:val="00756047"/>
    <w:rsid w:val="00761FE8"/>
    <w:rsid w:val="00765EA5"/>
    <w:rsid w:val="007A3BBF"/>
    <w:rsid w:val="007C511B"/>
    <w:rsid w:val="007C57A4"/>
    <w:rsid w:val="007C772A"/>
    <w:rsid w:val="007F136D"/>
    <w:rsid w:val="00840533"/>
    <w:rsid w:val="0084655F"/>
    <w:rsid w:val="00846F9D"/>
    <w:rsid w:val="00852549"/>
    <w:rsid w:val="008610E7"/>
    <w:rsid w:val="008630E1"/>
    <w:rsid w:val="00863BC1"/>
    <w:rsid w:val="00864636"/>
    <w:rsid w:val="00865ADB"/>
    <w:rsid w:val="00876448"/>
    <w:rsid w:val="00884F75"/>
    <w:rsid w:val="008A118A"/>
    <w:rsid w:val="008B3AE7"/>
    <w:rsid w:val="008C3BC4"/>
    <w:rsid w:val="008C7955"/>
    <w:rsid w:val="00914361"/>
    <w:rsid w:val="00920BE8"/>
    <w:rsid w:val="00923227"/>
    <w:rsid w:val="00930473"/>
    <w:rsid w:val="00975E82"/>
    <w:rsid w:val="00991A14"/>
    <w:rsid w:val="009956F9"/>
    <w:rsid w:val="00997F7F"/>
    <w:rsid w:val="009A3E50"/>
    <w:rsid w:val="009A4F96"/>
    <w:rsid w:val="009B660D"/>
    <w:rsid w:val="009B76AA"/>
    <w:rsid w:val="009D5462"/>
    <w:rsid w:val="009F2CA3"/>
    <w:rsid w:val="00A13CCD"/>
    <w:rsid w:val="00A20D2A"/>
    <w:rsid w:val="00A34048"/>
    <w:rsid w:val="00A500C9"/>
    <w:rsid w:val="00A63A58"/>
    <w:rsid w:val="00A834CE"/>
    <w:rsid w:val="00AA2BA5"/>
    <w:rsid w:val="00AB4941"/>
    <w:rsid w:val="00AB544E"/>
    <w:rsid w:val="00AB6C0F"/>
    <w:rsid w:val="00AC6F95"/>
    <w:rsid w:val="00AE25C7"/>
    <w:rsid w:val="00AE42DF"/>
    <w:rsid w:val="00AF4694"/>
    <w:rsid w:val="00B30BA9"/>
    <w:rsid w:val="00B530CC"/>
    <w:rsid w:val="00B63DA0"/>
    <w:rsid w:val="00B65905"/>
    <w:rsid w:val="00B72F06"/>
    <w:rsid w:val="00B74ED2"/>
    <w:rsid w:val="00B81EC8"/>
    <w:rsid w:val="00B926AC"/>
    <w:rsid w:val="00B97185"/>
    <w:rsid w:val="00BC1361"/>
    <w:rsid w:val="00BC221C"/>
    <w:rsid w:val="00C1042B"/>
    <w:rsid w:val="00C15611"/>
    <w:rsid w:val="00C23102"/>
    <w:rsid w:val="00C34E9E"/>
    <w:rsid w:val="00C627EC"/>
    <w:rsid w:val="00C658D0"/>
    <w:rsid w:val="00C850FC"/>
    <w:rsid w:val="00C87232"/>
    <w:rsid w:val="00C92FE2"/>
    <w:rsid w:val="00CA14A9"/>
    <w:rsid w:val="00CC0DD1"/>
    <w:rsid w:val="00CD2B96"/>
    <w:rsid w:val="00CD2FAD"/>
    <w:rsid w:val="00CD3D37"/>
    <w:rsid w:val="00CE0648"/>
    <w:rsid w:val="00CF448E"/>
    <w:rsid w:val="00D10248"/>
    <w:rsid w:val="00D16D41"/>
    <w:rsid w:val="00D549A7"/>
    <w:rsid w:val="00D602B6"/>
    <w:rsid w:val="00D674B3"/>
    <w:rsid w:val="00D7380F"/>
    <w:rsid w:val="00D74066"/>
    <w:rsid w:val="00D74E03"/>
    <w:rsid w:val="00D850FE"/>
    <w:rsid w:val="00DB1477"/>
    <w:rsid w:val="00DB377D"/>
    <w:rsid w:val="00DC1BF6"/>
    <w:rsid w:val="00DC2F89"/>
    <w:rsid w:val="00DD19A4"/>
    <w:rsid w:val="00DD6021"/>
    <w:rsid w:val="00DF1EDD"/>
    <w:rsid w:val="00DF2435"/>
    <w:rsid w:val="00E04683"/>
    <w:rsid w:val="00E07FAE"/>
    <w:rsid w:val="00E157BA"/>
    <w:rsid w:val="00E3068F"/>
    <w:rsid w:val="00E41C8C"/>
    <w:rsid w:val="00E46C1A"/>
    <w:rsid w:val="00E475E5"/>
    <w:rsid w:val="00E6513A"/>
    <w:rsid w:val="00E84FAF"/>
    <w:rsid w:val="00E86ECB"/>
    <w:rsid w:val="00E91830"/>
    <w:rsid w:val="00E9566A"/>
    <w:rsid w:val="00EA3C85"/>
    <w:rsid w:val="00EC13D5"/>
    <w:rsid w:val="00EC18AA"/>
    <w:rsid w:val="00EC4E93"/>
    <w:rsid w:val="00ED7032"/>
    <w:rsid w:val="00EE48A0"/>
    <w:rsid w:val="00EF3F6A"/>
    <w:rsid w:val="00F01B5A"/>
    <w:rsid w:val="00F20D61"/>
    <w:rsid w:val="00F24DD0"/>
    <w:rsid w:val="00F32C4E"/>
    <w:rsid w:val="00F6091B"/>
    <w:rsid w:val="00F72A89"/>
    <w:rsid w:val="00F746B8"/>
    <w:rsid w:val="00F76FDB"/>
    <w:rsid w:val="00F83662"/>
    <w:rsid w:val="00F851F7"/>
    <w:rsid w:val="00F852B3"/>
    <w:rsid w:val="00F93640"/>
    <w:rsid w:val="00FA6809"/>
    <w:rsid w:val="00FB68D9"/>
    <w:rsid w:val="00FC278C"/>
    <w:rsid w:val="00FD2428"/>
    <w:rsid w:val="00FE0B20"/>
    <w:rsid w:val="00FE279C"/>
    <w:rsid w:val="00FF1B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978EA"/>
  <w15:docId w15:val="{05E41F80-F4CA-41CD-9F5C-3298415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6A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D87"/>
    <w:pPr>
      <w:keepNext/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B926A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SingleTxtGChar">
    <w:name w:val="_ Single Txt_G Char"/>
    <w:link w:val="SingleTxtG"/>
    <w:rsid w:val="00B926A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qFormat/>
    <w:rsid w:val="00B926A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B926A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A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A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Char">
    <w:name w:val="_ Single Txt_G Char Char"/>
    <w:rsid w:val="009B76AA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D3D87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1D3D87"/>
    <w:pPr>
      <w:tabs>
        <w:tab w:val="left" w:pos="0"/>
        <w:tab w:val="left" w:pos="480"/>
        <w:tab w:val="left" w:pos="960"/>
        <w:tab w:val="left" w:pos="1320"/>
        <w:tab w:val="left" w:pos="1680"/>
        <w:tab w:val="left" w:pos="2160"/>
        <w:tab w:val="left" w:pos="2640"/>
        <w:tab w:val="left" w:pos="3120"/>
        <w:tab w:val="left" w:pos="3600"/>
        <w:tab w:val="left" w:pos="4080"/>
        <w:tab w:val="left" w:pos="4560"/>
        <w:tab w:val="left" w:pos="5040"/>
        <w:tab w:val="left" w:pos="5640"/>
        <w:tab w:val="left" w:pos="6000"/>
        <w:tab w:val="left" w:pos="6361"/>
        <w:tab w:val="left" w:pos="6720"/>
        <w:tab w:val="left" w:pos="6939"/>
        <w:tab w:val="left" w:pos="7320"/>
        <w:tab w:val="left" w:pos="79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D3D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M1">
    <w:name w:val="CM1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3">
    <w:name w:val="CM3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customStyle="1" w:styleId="CM4">
    <w:name w:val="CM4"/>
    <w:basedOn w:val="Normal"/>
    <w:next w:val="Normal"/>
    <w:uiPriority w:val="99"/>
    <w:rsid w:val="001D3D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96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B97185"/>
    <w:rPr>
      <w:color w:val="auto"/>
      <w:u w:val="none"/>
    </w:rPr>
  </w:style>
  <w:style w:type="character" w:customStyle="1" w:styleId="hvr">
    <w:name w:val="hvr"/>
    <w:basedOn w:val="DefaultParagraphFont"/>
    <w:rsid w:val="00B30BA9"/>
  </w:style>
  <w:style w:type="paragraph" w:customStyle="1" w:styleId="H1G">
    <w:name w:val="_ H_1_G"/>
    <w:basedOn w:val="Normal"/>
    <w:next w:val="Normal"/>
    <w:link w:val="H1GChar"/>
    <w:rsid w:val="000165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1652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Bullet1G">
    <w:name w:val="_Bullet 1_G"/>
    <w:basedOn w:val="Normal"/>
    <w:rsid w:val="00016529"/>
    <w:pPr>
      <w:tabs>
        <w:tab w:val="num" w:pos="1701"/>
      </w:tabs>
      <w:suppressAutoHyphens/>
      <w:spacing w:after="120" w:line="240" w:lineRule="atLeast"/>
      <w:ind w:left="1701" w:right="1134" w:hanging="17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52ADB"/>
    <w:pPr>
      <w:suppressAutoHyphens/>
      <w:spacing w:after="0" w:line="240" w:lineRule="atLeast"/>
      <w:ind w:leftChars="400" w:left="840"/>
    </w:pPr>
    <w:rPr>
      <w:rFonts w:ascii="Times New Roman" w:eastAsia="MS Mincho" w:hAnsi="Times New Roman"/>
      <w:sz w:val="20"/>
      <w:szCs w:val="20"/>
    </w:rPr>
  </w:style>
  <w:style w:type="paragraph" w:styleId="FootnoteText">
    <w:name w:val="footnote text"/>
    <w:aliases w:val="5_G,PP"/>
    <w:basedOn w:val="Normal"/>
    <w:link w:val="FootnoteTextChar"/>
    <w:unhideWhenUsed/>
    <w:qFormat/>
    <w:rsid w:val="00864636"/>
    <w:rPr>
      <w:sz w:val="20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6463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nhideWhenUsed/>
    <w:rsid w:val="00864636"/>
    <w:rPr>
      <w:vertAlign w:val="superscript"/>
    </w:rPr>
  </w:style>
  <w:style w:type="character" w:styleId="Strong">
    <w:name w:val="Strong"/>
    <w:basedOn w:val="DefaultParagraphFont"/>
    <w:uiPriority w:val="22"/>
    <w:qFormat/>
    <w:rsid w:val="006A40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E28"/>
    <w:pPr>
      <w:suppressAutoHyphens/>
      <w:spacing w:after="240" w:line="240" w:lineRule="atLeast"/>
      <w:ind w:left="1418" w:right="1134" w:hanging="1418"/>
    </w:pPr>
    <w:rPr>
      <w:rFonts w:ascii="Times New Roman" w:eastAsia="Times New Roman" w:hAnsi="Times New Roman"/>
      <w:sz w:val="24"/>
      <w:szCs w:val="20"/>
      <w:u w:val="single"/>
      <w:lang w:val="ca-ES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36E28"/>
    <w:rPr>
      <w:rFonts w:ascii="Times New Roman" w:eastAsia="Times New Roman" w:hAnsi="Times New Roman" w:cs="Times New Roman"/>
      <w:sz w:val="24"/>
      <w:szCs w:val="20"/>
      <w:u w:val="single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4D86-E6A0-4808-A84C-9A59B35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773</Words>
  <Characters>4149</Characters>
  <Application>Microsoft Office Word</Application>
  <DocSecurity>0</DocSecurity>
  <Lines>230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Francois E. Guichard</cp:lastModifiedBy>
  <cp:revision>7</cp:revision>
  <cp:lastPrinted>2016-06-17T14:33:00Z</cp:lastPrinted>
  <dcterms:created xsi:type="dcterms:W3CDTF">2019-06-20T11:59:00Z</dcterms:created>
  <dcterms:modified xsi:type="dcterms:W3CDTF">2019-11-08T17:16:00Z</dcterms:modified>
</cp:coreProperties>
</file>