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1C40F4" w14:textId="77777777" w:rsidTr="00C97039">
        <w:trPr>
          <w:trHeight w:hRule="exact" w:val="851"/>
        </w:trPr>
        <w:tc>
          <w:tcPr>
            <w:tcW w:w="1276" w:type="dxa"/>
            <w:tcBorders>
              <w:bottom w:val="single" w:sz="4" w:space="0" w:color="auto"/>
            </w:tcBorders>
          </w:tcPr>
          <w:p w14:paraId="67D9477C" w14:textId="77777777" w:rsidR="00F35BAF" w:rsidRPr="00DB58B5" w:rsidRDefault="00F35BAF" w:rsidP="00FC359D">
            <w:bookmarkStart w:id="0" w:name="_GoBack"/>
            <w:bookmarkEnd w:id="0"/>
          </w:p>
        </w:tc>
        <w:tc>
          <w:tcPr>
            <w:tcW w:w="2268" w:type="dxa"/>
            <w:tcBorders>
              <w:bottom w:val="single" w:sz="4" w:space="0" w:color="auto"/>
            </w:tcBorders>
            <w:vAlign w:val="bottom"/>
          </w:tcPr>
          <w:p w14:paraId="1598465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CEB5AC" w14:textId="77777777" w:rsidR="00F35BAF" w:rsidRPr="00DB58B5" w:rsidRDefault="00FC359D" w:rsidP="00FC359D">
            <w:pPr>
              <w:jc w:val="right"/>
            </w:pPr>
            <w:r w:rsidRPr="00FC359D">
              <w:rPr>
                <w:sz w:val="40"/>
              </w:rPr>
              <w:t>ECE</w:t>
            </w:r>
            <w:r>
              <w:t>/TRANS/WP.29/2019/64</w:t>
            </w:r>
          </w:p>
        </w:tc>
      </w:tr>
      <w:tr w:rsidR="00F35BAF" w:rsidRPr="00DB58B5" w14:paraId="4E58F76F" w14:textId="77777777" w:rsidTr="00C97039">
        <w:trPr>
          <w:trHeight w:hRule="exact" w:val="2835"/>
        </w:trPr>
        <w:tc>
          <w:tcPr>
            <w:tcW w:w="1276" w:type="dxa"/>
            <w:tcBorders>
              <w:top w:val="single" w:sz="4" w:space="0" w:color="auto"/>
              <w:bottom w:val="single" w:sz="12" w:space="0" w:color="auto"/>
            </w:tcBorders>
          </w:tcPr>
          <w:p w14:paraId="2CF4B6B2" w14:textId="77777777" w:rsidR="00F35BAF" w:rsidRPr="00DB58B5" w:rsidRDefault="00F35BAF" w:rsidP="00C97039">
            <w:pPr>
              <w:spacing w:before="120"/>
              <w:jc w:val="center"/>
            </w:pPr>
            <w:r>
              <w:rPr>
                <w:noProof/>
                <w:lang w:eastAsia="fr-CH"/>
              </w:rPr>
              <w:drawing>
                <wp:inline distT="0" distB="0" distL="0" distR="0" wp14:anchorId="459EDBB3" wp14:editId="7A5F49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118D4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65A2A1" w14:textId="77777777" w:rsidR="00F35BAF" w:rsidRDefault="00FC359D" w:rsidP="00C97039">
            <w:pPr>
              <w:spacing w:before="240"/>
            </w:pPr>
            <w:proofErr w:type="spellStart"/>
            <w:r>
              <w:t>Distr</w:t>
            </w:r>
            <w:proofErr w:type="spellEnd"/>
            <w:r>
              <w:t>. générale</w:t>
            </w:r>
          </w:p>
          <w:p w14:paraId="3D1CB90E" w14:textId="77777777" w:rsidR="00FC359D" w:rsidRDefault="00FC359D" w:rsidP="00FC359D">
            <w:pPr>
              <w:spacing w:line="240" w:lineRule="exact"/>
            </w:pPr>
            <w:r>
              <w:t>15 avril 2019</w:t>
            </w:r>
          </w:p>
          <w:p w14:paraId="11F41B44" w14:textId="77777777" w:rsidR="00FC359D" w:rsidRDefault="00FC359D" w:rsidP="00FC359D">
            <w:pPr>
              <w:spacing w:line="240" w:lineRule="exact"/>
            </w:pPr>
            <w:r>
              <w:t>Français</w:t>
            </w:r>
          </w:p>
          <w:p w14:paraId="5CC6B6A0" w14:textId="77777777" w:rsidR="00FC359D" w:rsidRPr="00DB58B5" w:rsidRDefault="00FC359D" w:rsidP="00FC359D">
            <w:pPr>
              <w:spacing w:line="240" w:lineRule="exact"/>
            </w:pPr>
            <w:r>
              <w:t>Original : anglais</w:t>
            </w:r>
          </w:p>
        </w:tc>
      </w:tr>
    </w:tbl>
    <w:p w14:paraId="461938F6" w14:textId="77777777" w:rsidR="007F20FA" w:rsidRPr="000312C0" w:rsidRDefault="007F20FA" w:rsidP="007F20FA">
      <w:pPr>
        <w:spacing w:before="120"/>
        <w:rPr>
          <w:b/>
          <w:sz w:val="28"/>
          <w:szCs w:val="28"/>
        </w:rPr>
      </w:pPr>
      <w:r w:rsidRPr="000312C0">
        <w:rPr>
          <w:b/>
          <w:sz w:val="28"/>
          <w:szCs w:val="28"/>
        </w:rPr>
        <w:t>Commission économique pour l’Europe</w:t>
      </w:r>
    </w:p>
    <w:p w14:paraId="50AB14D3" w14:textId="77777777" w:rsidR="007F20FA" w:rsidRDefault="007F20FA" w:rsidP="007F20FA">
      <w:pPr>
        <w:spacing w:before="120"/>
        <w:rPr>
          <w:sz w:val="28"/>
          <w:szCs w:val="28"/>
        </w:rPr>
      </w:pPr>
      <w:r w:rsidRPr="00685843">
        <w:rPr>
          <w:sz w:val="28"/>
          <w:szCs w:val="28"/>
        </w:rPr>
        <w:t>Comité des transports intérieurs</w:t>
      </w:r>
    </w:p>
    <w:p w14:paraId="4E4ACC3A" w14:textId="77777777" w:rsidR="00FC359D" w:rsidRDefault="00FC359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689A44A" w14:textId="77777777" w:rsidR="00FC359D" w:rsidRDefault="00FC359D" w:rsidP="00AF0CB5">
      <w:pPr>
        <w:spacing w:before="120" w:line="240" w:lineRule="exact"/>
        <w:rPr>
          <w:b/>
        </w:rPr>
      </w:pPr>
      <w:r>
        <w:rPr>
          <w:b/>
          <w:lang w:val="fr-FR"/>
        </w:rPr>
        <w:t>178</w:t>
      </w:r>
      <w:r w:rsidRPr="00A27288">
        <w:rPr>
          <w:b/>
          <w:vertAlign w:val="superscript"/>
          <w:lang w:val="fr-FR"/>
        </w:rPr>
        <w:t>e</w:t>
      </w:r>
      <w:r w:rsidRPr="00BE2DFD">
        <w:rPr>
          <w:b/>
          <w:lang w:val="fr-FR"/>
        </w:rPr>
        <w:t xml:space="preserve"> </w:t>
      </w:r>
      <w:r>
        <w:rPr>
          <w:b/>
        </w:rPr>
        <w:t>session</w:t>
      </w:r>
    </w:p>
    <w:p w14:paraId="09706ED9" w14:textId="77777777" w:rsidR="00FC359D" w:rsidRDefault="00FC359D" w:rsidP="00AF0CB5">
      <w:pPr>
        <w:spacing w:line="240" w:lineRule="exact"/>
      </w:pPr>
      <w:r>
        <w:t xml:space="preserve">Genève, </w:t>
      </w:r>
      <w:r>
        <w:rPr>
          <w:bCs/>
          <w:lang w:val="fr-FR"/>
        </w:rPr>
        <w:t>25-28 juin</w:t>
      </w:r>
      <w:r w:rsidRPr="00BE2DFD">
        <w:rPr>
          <w:bCs/>
          <w:lang w:val="fr-FR"/>
        </w:rPr>
        <w:t xml:space="preserve"> 2019</w:t>
      </w:r>
    </w:p>
    <w:p w14:paraId="395924A5" w14:textId="77777777" w:rsidR="00FC359D" w:rsidRDefault="00FC359D" w:rsidP="00AF0CB5">
      <w:pPr>
        <w:spacing w:line="240" w:lineRule="exact"/>
      </w:pPr>
      <w:r>
        <w:t>Point </w:t>
      </w:r>
      <w:r>
        <w:rPr>
          <w:lang w:val="fr-FR"/>
        </w:rPr>
        <w:t xml:space="preserve">14.3 </w:t>
      </w:r>
      <w:r>
        <w:t>de l’ordre du jour</w:t>
      </w:r>
      <w:r w:rsidR="009A0A0C">
        <w:t xml:space="preserve"> provisoire</w:t>
      </w:r>
    </w:p>
    <w:p w14:paraId="2BDF8F0E" w14:textId="77777777" w:rsidR="00FC359D" w:rsidRDefault="00FC359D" w:rsidP="00FC359D">
      <w:pPr>
        <w:spacing w:line="240" w:lineRule="exact"/>
        <w:rPr>
          <w:b/>
          <w:lang w:val="fr-FR"/>
        </w:rPr>
      </w:pPr>
      <w:r w:rsidRPr="007515D2">
        <w:rPr>
          <w:b/>
          <w:lang w:val="fr-FR"/>
        </w:rPr>
        <w:t xml:space="preserve">Examen et vote par le Comité exécutif de projets de RTM ONU </w:t>
      </w:r>
      <w:r w:rsidR="00813554">
        <w:rPr>
          <w:b/>
          <w:lang w:val="fr-FR"/>
        </w:rPr>
        <w:br/>
      </w:r>
      <w:r w:rsidRPr="007515D2">
        <w:rPr>
          <w:b/>
          <w:lang w:val="fr-FR"/>
        </w:rPr>
        <w:t>et/ou de projets d’amendements à des RTM ONU existants, s’il y a lieu</w:t>
      </w:r>
      <w:r>
        <w:rPr>
          <w:b/>
          <w:lang w:val="fr-FR"/>
        </w:rPr>
        <w:t> :</w:t>
      </w:r>
    </w:p>
    <w:p w14:paraId="3A7FE002" w14:textId="77777777" w:rsidR="00F9573C" w:rsidRDefault="00FC359D" w:rsidP="00FC359D">
      <w:pPr>
        <w:rPr>
          <w:b/>
        </w:rPr>
      </w:pPr>
      <w:r w:rsidRPr="00A27288">
        <w:rPr>
          <w:b/>
        </w:rPr>
        <w:t xml:space="preserve">Proposition d’amendement 2 au RTM ONU </w:t>
      </w:r>
      <w:r w:rsidRPr="007515D2">
        <w:rPr>
          <w:b/>
        </w:rPr>
        <w:t>n</w:t>
      </w:r>
      <w:r w:rsidRPr="007515D2">
        <w:rPr>
          <w:b/>
          <w:vertAlign w:val="superscript"/>
        </w:rPr>
        <w:t>o</w:t>
      </w:r>
      <w:r>
        <w:rPr>
          <w:b/>
        </w:rPr>
        <w:t> </w:t>
      </w:r>
      <w:r w:rsidRPr="00A27288">
        <w:rPr>
          <w:b/>
        </w:rPr>
        <w:t xml:space="preserve">19 (Procédure de mesure </w:t>
      </w:r>
      <w:r w:rsidR="00813554">
        <w:rPr>
          <w:b/>
        </w:rPr>
        <w:br/>
      </w:r>
      <w:r w:rsidRPr="00A27288">
        <w:rPr>
          <w:b/>
        </w:rPr>
        <w:t xml:space="preserve">des émissions par évaporation dans le cadre de la procédure d’essai mondiale </w:t>
      </w:r>
      <w:r w:rsidR="00813554">
        <w:rPr>
          <w:b/>
        </w:rPr>
        <w:br/>
      </w:r>
      <w:r w:rsidRPr="00A27288">
        <w:rPr>
          <w:b/>
        </w:rPr>
        <w:t>harmonisée pour les voitures particulières et véhicules utilitaires légers)</w:t>
      </w:r>
    </w:p>
    <w:p w14:paraId="56C170FC" w14:textId="77777777" w:rsidR="00FC359D" w:rsidRPr="004156C2" w:rsidRDefault="009356AD" w:rsidP="00FC359D">
      <w:pPr>
        <w:pStyle w:val="HChG"/>
        <w:rPr>
          <w:lang w:val="fr-FR" w:eastAsia="ja-JP"/>
        </w:rPr>
      </w:pPr>
      <w:r>
        <w:rPr>
          <w:lang w:val="fr-FR"/>
        </w:rPr>
        <w:tab/>
      </w:r>
      <w:r>
        <w:rPr>
          <w:lang w:val="fr-FR"/>
        </w:rPr>
        <w:tab/>
      </w:r>
      <w:r w:rsidR="00FC359D" w:rsidRPr="004156C2">
        <w:rPr>
          <w:lang w:val="fr-FR"/>
        </w:rPr>
        <w:t xml:space="preserve">Proposition d’amendement </w:t>
      </w:r>
      <w:r w:rsidR="00FC359D">
        <w:rPr>
          <w:lang w:val="fr-FR" w:eastAsia="ja-JP"/>
        </w:rPr>
        <w:t>2</w:t>
      </w:r>
      <w:r w:rsidR="00FC359D" w:rsidRPr="004156C2">
        <w:rPr>
          <w:lang w:val="fr-FR" w:eastAsia="ja-JP"/>
        </w:rPr>
        <w:t xml:space="preserve"> au Règlement technique </w:t>
      </w:r>
      <w:r w:rsidR="00FC359D" w:rsidRPr="00737C80">
        <w:rPr>
          <w:rFonts w:ascii="Times New Roman Gras" w:hAnsi="Times New Roman Gras"/>
          <w:spacing w:val="2"/>
          <w:lang w:val="fr-FR" w:eastAsia="ja-JP"/>
        </w:rPr>
        <w:t xml:space="preserve">mondial </w:t>
      </w:r>
      <w:r w:rsidR="00FC359D">
        <w:rPr>
          <w:rFonts w:ascii="Times New Roman Gras" w:hAnsi="Times New Roman Gras"/>
          <w:spacing w:val="2"/>
          <w:lang w:val="fr-FR" w:eastAsia="ja-JP"/>
        </w:rPr>
        <w:t xml:space="preserve">ONU </w:t>
      </w:r>
      <w:r w:rsidR="00FC359D" w:rsidRPr="00737C80">
        <w:rPr>
          <w:rFonts w:ascii="Times New Roman Gras" w:hAnsi="Times New Roman Gras"/>
          <w:spacing w:val="2"/>
          <w:lang w:val="fr-FR" w:eastAsia="ja-JP"/>
        </w:rPr>
        <w:t>n</w:t>
      </w:r>
      <w:r w:rsidR="00FC359D" w:rsidRPr="00737C80">
        <w:rPr>
          <w:rFonts w:ascii="Times New Roman Gras" w:hAnsi="Times New Roman Gras"/>
          <w:spacing w:val="2"/>
          <w:vertAlign w:val="superscript"/>
          <w:lang w:val="fr-FR" w:eastAsia="ja-JP"/>
        </w:rPr>
        <w:t>o</w:t>
      </w:r>
      <w:r w:rsidR="00FC359D" w:rsidRPr="00737C80">
        <w:rPr>
          <w:rFonts w:ascii="Times New Roman Gras" w:hAnsi="Times New Roman Gras"/>
          <w:spacing w:val="2"/>
          <w:lang w:val="fr-FR" w:eastAsia="ja-JP"/>
        </w:rPr>
        <w:t> 19</w:t>
      </w:r>
      <w:r w:rsidR="00FC359D" w:rsidRPr="00737C80">
        <w:rPr>
          <w:rFonts w:ascii="Times New Roman Gras" w:hAnsi="Times New Roman Gras"/>
          <w:spacing w:val="2"/>
          <w:lang w:val="fr-FR"/>
        </w:rPr>
        <w:t xml:space="preserve"> </w:t>
      </w:r>
      <w:r w:rsidR="00FC359D" w:rsidRPr="00737C80">
        <w:rPr>
          <w:rFonts w:ascii="Times New Roman Gras" w:hAnsi="Times New Roman Gras"/>
          <w:spacing w:val="2"/>
          <w:lang w:val="fr-FR" w:eastAsia="ja-JP"/>
        </w:rPr>
        <w:t>(</w:t>
      </w:r>
      <w:r w:rsidR="00FC359D" w:rsidRPr="00737C80">
        <w:rPr>
          <w:rFonts w:ascii="Times New Roman Gras" w:hAnsi="Times New Roman Gras"/>
          <w:spacing w:val="2"/>
          <w:lang w:val="fr-FR"/>
        </w:rPr>
        <w:t xml:space="preserve">Procédure de mesure des émissions </w:t>
      </w:r>
      <w:r w:rsidR="00FC359D" w:rsidRPr="00737C80">
        <w:rPr>
          <w:rFonts w:ascii="Times New Roman Gras" w:hAnsi="Times New Roman Gras"/>
          <w:spacing w:val="2"/>
          <w:lang w:val="fr-FR"/>
        </w:rPr>
        <w:br/>
      </w:r>
      <w:r w:rsidR="00FC359D" w:rsidRPr="004156C2">
        <w:rPr>
          <w:lang w:val="fr-FR"/>
        </w:rPr>
        <w:t xml:space="preserve">par évaporation dans le cadre de la procédure d’essai mondiale harmonisée pour les voitures particulières </w:t>
      </w:r>
      <w:r w:rsidR="00FC359D">
        <w:rPr>
          <w:lang w:val="fr-FR"/>
        </w:rPr>
        <w:br/>
      </w:r>
      <w:r w:rsidR="00FC359D" w:rsidRPr="004156C2">
        <w:rPr>
          <w:lang w:val="fr-FR"/>
        </w:rPr>
        <w:t>et véhicules utilitaires légers (WLTP EVAP)</w:t>
      </w:r>
      <w:r w:rsidR="00FC359D" w:rsidRPr="004156C2">
        <w:rPr>
          <w:lang w:val="fr-FR" w:eastAsia="ja-JP"/>
        </w:rPr>
        <w:t>)</w:t>
      </w:r>
    </w:p>
    <w:p w14:paraId="56185F98" w14:textId="77777777" w:rsidR="00FC359D" w:rsidRPr="004156C2" w:rsidRDefault="00FC359D" w:rsidP="00FC359D">
      <w:pPr>
        <w:pStyle w:val="H1G"/>
        <w:rPr>
          <w:lang w:val="fr-FR"/>
        </w:rPr>
      </w:pPr>
      <w:r w:rsidRPr="004156C2">
        <w:rPr>
          <w:lang w:val="fr-FR"/>
        </w:rPr>
        <w:tab/>
      </w:r>
      <w:r w:rsidRPr="004156C2">
        <w:rPr>
          <w:lang w:val="fr-FR"/>
        </w:rPr>
        <w:tab/>
        <w:t xml:space="preserve">Communication du </w:t>
      </w:r>
      <w:r>
        <w:rPr>
          <w:lang w:val="fr-FR"/>
        </w:rPr>
        <w:t>Groupe de travail de la pollution et de l’énergie</w:t>
      </w:r>
      <w:r w:rsidRPr="000F1C32">
        <w:rPr>
          <w:rStyle w:val="FootnoteReference"/>
          <w:b w:val="0"/>
          <w:sz w:val="20"/>
          <w:vertAlign w:val="baseline"/>
        </w:rPr>
        <w:footnoteReference w:customMarkFollows="1" w:id="2"/>
        <w:t>*</w:t>
      </w:r>
    </w:p>
    <w:p w14:paraId="00182137" w14:textId="77777777" w:rsidR="00FC359D" w:rsidRDefault="00FC359D" w:rsidP="001C16BF">
      <w:pPr>
        <w:pStyle w:val="SingleTxtG"/>
        <w:ind w:firstLine="567"/>
        <w:rPr>
          <w:lang w:val="fr-FR"/>
        </w:rPr>
      </w:pPr>
      <w:r w:rsidRPr="004156C2">
        <w:rPr>
          <w:lang w:val="fr-FR"/>
        </w:rPr>
        <w:t>Le texte ci-après</w:t>
      </w:r>
      <w:r>
        <w:rPr>
          <w:lang w:val="fr-FR"/>
        </w:rPr>
        <w:t xml:space="preserve">, </w:t>
      </w:r>
      <w:r w:rsidRPr="004156C2">
        <w:rPr>
          <w:lang w:val="fr-FR"/>
        </w:rPr>
        <w:t xml:space="preserve">établi par </w:t>
      </w:r>
      <w:r>
        <w:rPr>
          <w:lang w:val="fr-FR"/>
        </w:rPr>
        <w:t>le</w:t>
      </w:r>
      <w:r w:rsidRPr="004156C2">
        <w:rPr>
          <w:lang w:val="fr-FR"/>
        </w:rPr>
        <w:t xml:space="preserve"> groupe de travail informel de la procédure d’essai mondiale harmonisée pour les voitures particulières et véhicules utilitaires léger</w:t>
      </w:r>
      <w:r>
        <w:rPr>
          <w:lang w:val="fr-FR"/>
        </w:rPr>
        <w:t>s</w:t>
      </w:r>
      <w:r w:rsidRPr="004156C2">
        <w:rPr>
          <w:lang w:val="fr-FR"/>
        </w:rPr>
        <w:t xml:space="preserve"> (WLTP) </w:t>
      </w:r>
      <w:r>
        <w:rPr>
          <w:lang w:val="fr-FR"/>
        </w:rPr>
        <w:t>a été adopté par le Groupe de travail de la pollution et de l’énergie (ECE/TRANS/WP.29/GRPE/78, par.</w:t>
      </w:r>
      <w:r w:rsidR="00190DE8">
        <w:rPr>
          <w:lang w:val="fr-FR"/>
        </w:rPr>
        <w:t> </w:t>
      </w:r>
      <w:r>
        <w:rPr>
          <w:lang w:val="fr-FR"/>
        </w:rPr>
        <w:t xml:space="preserve">15). Il est fondé sur le document ECE/TRANS/WP.29/GRPE/2019/4 et sur l’additif 2 au rapport de la session. </w:t>
      </w:r>
      <w:r>
        <w:t>Il est soumis au Forum mondial de l’harmonisation des Règlements concernant les véhicules (WP.29) et au Comité exécutif de l’Accord de 1998 (AC.3) pour examen à leurs sessions de juin 2019</w:t>
      </w:r>
      <w:r w:rsidRPr="004156C2">
        <w:rPr>
          <w:lang w:val="fr-FR"/>
        </w:rPr>
        <w:t>.</w:t>
      </w:r>
    </w:p>
    <w:p w14:paraId="38BEEA09" w14:textId="77777777" w:rsidR="00FC359D" w:rsidRPr="004156C2" w:rsidRDefault="00FC359D" w:rsidP="00FC359D">
      <w:pPr>
        <w:pStyle w:val="HChG"/>
        <w:rPr>
          <w:lang w:val="fr-FR" w:eastAsia="ja-JP"/>
        </w:rPr>
      </w:pPr>
      <w:r>
        <w:br w:type="page"/>
      </w:r>
      <w:r w:rsidR="00190DE8">
        <w:lastRenderedPageBreak/>
        <w:tab/>
      </w:r>
      <w:r w:rsidR="00190DE8">
        <w:tab/>
      </w:r>
      <w:r w:rsidRPr="004156C2">
        <w:rPr>
          <w:lang w:val="fr-FR" w:eastAsia="ja-JP"/>
        </w:rPr>
        <w:t xml:space="preserve">Amendement </w:t>
      </w:r>
      <w:r>
        <w:rPr>
          <w:lang w:val="fr-FR" w:eastAsia="ja-JP"/>
        </w:rPr>
        <w:t>2</w:t>
      </w:r>
      <w:r w:rsidRPr="004156C2">
        <w:rPr>
          <w:lang w:val="fr-FR" w:eastAsia="ja-JP"/>
        </w:rPr>
        <w:t xml:space="preserve"> au </w:t>
      </w:r>
      <w:r>
        <w:rPr>
          <w:lang w:val="fr-FR" w:eastAsia="ja-JP"/>
        </w:rPr>
        <w:t>RTM</w:t>
      </w:r>
      <w:r w:rsidRPr="004156C2">
        <w:rPr>
          <w:lang w:val="fr-FR" w:eastAsia="ja-JP"/>
        </w:rPr>
        <w:t xml:space="preserve"> </w:t>
      </w:r>
      <w:r>
        <w:rPr>
          <w:lang w:val="fr-FR" w:eastAsia="ja-JP"/>
        </w:rPr>
        <w:t xml:space="preserve">ONU </w:t>
      </w:r>
      <w:r w:rsidRPr="004156C2">
        <w:rPr>
          <w:lang w:val="fr-FR" w:eastAsia="ja-JP"/>
        </w:rPr>
        <w:t>n</w:t>
      </w:r>
      <w:r w:rsidRPr="004156C2">
        <w:rPr>
          <w:vertAlign w:val="superscript"/>
          <w:lang w:val="fr-FR" w:eastAsia="ja-JP"/>
        </w:rPr>
        <w:t>o</w:t>
      </w:r>
      <w:r w:rsidRPr="004156C2">
        <w:rPr>
          <w:lang w:val="fr-FR" w:eastAsia="ja-JP"/>
        </w:rPr>
        <w:t> </w:t>
      </w:r>
      <w:r w:rsidRPr="004156C2">
        <w:rPr>
          <w:lang w:val="fr-FR"/>
        </w:rPr>
        <w:t>19 (</w:t>
      </w:r>
      <w:r w:rsidRPr="004156C2">
        <w:rPr>
          <w:lang w:val="fr-FR" w:eastAsia="ja-JP"/>
        </w:rPr>
        <w:t>Procédure de mesure des émissions par évaporation</w:t>
      </w:r>
      <w:r w:rsidR="009A0A0C">
        <w:rPr>
          <w:lang w:val="fr-FR" w:eastAsia="ja-JP"/>
        </w:rPr>
        <w:t xml:space="preserve"> </w:t>
      </w:r>
      <w:r w:rsidRPr="004156C2">
        <w:rPr>
          <w:lang w:val="fr-FR" w:eastAsia="ja-JP"/>
        </w:rPr>
        <w:t>dans le cadre de la procédure d’essai mondiale harmonisée</w:t>
      </w:r>
      <w:r>
        <w:rPr>
          <w:lang w:val="fr-FR" w:eastAsia="ja-JP"/>
        </w:rPr>
        <w:t xml:space="preserve"> </w:t>
      </w:r>
      <w:r w:rsidRPr="004156C2">
        <w:rPr>
          <w:lang w:val="fr-FR" w:eastAsia="ja-JP"/>
        </w:rPr>
        <w:t xml:space="preserve">pour les voitures particulières </w:t>
      </w:r>
      <w:r w:rsidR="009A0A0C">
        <w:rPr>
          <w:lang w:val="fr-FR" w:eastAsia="ja-JP"/>
        </w:rPr>
        <w:br/>
      </w:r>
      <w:r w:rsidRPr="004156C2">
        <w:rPr>
          <w:lang w:val="fr-FR" w:eastAsia="ja-JP"/>
        </w:rPr>
        <w:t>et véhicules utilitaires légers</w:t>
      </w:r>
      <w:r>
        <w:rPr>
          <w:lang w:val="fr-FR" w:eastAsia="ja-JP"/>
        </w:rPr>
        <w:t xml:space="preserve"> </w:t>
      </w:r>
      <w:r w:rsidRPr="004156C2">
        <w:rPr>
          <w:lang w:val="fr-FR" w:eastAsia="ja-JP"/>
        </w:rPr>
        <w:t>(WLTP EVAP)</w:t>
      </w:r>
    </w:p>
    <w:p w14:paraId="0F2537D0" w14:textId="77777777" w:rsidR="00FC359D" w:rsidRPr="004156C2" w:rsidRDefault="00FC359D" w:rsidP="00FC359D">
      <w:pPr>
        <w:pStyle w:val="HChG"/>
        <w:rPr>
          <w:lang w:val="fr-FR"/>
        </w:rPr>
      </w:pPr>
      <w:r w:rsidRPr="004156C2">
        <w:rPr>
          <w:lang w:val="fr-FR"/>
        </w:rPr>
        <w:tab/>
        <w:t>I.</w:t>
      </w:r>
      <w:r w:rsidRPr="004156C2">
        <w:rPr>
          <w:lang w:val="fr-FR"/>
        </w:rPr>
        <w:tab/>
        <w:t>Argumentation et justification techniques</w:t>
      </w:r>
    </w:p>
    <w:p w14:paraId="21DACDD4" w14:textId="77777777" w:rsidR="00FC359D" w:rsidRPr="004156C2" w:rsidRDefault="00FC359D" w:rsidP="00FC359D">
      <w:pPr>
        <w:pStyle w:val="H1G"/>
        <w:rPr>
          <w:lang w:val="fr-FR" w:eastAsia="ja-JP"/>
        </w:rPr>
      </w:pPr>
      <w:r w:rsidRPr="004156C2">
        <w:rPr>
          <w:lang w:val="fr-FR"/>
        </w:rPr>
        <w:tab/>
        <w:t>A.</w:t>
      </w:r>
      <w:r w:rsidRPr="004156C2">
        <w:rPr>
          <w:lang w:val="fr-FR"/>
        </w:rPr>
        <w:tab/>
      </w:r>
      <w:r w:rsidRPr="004156C2">
        <w:t>Introduction</w:t>
      </w:r>
    </w:p>
    <w:p w14:paraId="6216F862" w14:textId="77777777" w:rsidR="00FC359D" w:rsidRPr="004156C2" w:rsidRDefault="00FC359D" w:rsidP="00FC359D">
      <w:pPr>
        <w:pStyle w:val="SingleTxtG"/>
        <w:rPr>
          <w:lang w:val="fr-FR"/>
        </w:rPr>
      </w:pPr>
      <w:r w:rsidRPr="004156C2">
        <w:rPr>
          <w:lang w:val="fr-FR"/>
        </w:rPr>
        <w:t>1.</w:t>
      </w:r>
      <w:r w:rsidRPr="004156C2">
        <w:rPr>
          <w:lang w:val="fr-FR"/>
        </w:rPr>
        <w:tab/>
      </w:r>
      <w:r>
        <w:rPr>
          <w:lang w:val="fr-FR"/>
        </w:rPr>
        <w:t>Le respect des normes</w:t>
      </w:r>
      <w:r w:rsidRPr="004156C2">
        <w:rPr>
          <w:lang w:val="fr-FR"/>
        </w:rPr>
        <w:t xml:space="preserve"> concernant les émissions est un aspect essentiel de l’homologation des véhicules à l’échelle mondiale. Les émissions concernées comprennent des polluants de référence ayant une incidence négative directe (et principalement locale) sur la santé et l’environnement, ainsi que des polluants ayant des effets nuisibles sur l’environnement mondial. Les </w:t>
      </w:r>
      <w:r>
        <w:rPr>
          <w:szCs w:val="24"/>
          <w:lang w:val="fr-FR"/>
        </w:rPr>
        <w:t xml:space="preserve">normes concernant les </w:t>
      </w:r>
      <w:r w:rsidRPr="004156C2">
        <w:rPr>
          <w:lang w:val="fr-FR"/>
        </w:rPr>
        <w:t>émissions sont le plus souvent des documents complexes, décrivant des procédures de mesure dans tout un ensemble de conditions bien définies, fixant des valeurs limites pour les émissions, mais aussi réglementant d’autres caractéristiques telles que la durabilité et la surveillance par autodiagnostic des équipements antipollution.</w:t>
      </w:r>
    </w:p>
    <w:p w14:paraId="2643B48D" w14:textId="77777777" w:rsidR="00FC359D" w:rsidRPr="004156C2" w:rsidRDefault="00FC359D" w:rsidP="00FC359D">
      <w:pPr>
        <w:pStyle w:val="SingleTxtG"/>
        <w:rPr>
          <w:lang w:val="fr-FR"/>
        </w:rPr>
      </w:pPr>
      <w:r w:rsidRPr="004156C2">
        <w:rPr>
          <w:lang w:val="fr-FR"/>
        </w:rPr>
        <w:t>2.</w:t>
      </w:r>
      <w:r w:rsidRPr="004156C2">
        <w:rPr>
          <w:lang w:val="fr-FR"/>
        </w:rPr>
        <w:tab/>
        <w:t>La plupart des constructeurs produisent des véhicules destinés à une clientèle répartie dans le monde, ou au moins dans plusieurs régions. Bien que les véhicules ne soient pas identiques à l’échelle mondiale, du fait que les types et modèles de véhicules tendent à s’adapter aux préférences et conditions de vie locales, l’obligation de satisfaire à des prescriptions différentes en matière d’émissions dans chaque région occasionne des coûts élevés d’un point de vue administratif et du point de vue de la conception des véhicules. Les constructeurs de véhicules ont donc beaucoup à gagner à harmoniser les procédures d’essai et les prescriptions de résultats concernant les émissions des véhicules dans la mesure la plus large possible à une échelle mondiale. Les autorités de ré</w:t>
      </w:r>
      <w:r>
        <w:rPr>
          <w:lang w:val="fr-FR"/>
        </w:rPr>
        <w:t>glementation, elles aussi, ont intérêt à ce que s’instaure</w:t>
      </w:r>
      <w:r w:rsidRPr="004156C2">
        <w:rPr>
          <w:lang w:val="fr-FR"/>
        </w:rPr>
        <w:t xml:space="preserve"> une harmonisation mondiale, </w:t>
      </w:r>
      <w:r>
        <w:rPr>
          <w:lang w:val="fr-FR"/>
        </w:rPr>
        <w:t xml:space="preserve">qui aurait l’avantage de favoriser le </w:t>
      </w:r>
      <w:r w:rsidRPr="004156C2">
        <w:rPr>
          <w:lang w:val="fr-FR"/>
        </w:rPr>
        <w:t xml:space="preserve">développement et </w:t>
      </w:r>
      <w:r>
        <w:rPr>
          <w:lang w:val="fr-FR"/>
        </w:rPr>
        <w:t>l</w:t>
      </w:r>
      <w:r w:rsidRPr="004156C2">
        <w:rPr>
          <w:lang w:val="fr-FR"/>
        </w:rPr>
        <w:t>’adaptation aux progrès techniques, de</w:t>
      </w:r>
      <w:r>
        <w:rPr>
          <w:lang w:val="fr-FR"/>
        </w:rPr>
        <w:t xml:space="preserve"> permettre une</w:t>
      </w:r>
      <w:r w:rsidRPr="004156C2">
        <w:rPr>
          <w:lang w:val="fr-FR"/>
        </w:rPr>
        <w:t xml:space="preserve"> collaboration </w:t>
      </w:r>
      <w:r>
        <w:rPr>
          <w:lang w:val="fr-FR"/>
        </w:rPr>
        <w:t>éventuelle à</w:t>
      </w:r>
      <w:r w:rsidRPr="004156C2">
        <w:rPr>
          <w:lang w:val="fr-FR"/>
        </w:rPr>
        <w:t xml:space="preserve"> la surveillance du marché et d</w:t>
      </w:r>
      <w:r>
        <w:rPr>
          <w:lang w:val="fr-FR"/>
        </w:rPr>
        <w:t>e faciliter l</w:t>
      </w:r>
      <w:r w:rsidRPr="004156C2">
        <w:rPr>
          <w:lang w:val="fr-FR"/>
        </w:rPr>
        <w:t>’échange d’informations entre autorités.</w:t>
      </w:r>
    </w:p>
    <w:p w14:paraId="0E723CBF" w14:textId="77777777" w:rsidR="00FC359D" w:rsidRPr="004156C2" w:rsidRDefault="00FC359D" w:rsidP="00FC359D">
      <w:pPr>
        <w:pStyle w:val="SingleTxtG"/>
        <w:rPr>
          <w:lang w:val="fr-FR"/>
        </w:rPr>
      </w:pPr>
      <w:r w:rsidRPr="004156C2">
        <w:rPr>
          <w:lang w:val="fr-FR"/>
        </w:rPr>
        <w:t>3.</w:t>
      </w:r>
      <w:r w:rsidRPr="004156C2">
        <w:rPr>
          <w:lang w:val="fr-FR"/>
        </w:rPr>
        <w:tab/>
        <w:t>Compte tenu de ces arguments, des travaux ont été lancés par les parties intéressées en vue d’établir la présente procédure d’essai mondiale harmonisée pour les voitures particulières et véhicules utilitaires légers (WLTP), visant à harmoniser les procédures d’essai pour les catégories de véhicules visées dans toute la mesure où cela était possible. L’un des aspects inclus dans le mandat du groupe WLTP est la procédure de mesure des émissions par évaporation.</w:t>
      </w:r>
    </w:p>
    <w:p w14:paraId="4F9135B7" w14:textId="77777777" w:rsidR="00FC359D" w:rsidRPr="004156C2" w:rsidRDefault="00FC359D" w:rsidP="00FC359D">
      <w:pPr>
        <w:pStyle w:val="SingleTxtG"/>
        <w:rPr>
          <w:lang w:val="fr-FR"/>
        </w:rPr>
      </w:pPr>
      <w:r w:rsidRPr="004156C2">
        <w:rPr>
          <w:lang w:val="fr-FR"/>
        </w:rPr>
        <w:t>4.</w:t>
      </w:r>
      <w:r w:rsidRPr="004156C2">
        <w:rPr>
          <w:lang w:val="fr-FR"/>
        </w:rPr>
        <w:tab/>
        <w:t>Les émissions par évaporation des véhicules relèvent d’un phénomène complexe qui dépend de facteurs multiples, qui vont des conditions climatiques aux caractéristiques du carburant et des pratiques en matière de circulation et de stationnement à la technologie appliquée pour limiter ces émissions.</w:t>
      </w:r>
    </w:p>
    <w:p w14:paraId="10C68E84" w14:textId="77777777" w:rsidR="00FC359D" w:rsidRPr="004156C2" w:rsidRDefault="00FC359D" w:rsidP="00FC359D">
      <w:pPr>
        <w:pStyle w:val="SingleTxtG"/>
        <w:rPr>
          <w:lang w:val="fr-FR"/>
        </w:rPr>
      </w:pPr>
      <w:r w:rsidRPr="004156C2">
        <w:rPr>
          <w:lang w:val="fr-FR"/>
        </w:rPr>
        <w:t>5.</w:t>
      </w:r>
      <w:r w:rsidRPr="004156C2">
        <w:rPr>
          <w:lang w:val="fr-FR"/>
        </w:rPr>
        <w:tab/>
        <w:t>Les émissions par évaporation d’un véhicule peuvent être définies, de manière très générale, comme étant des composés organiques volatils (COV) émis par le véhicule lui</w:t>
      </w:r>
      <w:r>
        <w:rPr>
          <w:lang w:val="fr-FR"/>
        </w:rPr>
        <w:noBreakHyphen/>
      </w:r>
      <w:r w:rsidRPr="004156C2">
        <w:rPr>
          <w:lang w:val="fr-FR"/>
        </w:rPr>
        <w:t xml:space="preserve">même dans différentes conditions de fonctionnement, mais ne découlant pas directement du processus de combustion. Dans les véhicules à essence, la source potentielle la plus importante d’émissions par évaporation est la perte de carburant du fait des mécanismes d’évaporation et de perméation à partir du système de stockage du </w:t>
      </w:r>
      <w:r>
        <w:rPr>
          <w:lang w:val="fr-FR"/>
        </w:rPr>
        <w:t>carburant</w:t>
      </w:r>
      <w:r w:rsidRPr="004156C2">
        <w:rPr>
          <w:lang w:val="fr-FR"/>
        </w:rPr>
        <w:t>. Les émissions</w:t>
      </w:r>
      <w:r>
        <w:rPr>
          <w:lang w:val="fr-FR"/>
        </w:rPr>
        <w:t xml:space="preserve"> par </w:t>
      </w:r>
      <w:r w:rsidRPr="004156C2">
        <w:rPr>
          <w:lang w:val="fr-FR"/>
        </w:rPr>
        <w:t xml:space="preserve">évaporation </w:t>
      </w:r>
      <w:r>
        <w:rPr>
          <w:lang w:val="fr-FR"/>
        </w:rPr>
        <w:t>de</w:t>
      </w:r>
      <w:r w:rsidRPr="004156C2">
        <w:rPr>
          <w:lang w:val="fr-FR"/>
        </w:rPr>
        <w:t xml:space="preserve"> carburant peuvent se produire pendant toute phase d’utilisation du véhicule, </w:t>
      </w:r>
      <w:r>
        <w:rPr>
          <w:lang w:val="fr-FR"/>
        </w:rPr>
        <w:t xml:space="preserve">que ce soit pendant les périodes </w:t>
      </w:r>
      <w:r w:rsidRPr="004156C2">
        <w:rPr>
          <w:lang w:val="fr-FR"/>
        </w:rPr>
        <w:t xml:space="preserve">de stationnement, la conduite normale </w:t>
      </w:r>
      <w:r>
        <w:rPr>
          <w:lang w:val="fr-FR"/>
        </w:rPr>
        <w:t>ou</w:t>
      </w:r>
      <w:r w:rsidRPr="004156C2">
        <w:rPr>
          <w:lang w:val="fr-FR"/>
        </w:rPr>
        <w:t xml:space="preserve"> le ravitaillement en carburant.</w:t>
      </w:r>
    </w:p>
    <w:p w14:paraId="2C561A0C" w14:textId="77777777" w:rsidR="00FC359D" w:rsidRPr="004156C2" w:rsidRDefault="00FC359D" w:rsidP="00FC359D">
      <w:pPr>
        <w:pStyle w:val="SingleTxtG"/>
        <w:keepNext/>
        <w:keepLines/>
        <w:rPr>
          <w:lang w:val="fr-FR"/>
        </w:rPr>
      </w:pPr>
      <w:r w:rsidRPr="004156C2">
        <w:rPr>
          <w:lang w:val="fr-FR"/>
        </w:rPr>
        <w:lastRenderedPageBreak/>
        <w:t>6.</w:t>
      </w:r>
      <w:r w:rsidRPr="004156C2">
        <w:rPr>
          <w:lang w:val="fr-FR"/>
        </w:rPr>
        <w:tab/>
        <w:t xml:space="preserve">Des COV peuvent également être émis par des composants spécifiques du véhicule comme les pneumatiques, les garnitures intérieures, les matières plastiques ou les liquides se trouvant à bord (par exemple le liquide de lave-glace). Ces émissions non liées au carburant sont généralement très faibles, ne dépendent pas de la façon dont le véhicule est utilisé ou de la qualité du carburant et tendent à diminuer avec le temps. Les émissions par évaporation en général ne représentent pas un problème important pour les véhicules </w:t>
      </w:r>
      <w:r>
        <w:rPr>
          <w:lang w:val="fr-FR"/>
        </w:rPr>
        <w:t xml:space="preserve">à moteur </w:t>
      </w:r>
      <w:r w:rsidRPr="004156C2">
        <w:rPr>
          <w:lang w:val="fr-FR"/>
        </w:rPr>
        <w:t xml:space="preserve">diesel en raison de la très faible pression de vapeur du </w:t>
      </w:r>
      <w:r>
        <w:rPr>
          <w:lang w:val="fr-FR"/>
        </w:rPr>
        <w:t>gazole</w:t>
      </w:r>
      <w:r w:rsidRPr="004156C2">
        <w:rPr>
          <w:lang w:val="fr-FR"/>
        </w:rPr>
        <w:t>.</w:t>
      </w:r>
    </w:p>
    <w:p w14:paraId="7E320BC2" w14:textId="77777777" w:rsidR="00FC359D" w:rsidRDefault="00FC359D" w:rsidP="00FC359D">
      <w:pPr>
        <w:pStyle w:val="SingleTxtG"/>
        <w:rPr>
          <w:bCs/>
        </w:rPr>
      </w:pPr>
      <w:r w:rsidRPr="004156C2">
        <w:rPr>
          <w:lang w:val="fr-FR"/>
        </w:rPr>
        <w:t>7.</w:t>
      </w:r>
      <w:r w:rsidRPr="004156C2">
        <w:rPr>
          <w:lang w:val="fr-FR"/>
        </w:rPr>
        <w:tab/>
      </w:r>
      <w:r>
        <w:rPr>
          <w:lang w:val="fr-FR"/>
        </w:rPr>
        <w:t xml:space="preserve">Pendant les périodes de stationnement, la température du carburant dans le système de réservoir augmente en raison de la hausse de la température ambiante et du rayonnement solaire. À cause de cette augmentation de la température du carburant et de l’évaporation de carburant qu’elle entraîne, ainsi que de la dilatation du mélange air/vapeur de carburant, la pression à l’intérieur du système de réservoir augmente notablement. Cela peut conduire à l’évaporation des fractions d’essence les plus légères, avec une augmentation correspondante de la pression à l’intérieur du réservoir. </w:t>
      </w:r>
      <w:r>
        <w:rPr>
          <w:bCs/>
        </w:rPr>
        <w:t xml:space="preserve">Dans les systèmes de réservoirs non étanches, essentiellement utilisés sur les véhicules classiques, l’augmentation de la pression à l’intérieur du système est limitée par la forte probabilité de purge des vapeurs se trouvant à l’intérieur, la pression étant évacuée principalement vers le(s) </w:t>
      </w:r>
      <w:proofErr w:type="spellStart"/>
      <w:r>
        <w:rPr>
          <w:bCs/>
        </w:rPr>
        <w:t>canister</w:t>
      </w:r>
      <w:proofErr w:type="spellEnd"/>
      <w:r>
        <w:rPr>
          <w:bCs/>
        </w:rPr>
        <w:t xml:space="preserve">(s). Le </w:t>
      </w:r>
      <w:proofErr w:type="spellStart"/>
      <w:r>
        <w:rPr>
          <w:bCs/>
        </w:rPr>
        <w:t>canister</w:t>
      </w:r>
      <w:proofErr w:type="spellEnd"/>
      <w:r>
        <w:rPr>
          <w:bCs/>
        </w:rPr>
        <w:t xml:space="preserve"> adsorbe et stocke les hydrocarbures (HC), mais en raison de sa capacité d’adsorption limitée (qui dépend de plusieurs facteurs mais principalement de la qualité et de la masse du charbon actif, des caractéristiques du carburant mais aussi de la température ambiante) il doit être périodiquement purgé pour désorber les hydrocarbures qui s’y sont stockés. Cela se produit pendant la marche du véhicule, lorsqu’une partie de l’air de combustion passe à travers le </w:t>
      </w:r>
      <w:proofErr w:type="spellStart"/>
      <w:r>
        <w:rPr>
          <w:bCs/>
        </w:rPr>
        <w:t>canister</w:t>
      </w:r>
      <w:proofErr w:type="spellEnd"/>
      <w:r>
        <w:rPr>
          <w:bCs/>
        </w:rPr>
        <w:t xml:space="preserve"> en entraînant les hydrocarbures adsorbés, lesquels sont ensuite brûlés dans le moteur.</w:t>
      </w:r>
    </w:p>
    <w:p w14:paraId="60FA03AA" w14:textId="77777777" w:rsidR="00FC359D" w:rsidRDefault="00FC359D" w:rsidP="00FC359D">
      <w:pPr>
        <w:pStyle w:val="SingleTxtG"/>
      </w:pPr>
      <w:r>
        <w:rPr>
          <w:lang w:val="fr-FR"/>
        </w:rPr>
        <w:t>8.</w:t>
      </w:r>
      <w:r>
        <w:rPr>
          <w:lang w:val="fr-FR"/>
        </w:rPr>
        <w:tab/>
      </w:r>
      <w:r>
        <w:t xml:space="preserve">En raison du temps de fonctionnement potentiellement limité du moteur à combustion sur les véhicules électriques hybrides, l’utilisation de systèmes de réservoirs étanches est l’une des solutions de remplacement au système décrit ci-dessus pour réduire les émissions par évaporation. Un système de réservoir étanche est, par conception, un système fermé qui peut stocker les vapeurs de carburant à l’intérieur du système jusqu’à la pression de décharge du réservoir. Dans ce cas, aucune vapeur de carburant n’est évacuée dans le </w:t>
      </w:r>
      <w:proofErr w:type="spellStart"/>
      <w:r>
        <w:t>canister</w:t>
      </w:r>
      <w:proofErr w:type="spellEnd"/>
      <w:r>
        <w:t xml:space="preserve"> ni dans l’atmosphère. Toutefois, les systèmes de réservoirs de carburant étanches doivent être dépressurisés. Cette dépressurisation s’obtient généralement par l’ouverture d’une soupape de décompression avant le remplissage du réservoir pour raisons de sécurité. Le mélange d’air et de vapeurs dégagé par la soupape de surpression est stocké dans le(s) </w:t>
      </w:r>
      <w:proofErr w:type="spellStart"/>
      <w:r>
        <w:t>canister</w:t>
      </w:r>
      <w:proofErr w:type="spellEnd"/>
      <w:r>
        <w:t>(s) qui est (sont) ensuite purgé(s) lorsque le moteur à combustion fonctionne.</w:t>
      </w:r>
    </w:p>
    <w:p w14:paraId="726B8A10" w14:textId="77777777" w:rsidR="00FC359D" w:rsidRPr="004D2459" w:rsidRDefault="00FC359D" w:rsidP="00FC359D">
      <w:pPr>
        <w:pStyle w:val="SingleTxtG"/>
      </w:pPr>
      <w:r>
        <w:rPr>
          <w:lang w:val="fr-FR"/>
        </w:rPr>
        <w:t>9.</w:t>
      </w:r>
      <w:r>
        <w:rPr>
          <w:lang w:val="fr-FR"/>
        </w:rPr>
        <w:tab/>
        <w:t xml:space="preserve">En cas de très forte chaleur, </w:t>
      </w:r>
      <w:r w:rsidRPr="004156C2">
        <w:rPr>
          <w:lang w:val="fr-FR"/>
        </w:rPr>
        <w:t xml:space="preserve">la pression à l’intérieur du réservoir peut dépasser la valeur </w:t>
      </w:r>
      <w:r>
        <w:rPr>
          <w:lang w:val="fr-FR"/>
        </w:rPr>
        <w:t xml:space="preserve">de la pression de décharge du réservoir prévue pour </w:t>
      </w:r>
      <w:r w:rsidRPr="004156C2">
        <w:rPr>
          <w:lang w:val="fr-FR"/>
        </w:rPr>
        <w:t xml:space="preserve">éviter </w:t>
      </w:r>
      <w:r>
        <w:rPr>
          <w:lang w:val="fr-FR"/>
        </w:rPr>
        <w:t>le risque de</w:t>
      </w:r>
      <w:r w:rsidRPr="004156C2">
        <w:rPr>
          <w:lang w:val="fr-FR"/>
        </w:rPr>
        <w:t xml:space="preserve"> rupture du réservoir.</w:t>
      </w:r>
    </w:p>
    <w:p w14:paraId="229C8AF0" w14:textId="77777777" w:rsidR="00FC359D" w:rsidRPr="004156C2" w:rsidRDefault="00FC359D" w:rsidP="00FC359D">
      <w:pPr>
        <w:pStyle w:val="SingleTxtG"/>
        <w:rPr>
          <w:lang w:val="fr-FR"/>
        </w:rPr>
      </w:pPr>
      <w:r>
        <w:rPr>
          <w:lang w:val="fr-FR"/>
        </w:rPr>
        <w:t>10.</w:t>
      </w:r>
      <w:r>
        <w:rPr>
          <w:lang w:val="fr-FR"/>
        </w:rPr>
        <w:tab/>
      </w:r>
      <w:r w:rsidRPr="004156C2">
        <w:rPr>
          <w:lang w:val="fr-FR"/>
        </w:rPr>
        <w:t xml:space="preserve">Il est possible de freiner l’augmentation de la pression à l’intérieur du réservoir du fait de la hausse de la température </w:t>
      </w:r>
      <w:r>
        <w:rPr>
          <w:lang w:val="fr-FR"/>
        </w:rPr>
        <w:t xml:space="preserve">ambiante </w:t>
      </w:r>
      <w:r w:rsidRPr="004156C2">
        <w:rPr>
          <w:lang w:val="fr-FR"/>
        </w:rPr>
        <w:t>en isolant le réservoir, de sorte que la température du carburant reste légèrement inférieure à la température ambiante. Cette éventualité a été prise en compte dans l’élaboration de la procédure d’essai.</w:t>
      </w:r>
    </w:p>
    <w:p w14:paraId="6A8AEE3B" w14:textId="77777777" w:rsidR="00FC359D" w:rsidRPr="004156C2" w:rsidRDefault="00FC359D" w:rsidP="00FC359D">
      <w:pPr>
        <w:pStyle w:val="SingleTxtG"/>
        <w:rPr>
          <w:lang w:val="fr-FR"/>
        </w:rPr>
      </w:pPr>
      <w:r>
        <w:rPr>
          <w:lang w:val="fr-FR"/>
        </w:rPr>
        <w:t>11</w:t>
      </w:r>
      <w:r w:rsidRPr="004156C2">
        <w:rPr>
          <w:lang w:val="fr-FR"/>
        </w:rPr>
        <w:t>.</w:t>
      </w:r>
      <w:r w:rsidRPr="004156C2">
        <w:rPr>
          <w:lang w:val="fr-FR"/>
        </w:rPr>
        <w:tab/>
      </w:r>
      <w:r w:rsidRPr="009478A9">
        <w:t>Dans les conditions normales de conduite du véhicule, en plus des effets de l’air ambiant et du rayonnement solaire, la température du carburant dans le réservoir peut augmenter en raison de la chaleur provenant d’autres sources (moteur et système d’échappement chauds, pompe à carburant, circuit de retour du carburant</w:t>
      </w:r>
      <w:r>
        <w:t xml:space="preserve"> (le cas échéant),</w:t>
      </w:r>
      <w:r w:rsidRPr="009478A9">
        <w:t xml:space="preserve"> revêtement de la route (lequel peut parfois être sensiblement plus chaud que l’air ambiant)). L’équilibre entre la vitesse d’évaporation du carburant, la quantité de carburant envoyée par la pompe vers le moteur et le débit de purge à travers le </w:t>
      </w:r>
      <w:proofErr w:type="spellStart"/>
      <w:r w:rsidRPr="009478A9">
        <w:t>canister</w:t>
      </w:r>
      <w:proofErr w:type="spellEnd"/>
      <w:r w:rsidRPr="009478A9">
        <w:t xml:space="preserve"> détermine le taux de charge du </w:t>
      </w:r>
      <w:proofErr w:type="spellStart"/>
      <w:r w:rsidRPr="009478A9">
        <w:t>canister</w:t>
      </w:r>
      <w:proofErr w:type="spellEnd"/>
      <w:r w:rsidRPr="009478A9">
        <w:t>, qui peut conduire à des émissions excessives en cas de passage direct (saturation). Ces émissions sont connues sous le nom de pertes courantes de fonctionnement.</w:t>
      </w:r>
    </w:p>
    <w:p w14:paraId="6EE22D7D" w14:textId="77777777" w:rsidR="00FC359D" w:rsidRPr="004156C2" w:rsidRDefault="00FC359D" w:rsidP="00FC359D">
      <w:pPr>
        <w:pStyle w:val="SingleTxtG"/>
        <w:rPr>
          <w:lang w:val="fr-FR"/>
        </w:rPr>
      </w:pPr>
      <w:r>
        <w:rPr>
          <w:lang w:val="fr-FR"/>
        </w:rPr>
        <w:t>12</w:t>
      </w:r>
      <w:r w:rsidRPr="004156C2">
        <w:rPr>
          <w:lang w:val="fr-FR"/>
        </w:rPr>
        <w:t>.</w:t>
      </w:r>
      <w:r w:rsidRPr="004156C2">
        <w:rPr>
          <w:lang w:val="fr-FR"/>
        </w:rPr>
        <w:tab/>
      </w:r>
      <w:r w:rsidRPr="009478A9">
        <w:t>Des hydrocarbures s’échappent également du système d’alimentation du véhicule par perméation à travers les composants en plastique et en caoutchouc tels que les tuyaux flexibles, les joints d’étanchéité et, sur les véhicules ayant un réservoir non métallique, le réservoir de carburant lui-même. La perméation ne se produit pas par une ouverture ; en fait, des molécules de carburant pénètrent (c’est-à-dire qu’elles se mélangent intimement)</w:t>
      </w:r>
      <w:r>
        <w:t xml:space="preserve"> </w:t>
      </w:r>
      <w:r w:rsidRPr="009478A9">
        <w:t xml:space="preserve">dans les matériaux des parois des divers </w:t>
      </w:r>
      <w:r>
        <w:t>élément</w:t>
      </w:r>
      <w:r w:rsidRPr="009478A9">
        <w:t xml:space="preserve">s et finissent par se frayer un chemin vers </w:t>
      </w:r>
      <w:r w:rsidRPr="009478A9">
        <w:lastRenderedPageBreak/>
        <w:t xml:space="preserve">l’extérieur. La perméation de carburant </w:t>
      </w:r>
      <w:r>
        <w:t>concerne</w:t>
      </w:r>
      <w:r w:rsidRPr="009478A9">
        <w:t xml:space="preserve"> principalement les matières plastiques ou élastomères, elle dépend fortement de la température et elle se produit habituellement dans toutes les conditions de fonctionnement du véhicule.</w:t>
      </w:r>
    </w:p>
    <w:p w14:paraId="75F80F5D" w14:textId="77777777" w:rsidR="00FC359D" w:rsidRPr="004156C2" w:rsidRDefault="00FC359D" w:rsidP="00FC359D">
      <w:pPr>
        <w:pStyle w:val="SingleTxtG"/>
        <w:rPr>
          <w:lang w:val="fr-FR"/>
        </w:rPr>
      </w:pPr>
      <w:r w:rsidRPr="004156C2">
        <w:rPr>
          <w:lang w:val="fr-FR"/>
        </w:rPr>
        <w:t>1</w:t>
      </w:r>
      <w:r>
        <w:rPr>
          <w:lang w:val="fr-FR"/>
        </w:rPr>
        <w:t>3</w:t>
      </w:r>
      <w:r w:rsidRPr="004156C2">
        <w:rPr>
          <w:lang w:val="fr-FR"/>
        </w:rPr>
        <w:t>.</w:t>
      </w:r>
      <w:r w:rsidRPr="004156C2">
        <w:rPr>
          <w:lang w:val="fr-FR"/>
        </w:rPr>
        <w:tab/>
      </w:r>
      <w:r w:rsidRPr="00260421">
        <w:rPr>
          <w:lang w:val="fr-FR"/>
        </w:rPr>
        <w:t xml:space="preserve">Une autre source importante d’émissions par évaporation est l’opération de ravitaillement. Lorsque du carburant liquide est pompé dans le réservoir, le mélange d’air et de vapeurs d’essence présent dans le réservoir est déplacé et peut être libéré dans l’atmosphère. </w:t>
      </w:r>
      <w:r>
        <w:rPr>
          <w:lang w:val="fr-FR"/>
        </w:rPr>
        <w:t>On s’efforce de réduire en partie c</w:t>
      </w:r>
      <w:r w:rsidRPr="00260421">
        <w:rPr>
          <w:lang w:val="fr-FR"/>
        </w:rPr>
        <w:t xml:space="preserve">es émissions </w:t>
      </w:r>
      <w:r>
        <w:rPr>
          <w:lang w:val="fr-FR"/>
        </w:rPr>
        <w:t xml:space="preserve">en diminuant </w:t>
      </w:r>
      <w:r w:rsidRPr="00260421">
        <w:rPr>
          <w:lang w:val="fr-FR"/>
        </w:rPr>
        <w:t xml:space="preserve">la pression de vapeur de carburant maximale autorisée pendant la saison chaude. En outre, les émissions par évaporation </w:t>
      </w:r>
      <w:r>
        <w:rPr>
          <w:lang w:val="fr-FR"/>
        </w:rPr>
        <w:t xml:space="preserve">qui se produisent </w:t>
      </w:r>
      <w:r w:rsidRPr="00260421">
        <w:rPr>
          <w:lang w:val="fr-FR"/>
        </w:rPr>
        <w:t>pendant l’opération de ravitaillement peuvent être réduites de deux autres façon</w:t>
      </w:r>
      <w:r>
        <w:rPr>
          <w:lang w:val="fr-FR"/>
        </w:rPr>
        <w:t>s</w:t>
      </w:r>
      <w:r w:rsidRPr="00260421">
        <w:rPr>
          <w:lang w:val="fr-FR"/>
        </w:rPr>
        <w:t xml:space="preserve">. </w:t>
      </w:r>
      <w:r>
        <w:rPr>
          <w:lang w:val="fr-FR"/>
        </w:rPr>
        <w:t xml:space="preserve">La première </w:t>
      </w:r>
      <w:r w:rsidRPr="00260421">
        <w:rPr>
          <w:lang w:val="fr-FR"/>
        </w:rPr>
        <w:t xml:space="preserve">méthode </w:t>
      </w:r>
      <w:r>
        <w:rPr>
          <w:lang w:val="fr-FR"/>
        </w:rPr>
        <w:t xml:space="preserve">est </w:t>
      </w:r>
      <w:r w:rsidRPr="00260421">
        <w:rPr>
          <w:lang w:val="fr-FR"/>
        </w:rPr>
        <w:t>appel</w:t>
      </w:r>
      <w:r>
        <w:rPr>
          <w:lang w:val="fr-FR"/>
        </w:rPr>
        <w:t>é</w:t>
      </w:r>
      <w:r w:rsidRPr="00260421">
        <w:rPr>
          <w:lang w:val="fr-FR"/>
        </w:rPr>
        <w:t xml:space="preserve">e système de récupération de vapeur « Niveau II ». La buse de carburant est conçue pour aspirer le mélange d’air et de vapeurs d’essence déplacé par le carburant liquide entrant dans le réservoir et pour l’acheminer vers le réservoir d’essence souterrain de la station-service. </w:t>
      </w:r>
      <w:r>
        <w:rPr>
          <w:lang w:val="fr-FR"/>
        </w:rPr>
        <w:t>La seconde</w:t>
      </w:r>
      <w:r w:rsidRPr="00260421">
        <w:rPr>
          <w:lang w:val="fr-FR"/>
        </w:rPr>
        <w:t xml:space="preserve"> méthode utilise un « système de récupération de</w:t>
      </w:r>
      <w:r>
        <w:rPr>
          <w:lang w:val="fr-FR"/>
        </w:rPr>
        <w:t>s</w:t>
      </w:r>
      <w:r w:rsidRPr="00260421">
        <w:rPr>
          <w:lang w:val="fr-FR"/>
        </w:rPr>
        <w:t xml:space="preserve"> vapeurs embarqué » (ORVR), qui chasse les vapeurs déplacées vers le </w:t>
      </w:r>
      <w:proofErr w:type="spellStart"/>
      <w:r w:rsidRPr="00260421">
        <w:rPr>
          <w:lang w:val="fr-FR"/>
        </w:rPr>
        <w:t>canister</w:t>
      </w:r>
      <w:proofErr w:type="spellEnd"/>
      <w:r w:rsidRPr="00260421">
        <w:rPr>
          <w:lang w:val="fr-FR"/>
        </w:rPr>
        <w:t xml:space="preserve"> au lieu de les laisser s’échapper par l’orifice de ravitaillement</w:t>
      </w:r>
      <w:r>
        <w:rPr>
          <w:lang w:val="fr-FR"/>
        </w:rPr>
        <w:t>.</w:t>
      </w:r>
    </w:p>
    <w:p w14:paraId="487265D6" w14:textId="77777777" w:rsidR="00FC359D" w:rsidRPr="004156C2" w:rsidRDefault="00FC359D" w:rsidP="00FC359D">
      <w:pPr>
        <w:pStyle w:val="SingleTxtG"/>
        <w:rPr>
          <w:lang w:val="fr-FR"/>
        </w:rPr>
      </w:pPr>
      <w:r w:rsidRPr="004156C2">
        <w:rPr>
          <w:lang w:val="fr-FR"/>
        </w:rPr>
        <w:t>1</w:t>
      </w:r>
      <w:r>
        <w:rPr>
          <w:lang w:val="fr-FR"/>
        </w:rPr>
        <w:t>4</w:t>
      </w:r>
      <w:r w:rsidRPr="004156C2">
        <w:rPr>
          <w:lang w:val="fr-FR"/>
        </w:rPr>
        <w:t>.</w:t>
      </w:r>
      <w:r w:rsidRPr="004156C2">
        <w:rPr>
          <w:lang w:val="fr-FR"/>
        </w:rPr>
        <w:tab/>
      </w:r>
      <w:r>
        <w:t>D</w:t>
      </w:r>
      <w:r w:rsidRPr="009478A9">
        <w:t>e</w:t>
      </w:r>
      <w:r>
        <w:t>s</w:t>
      </w:r>
      <w:r w:rsidRPr="009478A9">
        <w:t xml:space="preserve"> fuites dans le système</w:t>
      </w:r>
      <w:r>
        <w:t xml:space="preserve"> peuvent être u</w:t>
      </w:r>
      <w:r w:rsidRPr="009478A9">
        <w:t>ne source</w:t>
      </w:r>
      <w:r>
        <w:t xml:space="preserve"> </w:t>
      </w:r>
      <w:r w:rsidRPr="009478A9">
        <w:t>fortuite d’émissions de HC</w:t>
      </w:r>
      <w:r>
        <w:t>.</w:t>
      </w:r>
      <w:r w:rsidRPr="009478A9">
        <w:t xml:space="preserve"> Des fuites peuvent se produire dans le circuit vapeur ou dans le circuit liquide à la suite d’une détérioration ou d’un mauvais fonctionnement des composants. Comme exemples de détérioration, on peut citer la corrosion de composants métalliques (tuyauteries de carburant ou réservoirs, par exemple), la fissuration de tuyaux flexibles en caoutchouc, le durcissement des joints ou encore les défaillances mécaniques. Des systèmes d’autodiagnostic ont été mis au point pour vérifier l’intégrité du système d’alimentation en carburant et sont prescrits dans certaines régions.</w:t>
      </w:r>
    </w:p>
    <w:p w14:paraId="67B990BE" w14:textId="77777777" w:rsidR="00FC359D" w:rsidRDefault="00FC359D" w:rsidP="00FC359D">
      <w:pPr>
        <w:pStyle w:val="SingleTxtG"/>
      </w:pPr>
      <w:r w:rsidRPr="004156C2">
        <w:rPr>
          <w:lang w:val="fr-FR"/>
        </w:rPr>
        <w:t>1</w:t>
      </w:r>
      <w:r>
        <w:rPr>
          <w:lang w:val="fr-FR"/>
        </w:rPr>
        <w:t>5</w:t>
      </w:r>
      <w:r w:rsidRPr="004156C2">
        <w:rPr>
          <w:lang w:val="fr-FR"/>
        </w:rPr>
        <w:t>.</w:t>
      </w:r>
      <w:r w:rsidRPr="004156C2">
        <w:rPr>
          <w:lang w:val="fr-FR"/>
        </w:rPr>
        <w:tab/>
      </w:r>
      <w:r w:rsidRPr="009478A9">
        <w:t>Dans les procédures d’homologation de type régionales existantes, les diverses situations qui peuvent être à l’origine d’importantes émissions par évaporation ont été prises en compte soit par la mise au point de méthodes d’essai différentes, soit par l’adoption de mesures différentes. À titre d’exemple, dans certaines régions, on a choisi de limiter les émissions</w:t>
      </w:r>
      <w:r>
        <w:t xml:space="preserve"> se produisant lors</w:t>
      </w:r>
      <w:r w:rsidRPr="009478A9">
        <w:t xml:space="preserve"> d</w:t>
      </w:r>
      <w:r>
        <w:t>u</w:t>
      </w:r>
      <w:r w:rsidRPr="009478A9">
        <w:t xml:space="preserve"> ravitaillement en imposant l’utilisation du système de récupération des vapeurs Niveau II, alors que dans d’autres régions, c’est l</w:t>
      </w:r>
      <w:r>
        <w:t xml:space="preserve">e système </w:t>
      </w:r>
      <w:r w:rsidRPr="009478A9">
        <w:t>ORVR qui a été choisi</w:t>
      </w:r>
      <w:r>
        <w:t>.</w:t>
      </w:r>
    </w:p>
    <w:p w14:paraId="54F2A63C" w14:textId="77777777" w:rsidR="00FC359D" w:rsidRPr="004156C2" w:rsidRDefault="00FC359D" w:rsidP="00FC359D">
      <w:pPr>
        <w:pStyle w:val="SingleTxtG"/>
        <w:rPr>
          <w:lang w:val="fr-FR"/>
        </w:rPr>
      </w:pPr>
      <w:r w:rsidRPr="004156C2">
        <w:rPr>
          <w:lang w:val="fr-FR"/>
        </w:rPr>
        <w:t>1</w:t>
      </w:r>
      <w:r>
        <w:rPr>
          <w:lang w:val="fr-FR"/>
        </w:rPr>
        <w:t>6</w:t>
      </w:r>
      <w:r w:rsidRPr="004156C2">
        <w:rPr>
          <w:lang w:val="fr-FR"/>
        </w:rPr>
        <w:t>.</w:t>
      </w:r>
      <w:r w:rsidRPr="004156C2">
        <w:rPr>
          <w:lang w:val="fr-FR"/>
        </w:rPr>
        <w:tab/>
      </w:r>
      <w:r w:rsidRPr="009478A9">
        <w:t xml:space="preserve">La nécessité d’appliquer des procédures d’essai des véhicules aussi représentatives que possible des conditions de circulation réelles afin de rendre comparables les performances des véhicules lors de l’homologation et en circulation réelle </w:t>
      </w:r>
      <w:r>
        <w:t xml:space="preserve">limite </w:t>
      </w:r>
      <w:r w:rsidRPr="009478A9">
        <w:t xml:space="preserve">donc </w:t>
      </w:r>
      <w:r>
        <w:t>quelque peu le</w:t>
      </w:r>
      <w:r w:rsidRPr="009478A9">
        <w:t xml:space="preserve"> niveau d’harmonisation réalisable, car on doit tenir compte, entre autres choses, des larges variations de</w:t>
      </w:r>
      <w:r>
        <w:t xml:space="preserve"> la</w:t>
      </w:r>
      <w:r w:rsidRPr="009478A9">
        <w:t xml:space="preserve"> température ambiante à l’échelle mondiale, et du fait que d’autres sources </w:t>
      </w:r>
      <w:r>
        <w:t>éventu</w:t>
      </w:r>
      <w:r w:rsidRPr="009478A9">
        <w:t xml:space="preserve">elles d’émissions par évaporation sont traitées </w:t>
      </w:r>
      <w:r>
        <w:t>diversement selon</w:t>
      </w:r>
      <w:r w:rsidRPr="009478A9">
        <w:t xml:space="preserve"> les régions (émissions </w:t>
      </w:r>
      <w:r>
        <w:t>produites pendant l</w:t>
      </w:r>
      <w:r w:rsidRPr="009478A9">
        <w:t xml:space="preserve">e ravitaillement ou fuites </w:t>
      </w:r>
      <w:r>
        <w:t>éventu</w:t>
      </w:r>
      <w:r w:rsidRPr="009478A9">
        <w:t>elles, par exemple).</w:t>
      </w:r>
    </w:p>
    <w:p w14:paraId="7BE02422" w14:textId="77777777" w:rsidR="00FC359D" w:rsidRDefault="00FC359D" w:rsidP="00FC359D">
      <w:pPr>
        <w:pStyle w:val="SingleTxtG"/>
      </w:pPr>
      <w:r w:rsidRPr="004156C2">
        <w:rPr>
          <w:lang w:val="fr-FR"/>
        </w:rPr>
        <w:t>1</w:t>
      </w:r>
      <w:r>
        <w:rPr>
          <w:lang w:val="fr-FR"/>
        </w:rPr>
        <w:t>7</w:t>
      </w:r>
      <w:r w:rsidRPr="004156C2">
        <w:rPr>
          <w:lang w:val="fr-FR"/>
        </w:rPr>
        <w:t>.</w:t>
      </w:r>
      <w:r w:rsidRPr="004156C2">
        <w:rPr>
          <w:lang w:val="fr-FR"/>
        </w:rPr>
        <w:tab/>
      </w:r>
      <w:r w:rsidRPr="00260421">
        <w:rPr>
          <w:lang w:val="fr-FR"/>
        </w:rPr>
        <w:t>À l’heure actuelle, la procédure d’essai WLTP EVAP est axée uniquement sur les émissions d’évaporation qui peuvent se produire pendant les périodes de stationnement</w:t>
      </w:r>
      <w:r>
        <w:rPr>
          <w:lang w:val="fr-FR"/>
        </w:rPr>
        <w:t>, à l’exclusion d</w:t>
      </w:r>
      <w:r w:rsidRPr="00260421">
        <w:rPr>
          <w:lang w:val="fr-FR"/>
        </w:rPr>
        <w:t>es</w:t>
      </w:r>
      <w:r>
        <w:rPr>
          <w:lang w:val="fr-FR"/>
        </w:rPr>
        <w:t xml:space="preserve"> </w:t>
      </w:r>
      <w:r w:rsidRPr="00260421">
        <w:rPr>
          <w:lang w:val="fr-FR"/>
        </w:rPr>
        <w:t xml:space="preserve">pertes courantes de fonctionnement et </w:t>
      </w:r>
      <w:r>
        <w:rPr>
          <w:lang w:val="fr-FR"/>
        </w:rPr>
        <w:t>d</w:t>
      </w:r>
      <w:r w:rsidRPr="00260421">
        <w:rPr>
          <w:lang w:val="fr-FR"/>
        </w:rPr>
        <w:t>es émissions de ravitaillement. Cependant, l’évacuation de vapeurs hors d’un réservoir étanche juste avant un ravitaillement (ou pertes liées à la dépressurisation) relève de cette procédure.</w:t>
      </w:r>
    </w:p>
    <w:p w14:paraId="60D73279" w14:textId="77777777" w:rsidR="00FC359D" w:rsidRPr="004156C2" w:rsidRDefault="00FC359D" w:rsidP="00FC359D">
      <w:pPr>
        <w:pStyle w:val="SingleTxtG"/>
        <w:rPr>
          <w:lang w:val="fr-FR"/>
        </w:rPr>
      </w:pPr>
      <w:r>
        <w:t>18.</w:t>
      </w:r>
      <w:r>
        <w:tab/>
      </w:r>
      <w:r w:rsidRPr="009478A9">
        <w:t xml:space="preserve">L’objectif visé par un Règlement technique mondial </w:t>
      </w:r>
      <w:r>
        <w:t xml:space="preserve">ONU </w:t>
      </w:r>
      <w:r w:rsidRPr="009478A9">
        <w:t>(RTM</w:t>
      </w:r>
      <w:r>
        <w:t xml:space="preserve"> ONU</w:t>
      </w:r>
      <w:r w:rsidRPr="009478A9">
        <w:t xml:space="preserve">) est </w:t>
      </w:r>
      <w:r>
        <w:t>d’être transposé</w:t>
      </w:r>
      <w:r w:rsidRPr="009478A9">
        <w:t xml:space="preserve"> dans la législation régionale </w:t>
      </w:r>
      <w:r>
        <w:t>du</w:t>
      </w:r>
      <w:r w:rsidRPr="009478A9">
        <w:t xml:space="preserve"> plus grand nombre possible de Parties contractantes. Cependant, </w:t>
      </w:r>
      <w:r>
        <w:t>il est trop tôt pour savoir</w:t>
      </w:r>
      <w:r w:rsidRPr="009478A9">
        <w:t>,</w:t>
      </w:r>
      <w:r>
        <w:t xml:space="preserve"> en fonction des conditions régionales, quelles </w:t>
      </w:r>
      <w:r w:rsidRPr="009478A9">
        <w:t xml:space="preserve">catégories de véhicules </w:t>
      </w:r>
      <w:r>
        <w:t>seront visé</w:t>
      </w:r>
      <w:r w:rsidRPr="009478A9">
        <w:t>es</w:t>
      </w:r>
      <w:r>
        <w:t xml:space="preserve">. </w:t>
      </w:r>
      <w:r w:rsidRPr="009478A9">
        <w:t xml:space="preserve">D’autre part, conformément aux règles de l’Accord de 1998, les Parties contractantes qui mettent en œuvre un RTM </w:t>
      </w:r>
      <w:r>
        <w:t xml:space="preserve">ONU </w:t>
      </w:r>
      <w:r w:rsidRPr="009478A9">
        <w:t xml:space="preserve">doivent inclure tous les équipements entrant dans le champ </w:t>
      </w:r>
      <w:r>
        <w:t>d’application strict</w:t>
      </w:r>
      <w:r w:rsidRPr="009478A9">
        <w:t xml:space="preserve"> du RTM</w:t>
      </w:r>
      <w:r>
        <w:t xml:space="preserve"> ONU</w:t>
      </w:r>
      <w:r w:rsidRPr="009478A9">
        <w:t xml:space="preserve">. Il est donc important de veiller à ce que le champ d’application exagérément large d’un RTM </w:t>
      </w:r>
      <w:r>
        <w:t xml:space="preserve">ONU </w:t>
      </w:r>
      <w:r w:rsidRPr="009478A9">
        <w:t xml:space="preserve">ne fasse pas, en définitive, obstacle à sa mise en œuvre dans la région. C’est pourquoi le champ d’application </w:t>
      </w:r>
      <w:r>
        <w:t>strict</w:t>
      </w:r>
      <w:r w:rsidRPr="009478A9">
        <w:t xml:space="preserve"> du présent RTM </w:t>
      </w:r>
      <w:r>
        <w:t>ONU se limite principalement aux</w:t>
      </w:r>
      <w:r w:rsidRPr="009478A9">
        <w:t xml:space="preserve"> voitures particulières et utilitaires légers. Toutefois, cette limitation du champ d’application ne veut pas dire que ce RTM </w:t>
      </w:r>
      <w:r>
        <w:t xml:space="preserve">ONU </w:t>
      </w:r>
      <w:r w:rsidRPr="009478A9">
        <w:t>ne puisse pas être appliqué à une gamme plus large de catégories de véhicules dans la législation régionale. De fait, les Parties contractantes sont encouragées à élargir le champ d’application régional du RTM</w:t>
      </w:r>
      <w:r>
        <w:t xml:space="preserve"> ONU</w:t>
      </w:r>
      <w:r w:rsidRPr="009478A9">
        <w:t>, si cette manière de procéder est techniquement, économiquement et administrativement viable.</w:t>
      </w:r>
    </w:p>
    <w:p w14:paraId="3AB82B31" w14:textId="77777777" w:rsidR="00FC359D" w:rsidRPr="004156C2" w:rsidRDefault="00FC359D" w:rsidP="00FC359D">
      <w:pPr>
        <w:pStyle w:val="H1G"/>
        <w:rPr>
          <w:lang w:val="fr-FR"/>
        </w:rPr>
      </w:pPr>
      <w:r w:rsidRPr="004156C2">
        <w:rPr>
          <w:lang w:val="fr-FR"/>
        </w:rPr>
        <w:lastRenderedPageBreak/>
        <w:tab/>
        <w:t>B.</w:t>
      </w:r>
      <w:r w:rsidRPr="004156C2">
        <w:rPr>
          <w:lang w:val="fr-FR"/>
        </w:rPr>
        <w:tab/>
        <w:t>Historique des étapes antérieures et évolution future du projet</w:t>
      </w:r>
      <w:r w:rsidRPr="004156C2">
        <w:rPr>
          <w:lang w:val="fr-FR"/>
        </w:rPr>
        <w:br/>
        <w:t>WLTP EVAP</w:t>
      </w:r>
    </w:p>
    <w:p w14:paraId="465DCB78" w14:textId="77777777" w:rsidR="00FC359D" w:rsidRPr="004156C2" w:rsidRDefault="00FC359D" w:rsidP="00FC359D">
      <w:pPr>
        <w:pStyle w:val="SingleTxtG"/>
        <w:rPr>
          <w:lang w:val="fr-FR"/>
        </w:rPr>
      </w:pPr>
      <w:r w:rsidRPr="00206E7A">
        <w:rPr>
          <w:rStyle w:val="SingleTxtGChar"/>
          <w:lang w:val="fr-FR"/>
        </w:rPr>
        <w:t>1</w:t>
      </w:r>
      <w:r>
        <w:rPr>
          <w:rStyle w:val="SingleTxtGChar"/>
          <w:lang w:val="fr-FR"/>
        </w:rPr>
        <w:t>9</w:t>
      </w:r>
      <w:r w:rsidRPr="00206E7A">
        <w:rPr>
          <w:rStyle w:val="SingleTxtGChar"/>
          <w:lang w:val="fr-FR"/>
        </w:rPr>
        <w:t>.</w:t>
      </w:r>
      <w:r w:rsidRPr="00206E7A">
        <w:rPr>
          <w:rStyle w:val="SingleTxtGChar"/>
          <w:lang w:val="fr-FR"/>
        </w:rPr>
        <w:tab/>
        <w:t xml:space="preserve">À sa session de novembre 2007, le Forum mondial de l’harmonisation des Règlements concernant les véhicules (WP.29) a décidé de créer un groupe de travail informel qui relèverait de son Groupe de travail de la pollution et de l’énergie (GRPE) et serait chargé d’établir un plan par étapes concernant l’élaboration de la procédure d’essai mondiale WLTP. Après diverses réunions et des débats </w:t>
      </w:r>
      <w:r>
        <w:rPr>
          <w:rStyle w:val="SingleTxtGChar"/>
          <w:lang w:val="fr-FR"/>
        </w:rPr>
        <w:t>animé</w:t>
      </w:r>
      <w:r w:rsidRPr="00206E7A">
        <w:rPr>
          <w:rStyle w:val="SingleTxtGChar"/>
          <w:lang w:val="fr-FR"/>
        </w:rPr>
        <w:t xml:space="preserve">s, le groupe informel WLTP a présenté en juin 2009 un premier plan comprenant trois phases, qui a été par la suite </w:t>
      </w:r>
      <w:r w:rsidRPr="00206E7A">
        <w:rPr>
          <w:lang w:val="fr-FR"/>
        </w:rPr>
        <w:t>révisé à plusieurs reprises et qui comprend</w:t>
      </w:r>
      <w:r w:rsidRPr="004156C2">
        <w:rPr>
          <w:lang w:val="fr-FR"/>
        </w:rPr>
        <w:t xml:space="preserve"> désormais les tâches principales suivantes :</w:t>
      </w:r>
    </w:p>
    <w:p w14:paraId="17539E2D" w14:textId="77777777" w:rsidR="00FC359D" w:rsidRPr="004156C2" w:rsidRDefault="00FC359D" w:rsidP="00FC359D">
      <w:pPr>
        <w:pStyle w:val="SingleTxtG"/>
        <w:ind w:firstLine="567"/>
        <w:rPr>
          <w:lang w:val="fr-FR"/>
        </w:rPr>
      </w:pPr>
      <w:r w:rsidRPr="004156C2">
        <w:rPr>
          <w:lang w:val="fr-FR"/>
        </w:rPr>
        <w:t>a)</w:t>
      </w:r>
      <w:r w:rsidRPr="004156C2">
        <w:rPr>
          <w:lang w:val="fr-FR"/>
        </w:rPr>
        <w:tab/>
        <w:t xml:space="preserve">Phase 1 (2009-2014) : Élaboration du cycle d’essai mondial harmonisé pour les voitures particulières et véhicules utilitaires légers et de la procédure d’essai associée pour la mesure </w:t>
      </w:r>
      <w:r>
        <w:rPr>
          <w:lang w:val="fr-FR"/>
        </w:rPr>
        <w:t>normal</w:t>
      </w:r>
      <w:r w:rsidRPr="004156C2">
        <w:rPr>
          <w:lang w:val="fr-FR"/>
        </w:rPr>
        <w:t>isée des composés de référence, du CO</w:t>
      </w:r>
      <w:r w:rsidRPr="004156C2">
        <w:rPr>
          <w:vertAlign w:val="subscript"/>
          <w:lang w:val="fr-FR"/>
        </w:rPr>
        <w:t>2</w:t>
      </w:r>
      <w:r w:rsidRPr="004156C2">
        <w:rPr>
          <w:lang w:val="fr-FR"/>
        </w:rPr>
        <w:t xml:space="preserve"> et de la consommation de carburant et d’énergie ;</w:t>
      </w:r>
    </w:p>
    <w:p w14:paraId="7DE7E72E" w14:textId="77777777" w:rsidR="00FC359D" w:rsidRPr="004156C2" w:rsidRDefault="00FC359D" w:rsidP="00FC359D">
      <w:pPr>
        <w:pStyle w:val="SingleTxtG"/>
        <w:ind w:firstLine="567"/>
        <w:rPr>
          <w:lang w:val="fr-FR"/>
        </w:rPr>
      </w:pPr>
      <w:r w:rsidRPr="004156C2">
        <w:rPr>
          <w:lang w:val="fr-FR"/>
        </w:rPr>
        <w:t>b)</w:t>
      </w:r>
      <w:r w:rsidRPr="004156C2">
        <w:rPr>
          <w:lang w:val="fr-FR"/>
        </w:rPr>
        <w:tab/>
        <w:t>Phase 2 (2014-2018) : Procédure d’essai à basse température/à haute altitude, durabilité, conformité en service, prescriptions techniques concernant l’autodiagnostic (OBD), efficacité énergétique des systèmes mobiles d’air conditionné (MAC), émissions hors cycle/en conduite réelle et émissions par évaporation ;</w:t>
      </w:r>
    </w:p>
    <w:p w14:paraId="449CD0D0" w14:textId="77777777" w:rsidR="00FC359D" w:rsidRPr="004156C2" w:rsidRDefault="00FC359D" w:rsidP="00FC359D">
      <w:pPr>
        <w:pStyle w:val="SingleTxtG"/>
        <w:ind w:firstLine="567"/>
        <w:rPr>
          <w:spacing w:val="-3"/>
          <w:lang w:val="fr-FR"/>
        </w:rPr>
      </w:pPr>
      <w:r w:rsidRPr="004156C2">
        <w:rPr>
          <w:spacing w:val="-3"/>
          <w:lang w:val="fr-FR"/>
        </w:rPr>
        <w:t>c)</w:t>
      </w:r>
      <w:r w:rsidRPr="004156C2">
        <w:rPr>
          <w:spacing w:val="-3"/>
          <w:lang w:val="fr-FR"/>
        </w:rPr>
        <w:tab/>
        <w:t>Phase 3 (2018-…) : Fixation des valeurs limites d’émission et des valeurs seuils OBD, définition des carburants de référence et comparaison entre prescriptions régionales.</w:t>
      </w:r>
    </w:p>
    <w:p w14:paraId="4F039434" w14:textId="77777777" w:rsidR="00FC359D" w:rsidRPr="004156C2" w:rsidRDefault="00FC359D" w:rsidP="00FC359D">
      <w:pPr>
        <w:pStyle w:val="SingleTxtG"/>
        <w:rPr>
          <w:lang w:val="fr-FR"/>
        </w:rPr>
      </w:pPr>
      <w:r>
        <w:rPr>
          <w:lang w:val="fr-FR"/>
        </w:rPr>
        <w:t>20</w:t>
      </w:r>
      <w:r w:rsidRPr="004156C2">
        <w:rPr>
          <w:lang w:val="fr-FR"/>
        </w:rPr>
        <w:t>.</w:t>
      </w:r>
      <w:r w:rsidRPr="004156C2">
        <w:rPr>
          <w:lang w:val="fr-FR"/>
        </w:rPr>
        <w:tab/>
        <w:t>Il convient de noter que, dès les débuts du processus WLTP, l’Union européenne était mue par un impératif politique explicite découlant de sa législation (Règlements CE 715/2007 et 692/2008), qui prévoyait de réexaminer la procédure relative aux émissions par évaporation pour garantir que celles-ci soient effectivement limitées pendant toute la durée de service normale des véhicules en conditions normales d’utilisation.</w:t>
      </w:r>
    </w:p>
    <w:p w14:paraId="57596428" w14:textId="77777777" w:rsidR="00FC359D" w:rsidRPr="004156C2" w:rsidRDefault="00FC359D" w:rsidP="00FC359D">
      <w:pPr>
        <w:pStyle w:val="SingleTxtG"/>
        <w:rPr>
          <w:lang w:val="fr-FR"/>
        </w:rPr>
      </w:pPr>
      <w:r>
        <w:rPr>
          <w:lang w:val="fr-FR"/>
        </w:rPr>
        <w:t>2</w:t>
      </w:r>
      <w:r w:rsidRPr="004156C2">
        <w:rPr>
          <w:lang w:val="fr-FR"/>
        </w:rPr>
        <w:t>1</w:t>
      </w:r>
      <w:r>
        <w:rPr>
          <w:lang w:val="fr-FR"/>
        </w:rPr>
        <w:t>.</w:t>
      </w:r>
      <w:r w:rsidRPr="004156C2">
        <w:rPr>
          <w:lang w:val="fr-FR"/>
        </w:rPr>
        <w:tab/>
        <w:t xml:space="preserve">Le groupe de travail informel WLTP a présenté, lors de la session du GRPE de janvier 2016, un plan mis à jour pour la phase 2 incluant une proposition en vue de l’élaboration de la procédure d’essai WLTP pour les émissions par évaporation. Les Parties contractantes ont exprimé leur vif souhait que le RTM </w:t>
      </w:r>
      <w:r>
        <w:rPr>
          <w:lang w:val="fr-FR"/>
        </w:rPr>
        <w:t xml:space="preserve">ONU </w:t>
      </w:r>
      <w:r w:rsidRPr="004156C2">
        <w:rPr>
          <w:lang w:val="fr-FR"/>
        </w:rPr>
        <w:t>soit établi d’ici à janvier 2017.</w:t>
      </w:r>
    </w:p>
    <w:p w14:paraId="1B64477F" w14:textId="77777777" w:rsidR="00FC359D" w:rsidRPr="004156C2" w:rsidRDefault="00FC359D" w:rsidP="00FC359D">
      <w:pPr>
        <w:pStyle w:val="SingleTxtG"/>
        <w:rPr>
          <w:lang w:val="fr-FR"/>
        </w:rPr>
      </w:pPr>
      <w:r>
        <w:rPr>
          <w:lang w:val="fr-FR"/>
        </w:rPr>
        <w:t>22</w:t>
      </w:r>
      <w:r w:rsidRPr="004156C2">
        <w:rPr>
          <w:lang w:val="fr-FR"/>
        </w:rPr>
        <w:t>.</w:t>
      </w:r>
      <w:r w:rsidRPr="004156C2">
        <w:rPr>
          <w:lang w:val="fr-FR"/>
        </w:rPr>
        <w:tab/>
        <w:t xml:space="preserve">L’équipe spéciale WLTP EVAP a entamé ses travaux en vue de l’élaboration du présent RTM </w:t>
      </w:r>
      <w:r>
        <w:rPr>
          <w:lang w:val="fr-FR"/>
        </w:rPr>
        <w:t xml:space="preserve">ONU </w:t>
      </w:r>
      <w:r w:rsidRPr="004156C2">
        <w:rPr>
          <w:lang w:val="fr-FR"/>
        </w:rPr>
        <w:t>lors de la première réunion d’experts, tenue en février 2016. Ces travaux se sont achevés en septembre 2016 avec la soumission du texte initial. L’élaboration de la procédure pour les systèmes de réservoirs à carburant étanches a débuté fin 2016 et s’est achevée en septembre 2017.</w:t>
      </w:r>
      <w:r>
        <w:rPr>
          <w:lang w:val="fr-FR"/>
        </w:rPr>
        <w:t xml:space="preserve"> Les travaux de perfectionnement du RTM ONU ont commencé en avril 2018 et se sont achevés en septembre 2018 ; ils ont notamment porté sur les prescriptions et la périodicité de l’étalonnage du matériel d’essai ainsi que sur l’équation applicable aux enceintes à volume variable. Des précisions ont en outre été apportées aux prescriptions.</w:t>
      </w:r>
    </w:p>
    <w:p w14:paraId="71179B5D" w14:textId="77777777" w:rsidR="00FC359D" w:rsidRPr="004156C2" w:rsidRDefault="00FC359D" w:rsidP="00FC359D">
      <w:pPr>
        <w:pStyle w:val="H1G"/>
        <w:rPr>
          <w:lang w:val="fr-FR"/>
        </w:rPr>
      </w:pPr>
      <w:r w:rsidRPr="004156C2">
        <w:rPr>
          <w:lang w:val="fr-FR"/>
        </w:rPr>
        <w:tab/>
        <w:t>C.</w:t>
      </w:r>
      <w:r w:rsidRPr="004156C2">
        <w:rPr>
          <w:lang w:val="fr-FR"/>
        </w:rPr>
        <w:tab/>
        <w:t>Historique de l’élaboration des procédures d’essai</w:t>
      </w:r>
    </w:p>
    <w:p w14:paraId="31B042E3" w14:textId="77777777" w:rsidR="00FC359D" w:rsidRPr="004156C2" w:rsidRDefault="00FC359D" w:rsidP="00FC359D">
      <w:pPr>
        <w:pStyle w:val="SingleTxtG"/>
        <w:rPr>
          <w:lang w:val="fr-FR"/>
        </w:rPr>
      </w:pPr>
      <w:r>
        <w:rPr>
          <w:lang w:val="fr-FR"/>
        </w:rPr>
        <w:t>23.</w:t>
      </w:r>
      <w:r w:rsidRPr="004156C2">
        <w:rPr>
          <w:lang w:val="fr-FR"/>
        </w:rPr>
        <w:tab/>
        <w:t>Pour la mise au point de la procédure d’essai WLTP EVAP, l’équipe spéciale WLTP EVAP a tenu compte de la législation existante ainsi que de l’examen et de la révision récents de la procédure européenne d’essai de mesure des émissions par évaporation.</w:t>
      </w:r>
    </w:p>
    <w:p w14:paraId="5202BAEE" w14:textId="77777777" w:rsidR="00FC359D" w:rsidRPr="004156C2" w:rsidRDefault="00FC359D" w:rsidP="00FC359D">
      <w:pPr>
        <w:pStyle w:val="SingleTxtG"/>
        <w:rPr>
          <w:lang w:val="fr-FR"/>
        </w:rPr>
      </w:pPr>
      <w:r w:rsidRPr="004156C2">
        <w:rPr>
          <w:lang w:val="fr-FR"/>
        </w:rPr>
        <w:t>2</w:t>
      </w:r>
      <w:r>
        <w:rPr>
          <w:lang w:val="fr-FR"/>
        </w:rPr>
        <w:t>4</w:t>
      </w:r>
      <w:r w:rsidRPr="004156C2">
        <w:rPr>
          <w:lang w:val="fr-FR"/>
        </w:rPr>
        <w:t>.</w:t>
      </w:r>
      <w:r w:rsidRPr="004156C2">
        <w:rPr>
          <w:lang w:val="fr-FR"/>
        </w:rPr>
        <w:tab/>
        <w:t>La procédure d’essai de mesure des émissions par évaporation WLTP traite uniquement des émissions par évaporation qui peuvent se produire pendant les périodes de stationnement des véhicules à moteur à essence (y compris les véhicules bicarburant à gaz et les véhicules hybrides équipés d’une combinaison moteur électrique/moteur à essence).</w:t>
      </w:r>
    </w:p>
    <w:p w14:paraId="4DCA2CB4" w14:textId="77777777" w:rsidR="00FC359D" w:rsidRPr="004156C2" w:rsidRDefault="00FC359D" w:rsidP="00FC359D">
      <w:pPr>
        <w:pStyle w:val="SingleTxtG"/>
        <w:rPr>
          <w:lang w:val="fr-FR"/>
        </w:rPr>
      </w:pPr>
      <w:r w:rsidRPr="004156C2">
        <w:rPr>
          <w:lang w:val="fr-FR"/>
        </w:rPr>
        <w:t>2</w:t>
      </w:r>
      <w:r>
        <w:rPr>
          <w:lang w:val="fr-FR"/>
        </w:rPr>
        <w:t>5.</w:t>
      </w:r>
      <w:r w:rsidRPr="004156C2">
        <w:rPr>
          <w:lang w:val="fr-FR"/>
        </w:rPr>
        <w:tab/>
        <w:t>La procédure d’essai de mesure des émissions par évaporation WLTP est conçue pour mesurer les émissions par évaporation d’un véhicule en stationnement au moyen d’une enceinte étanche de mesure des émissions par évaporation (SHED). Deux situations spécifiques sont envisagées :</w:t>
      </w:r>
    </w:p>
    <w:p w14:paraId="6021D2F9" w14:textId="77777777" w:rsidR="00FC359D" w:rsidRPr="004156C2" w:rsidRDefault="00FC359D" w:rsidP="00FC359D">
      <w:pPr>
        <w:pStyle w:val="SingleTxtG"/>
        <w:ind w:firstLine="567"/>
        <w:rPr>
          <w:lang w:val="fr-FR"/>
        </w:rPr>
      </w:pPr>
      <w:r w:rsidRPr="004156C2">
        <w:rPr>
          <w:lang w:val="fr-FR"/>
        </w:rPr>
        <w:lastRenderedPageBreak/>
        <w:t>a)</w:t>
      </w:r>
      <w:r w:rsidRPr="004156C2">
        <w:rPr>
          <w:lang w:val="fr-FR"/>
        </w:rPr>
        <w:tab/>
        <w:t>Les émissions par évaporation se produisant immédiatement après la fin d’un trajet en raison de la chaleur résiduelle du réservoir de carburant et des températures élevées du moteur et du système d’alimentation (essai de pertes par imprégnation à chaud) ;</w:t>
      </w:r>
    </w:p>
    <w:p w14:paraId="0CA795A5" w14:textId="77777777" w:rsidR="00FC359D" w:rsidRPr="004156C2" w:rsidRDefault="00FC359D" w:rsidP="00FC359D">
      <w:pPr>
        <w:pStyle w:val="SingleTxtG"/>
        <w:ind w:firstLine="567"/>
        <w:rPr>
          <w:lang w:val="fr-FR"/>
        </w:rPr>
      </w:pPr>
      <w:r w:rsidRPr="004156C2">
        <w:rPr>
          <w:lang w:val="fr-FR"/>
        </w:rPr>
        <w:t>b)</w:t>
      </w:r>
      <w:r w:rsidRPr="004156C2">
        <w:rPr>
          <w:lang w:val="fr-FR"/>
        </w:rPr>
        <w:tab/>
        <w:t>Les émissions par évaporation se produisant pendant une simulation de stationnement prolongé (48 h) pendant laquelle le véhicule est soumis à des fluctuations de température selon un profil</w:t>
      </w:r>
      <w:r>
        <w:rPr>
          <w:lang w:val="fr-FR"/>
        </w:rPr>
        <w:t xml:space="preserve"> défini</w:t>
      </w:r>
      <w:r w:rsidRPr="004156C2">
        <w:rPr>
          <w:lang w:val="fr-FR"/>
        </w:rPr>
        <w:t>. Celui-ci est censé représenter le profil de température d’une journée chaude (essai diurne). Le résultat de l’essai diurne est représenté par la quantité totale de COV retenue dans l’enceinte SHED sur une période de 48 h.</w:t>
      </w:r>
    </w:p>
    <w:p w14:paraId="14247FBC" w14:textId="77777777" w:rsidR="00FC359D" w:rsidRPr="004156C2" w:rsidRDefault="00FC359D" w:rsidP="00FC359D">
      <w:pPr>
        <w:pStyle w:val="SingleTxtG"/>
        <w:ind w:firstLine="567"/>
        <w:rPr>
          <w:lang w:val="fr-FR"/>
        </w:rPr>
      </w:pPr>
      <w:r w:rsidRPr="004156C2">
        <w:rPr>
          <w:lang w:val="fr-FR"/>
        </w:rPr>
        <w:t>Pour les réservoirs étanches, deux autres situations sont envisagées dans la procédure d’essai :</w:t>
      </w:r>
    </w:p>
    <w:p w14:paraId="574509E4" w14:textId="77777777" w:rsidR="00FC359D" w:rsidRPr="004156C2" w:rsidRDefault="00FC359D" w:rsidP="00FC359D">
      <w:pPr>
        <w:pStyle w:val="SingleTxtG"/>
        <w:ind w:firstLine="567"/>
        <w:rPr>
          <w:lang w:val="fr-FR"/>
        </w:rPr>
      </w:pPr>
      <w:r w:rsidRPr="004156C2">
        <w:rPr>
          <w:lang w:val="fr-FR"/>
        </w:rPr>
        <w:t>c)</w:t>
      </w:r>
      <w:r w:rsidRPr="004156C2">
        <w:rPr>
          <w:lang w:val="fr-FR"/>
        </w:rPr>
        <w:tab/>
        <w:t xml:space="preserve">Les émissions par évaporation pouvant se produire s’il y a lieu de dépressuriser le réservoir avant un ravitaillement pour des raisons de sécurité. Afin de réduire la pression dans le réservoir, le mélange d’air et de vapeurs de carburant </w:t>
      </w:r>
      <w:r>
        <w:rPr>
          <w:lang w:val="fr-FR"/>
        </w:rPr>
        <w:t>relâché par la soupape de décompression est stocké dans le ou les</w:t>
      </w:r>
      <w:r w:rsidRPr="004156C2">
        <w:rPr>
          <w:lang w:val="fr-FR"/>
        </w:rPr>
        <w:t xml:space="preserve"> </w:t>
      </w:r>
      <w:proofErr w:type="spellStart"/>
      <w:r w:rsidRPr="004156C2">
        <w:rPr>
          <w:lang w:val="fr-FR"/>
        </w:rPr>
        <w:t>canister</w:t>
      </w:r>
      <w:r>
        <w:rPr>
          <w:lang w:val="fr-FR"/>
        </w:rPr>
        <w:t>s</w:t>
      </w:r>
      <w:proofErr w:type="spellEnd"/>
      <w:r w:rsidRPr="004156C2">
        <w:rPr>
          <w:lang w:val="fr-FR"/>
        </w:rPr>
        <w:t xml:space="preserve">. Cette opération doit aussi permettre d’éviter les émissions par évaporation excessives au niveau du goulot de remplissage lorsqu’on retire le bouchon du réservoir. Pour cela, il faut que la surpression à l’intérieur du réservoir par rapport à la pression ambiante soit aussi faible que possible lorsqu’on ouvre le réservoir en retirant le bouchon du goulot de remplissage ou tout autre dispositif </w:t>
      </w:r>
      <w:r>
        <w:rPr>
          <w:lang w:val="fr-FR"/>
        </w:rPr>
        <w:t>équivalent ;</w:t>
      </w:r>
    </w:p>
    <w:p w14:paraId="0E994B52" w14:textId="77777777" w:rsidR="00FC359D" w:rsidRPr="004156C2" w:rsidRDefault="00FC359D" w:rsidP="00FC359D">
      <w:pPr>
        <w:pStyle w:val="SingleTxtG"/>
        <w:ind w:firstLine="567"/>
        <w:rPr>
          <w:lang w:val="fr-FR"/>
        </w:rPr>
      </w:pPr>
      <w:r w:rsidRPr="004156C2">
        <w:rPr>
          <w:lang w:val="fr-FR"/>
        </w:rPr>
        <w:t>d)</w:t>
      </w:r>
      <w:r w:rsidRPr="004156C2">
        <w:rPr>
          <w:lang w:val="fr-FR"/>
        </w:rPr>
        <w:tab/>
        <w:t>Les émissions par évaporation pouvant se produire lorsque la pres</w:t>
      </w:r>
      <w:r>
        <w:rPr>
          <w:lang w:val="fr-FR"/>
        </w:rPr>
        <w:t xml:space="preserve">sion à l’intérieur </w:t>
      </w:r>
      <w:r w:rsidRPr="004156C2">
        <w:rPr>
          <w:lang w:val="fr-FR"/>
        </w:rPr>
        <w:t xml:space="preserve">du réservoir </w:t>
      </w:r>
      <w:r>
        <w:rPr>
          <w:lang w:val="fr-FR"/>
        </w:rPr>
        <w:t xml:space="preserve">dépasse la pression de décharge. La </w:t>
      </w:r>
      <w:r w:rsidRPr="004156C2">
        <w:rPr>
          <w:lang w:val="fr-FR"/>
        </w:rPr>
        <w:t xml:space="preserve">soupape de surpression s’ouvre </w:t>
      </w:r>
      <w:r>
        <w:rPr>
          <w:lang w:val="fr-FR"/>
        </w:rPr>
        <w:t>alors p</w:t>
      </w:r>
      <w:r w:rsidRPr="004156C2">
        <w:rPr>
          <w:lang w:val="fr-FR"/>
        </w:rPr>
        <w:t xml:space="preserve">our </w:t>
      </w:r>
      <w:r>
        <w:rPr>
          <w:lang w:val="fr-FR"/>
        </w:rPr>
        <w:t>éviter le risque de rupture du système de réservoir</w:t>
      </w:r>
      <w:r w:rsidRPr="004156C2">
        <w:rPr>
          <w:lang w:val="fr-FR"/>
        </w:rPr>
        <w:t xml:space="preserve">. Dans ces conditions, les émissions peuvent être incontrôlées si le </w:t>
      </w:r>
      <w:proofErr w:type="spellStart"/>
      <w:r w:rsidRPr="004156C2">
        <w:rPr>
          <w:lang w:val="fr-FR"/>
        </w:rPr>
        <w:t>canister</w:t>
      </w:r>
      <w:proofErr w:type="spellEnd"/>
      <w:r w:rsidRPr="004156C2">
        <w:rPr>
          <w:lang w:val="fr-FR"/>
        </w:rPr>
        <w:t xml:space="preserve"> est complètement saturé.</w:t>
      </w:r>
      <w:r>
        <w:rPr>
          <w:lang w:val="fr-FR"/>
        </w:rPr>
        <w:t xml:space="preserve"> Tout cela a été pris en considération dans la mise au point de l</w:t>
      </w:r>
      <w:r w:rsidRPr="004156C2">
        <w:rPr>
          <w:lang w:val="fr-FR"/>
        </w:rPr>
        <w:t xml:space="preserve">a procédure d’essai </w:t>
      </w:r>
      <w:r>
        <w:rPr>
          <w:lang w:val="fr-FR"/>
        </w:rPr>
        <w:t>afin de</w:t>
      </w:r>
      <w:r w:rsidRPr="004156C2">
        <w:rPr>
          <w:lang w:val="fr-FR"/>
        </w:rPr>
        <w:t xml:space="preserve"> réduire ce risque ou, à défaut, </w:t>
      </w:r>
      <w:r>
        <w:rPr>
          <w:lang w:val="fr-FR"/>
        </w:rPr>
        <w:t>de</w:t>
      </w:r>
      <w:r w:rsidRPr="004156C2">
        <w:rPr>
          <w:lang w:val="fr-FR"/>
        </w:rPr>
        <w:t xml:space="preserve"> limiter ces émissions au moyen d’un </w:t>
      </w:r>
      <w:proofErr w:type="spellStart"/>
      <w:r w:rsidRPr="004156C2">
        <w:rPr>
          <w:lang w:val="fr-FR"/>
        </w:rPr>
        <w:t>canister</w:t>
      </w:r>
      <w:proofErr w:type="spellEnd"/>
      <w:r w:rsidRPr="004156C2">
        <w:rPr>
          <w:lang w:val="fr-FR"/>
        </w:rPr>
        <w:t>.</w:t>
      </w:r>
    </w:p>
    <w:p w14:paraId="29EB33F3" w14:textId="77777777" w:rsidR="00FC359D" w:rsidRPr="004156C2" w:rsidRDefault="00FC359D" w:rsidP="00FC359D">
      <w:pPr>
        <w:pStyle w:val="SingleTxtG"/>
        <w:rPr>
          <w:lang w:val="fr-FR"/>
        </w:rPr>
      </w:pPr>
      <w:r w:rsidRPr="004156C2">
        <w:rPr>
          <w:lang w:val="fr-FR"/>
        </w:rPr>
        <w:t>2</w:t>
      </w:r>
      <w:r>
        <w:rPr>
          <w:lang w:val="fr-FR"/>
        </w:rPr>
        <w:t>6</w:t>
      </w:r>
      <w:r w:rsidRPr="004156C2">
        <w:rPr>
          <w:lang w:val="fr-FR"/>
        </w:rPr>
        <w:t>.</w:t>
      </w:r>
      <w:r w:rsidRPr="004156C2">
        <w:rPr>
          <w:lang w:val="fr-FR"/>
        </w:rPr>
        <w:tab/>
        <w:t xml:space="preserve">L’efficacité du système de limitation des émissions par évaporation dépend dans une large mesure de l’état initial du </w:t>
      </w:r>
      <w:proofErr w:type="spellStart"/>
      <w:r w:rsidRPr="004156C2">
        <w:rPr>
          <w:lang w:val="fr-FR"/>
        </w:rPr>
        <w:t>canister</w:t>
      </w:r>
      <w:proofErr w:type="spellEnd"/>
      <w:r w:rsidRPr="004156C2">
        <w:rPr>
          <w:lang w:val="fr-FR"/>
        </w:rPr>
        <w:t xml:space="preserve"> qui doit adsorber les vapeurs libérées dans le réservoir. Afin de simuler des conditions réalistes, avant le démarrage des essais de pertes par accumulation de chaleur et </w:t>
      </w:r>
      <w:r>
        <w:rPr>
          <w:lang w:val="fr-FR"/>
        </w:rPr>
        <w:t xml:space="preserve">des essais </w:t>
      </w:r>
      <w:r w:rsidRPr="004156C2">
        <w:rPr>
          <w:lang w:val="fr-FR"/>
        </w:rPr>
        <w:t>diurne</w:t>
      </w:r>
      <w:r>
        <w:rPr>
          <w:lang w:val="fr-FR"/>
        </w:rPr>
        <w:t>s</w:t>
      </w:r>
      <w:r w:rsidRPr="004156C2">
        <w:rPr>
          <w:lang w:val="fr-FR"/>
        </w:rPr>
        <w:t xml:space="preserve">, le </w:t>
      </w:r>
      <w:proofErr w:type="spellStart"/>
      <w:r w:rsidRPr="004156C2">
        <w:rPr>
          <w:lang w:val="fr-FR"/>
        </w:rPr>
        <w:t>canister</w:t>
      </w:r>
      <w:proofErr w:type="spellEnd"/>
      <w:r w:rsidRPr="004156C2">
        <w:rPr>
          <w:lang w:val="fr-FR"/>
        </w:rPr>
        <w:t xml:space="preserve"> est saturé jusqu’au passage direct des vapeurs, puis purgé par fonctionnement du véhicule sur une combinaison spécifique de sections WLTC (parcours de conditionnement). Le cycle du parcours de conditionnement a été largement évalué et discuté également sur la base des données de circulation réelle pour prendre en compte les conditions les plus critiques, représentées par des trajets courts en zone urbaine. Pour cette raison, le parcours de conditionnement des véhicules des classes 2 et 3 comprend une phase à basse vitesse, deux phases à vitesse moyenne et une phase à haute vitesse. La phase à extra haute vitesse a été exclue. Le parcours de conditionnement pour les véhicules de la classe 1 comprend quatre phases à basse vitesse et deux phases à vitesse moyenne.</w:t>
      </w:r>
    </w:p>
    <w:p w14:paraId="3F34BCBB" w14:textId="77777777" w:rsidR="00FC359D" w:rsidRPr="004156C2" w:rsidRDefault="00FC359D" w:rsidP="00FC359D">
      <w:pPr>
        <w:pStyle w:val="SingleTxtG"/>
        <w:rPr>
          <w:lang w:val="fr-FR"/>
        </w:rPr>
      </w:pPr>
      <w:r w:rsidRPr="004156C2">
        <w:rPr>
          <w:lang w:val="fr-FR"/>
        </w:rPr>
        <w:t>2</w:t>
      </w:r>
      <w:r>
        <w:rPr>
          <w:lang w:val="fr-FR"/>
        </w:rPr>
        <w:t>7</w:t>
      </w:r>
      <w:r w:rsidRPr="004156C2">
        <w:rPr>
          <w:lang w:val="fr-FR"/>
        </w:rPr>
        <w:t>.</w:t>
      </w:r>
      <w:r w:rsidRPr="004156C2">
        <w:rPr>
          <w:lang w:val="fr-FR"/>
        </w:rPr>
        <w:tab/>
        <w:t xml:space="preserve">La procédure d’essai comprend également des dispositions spécifiques pour tenir compte de la détérioration potentielle de l’efficacité du système de limitation des émissions par évaporation, en particulier en présence d’éthanol dans le carburant. L’essai d’émissions par évaporation est effectué avec un </w:t>
      </w:r>
      <w:proofErr w:type="spellStart"/>
      <w:r w:rsidRPr="004156C2">
        <w:rPr>
          <w:lang w:val="fr-FR"/>
        </w:rPr>
        <w:t>canister</w:t>
      </w:r>
      <w:proofErr w:type="spellEnd"/>
      <w:r w:rsidRPr="004156C2">
        <w:rPr>
          <w:lang w:val="fr-FR"/>
        </w:rPr>
        <w:t xml:space="preserve"> ayant subi un vieillissement à la fois mécanique et chimique selon une procédure précise. De plus, un facteur de perméation est appliqué pour tenir compte de l’augmentation </w:t>
      </w:r>
      <w:r>
        <w:rPr>
          <w:lang w:val="fr-FR"/>
        </w:rPr>
        <w:t xml:space="preserve">éventuelle </w:t>
      </w:r>
      <w:r w:rsidRPr="004156C2">
        <w:rPr>
          <w:lang w:val="fr-FR"/>
        </w:rPr>
        <w:t>avec le temps de la vitesse de perméation maximale à travers les parois du réservoir.</w:t>
      </w:r>
    </w:p>
    <w:p w14:paraId="65392866" w14:textId="77777777" w:rsidR="00FC359D" w:rsidRPr="004156C2" w:rsidRDefault="00FC359D" w:rsidP="00FC359D">
      <w:pPr>
        <w:pStyle w:val="SingleTxtG"/>
        <w:rPr>
          <w:lang w:val="fr-FR"/>
        </w:rPr>
      </w:pPr>
      <w:r w:rsidRPr="004156C2">
        <w:rPr>
          <w:lang w:val="fr-FR"/>
        </w:rPr>
        <w:t>2</w:t>
      </w:r>
      <w:r>
        <w:rPr>
          <w:lang w:val="fr-FR"/>
        </w:rPr>
        <w:t>8</w:t>
      </w:r>
      <w:r w:rsidRPr="004156C2">
        <w:rPr>
          <w:lang w:val="fr-FR"/>
        </w:rPr>
        <w:t>.</w:t>
      </w:r>
      <w:r w:rsidRPr="004156C2">
        <w:rPr>
          <w:lang w:val="fr-FR"/>
        </w:rPr>
        <w:tab/>
        <w:t>En ce qui concerne le carburant, sa pression de vapeur et sa composition (en particulier la teneur en éthanol) ont un effet important sur les émissions par évaporation et doivent donc être clairement</w:t>
      </w:r>
      <w:r>
        <w:rPr>
          <w:lang w:val="fr-FR"/>
        </w:rPr>
        <w:t xml:space="preserve"> indiquées</w:t>
      </w:r>
      <w:r w:rsidRPr="004156C2">
        <w:rPr>
          <w:lang w:val="fr-FR"/>
        </w:rPr>
        <w:t xml:space="preserve">. Cependant, </w:t>
      </w:r>
      <w:r>
        <w:rPr>
          <w:lang w:val="fr-FR"/>
        </w:rPr>
        <w:t>étant donné que</w:t>
      </w:r>
      <w:r w:rsidRPr="004156C2">
        <w:rPr>
          <w:lang w:val="fr-FR"/>
        </w:rPr>
        <w:t xml:space="preserve"> les spécifications des carburants commercialisés et les méthodes de mesure de leurs propriétés pertinentes</w:t>
      </w:r>
      <w:r>
        <w:rPr>
          <w:lang w:val="fr-FR"/>
        </w:rPr>
        <w:t xml:space="preserve"> varient selon les régions</w:t>
      </w:r>
      <w:r w:rsidRPr="004156C2">
        <w:rPr>
          <w:lang w:val="fr-FR"/>
        </w:rPr>
        <w:t xml:space="preserve">, il est nécessaire de prendre en compte des carburants de référence différents. Les Parties contractantes peuvent choisir leurs carburants de référence soit conformément à l’annexe 3 du RTM </w:t>
      </w:r>
      <w:r>
        <w:rPr>
          <w:lang w:val="fr-FR"/>
        </w:rPr>
        <w:t xml:space="preserve">ONU </w:t>
      </w:r>
      <w:r w:rsidRPr="004156C2">
        <w:rPr>
          <w:rFonts w:eastAsia="MS Mincho"/>
          <w:lang w:val="fr-FR"/>
        </w:rPr>
        <w:t>n</w:t>
      </w:r>
      <w:r w:rsidRPr="004156C2">
        <w:rPr>
          <w:rFonts w:eastAsia="MS Mincho"/>
          <w:vertAlign w:val="superscript"/>
          <w:lang w:val="fr-FR"/>
        </w:rPr>
        <w:t>o</w:t>
      </w:r>
      <w:r w:rsidRPr="004156C2">
        <w:rPr>
          <w:lang w:val="fr-FR"/>
        </w:rPr>
        <w:t> 15, soit conformément à l’annexe 2 du présent RTM</w:t>
      </w:r>
      <w:r>
        <w:rPr>
          <w:lang w:val="fr-FR"/>
        </w:rPr>
        <w:t xml:space="preserve"> ONU</w:t>
      </w:r>
      <w:r w:rsidRPr="004156C2">
        <w:rPr>
          <w:lang w:val="fr-FR"/>
        </w:rPr>
        <w:t>.</w:t>
      </w:r>
    </w:p>
    <w:p w14:paraId="5CCFC26B" w14:textId="77777777" w:rsidR="00FC359D" w:rsidRPr="004156C2" w:rsidRDefault="00FC359D" w:rsidP="00FC359D">
      <w:pPr>
        <w:pStyle w:val="H1G"/>
        <w:rPr>
          <w:lang w:val="fr-FR"/>
        </w:rPr>
      </w:pPr>
      <w:r w:rsidRPr="004156C2">
        <w:rPr>
          <w:lang w:val="fr-FR"/>
        </w:rPr>
        <w:lastRenderedPageBreak/>
        <w:tab/>
        <w:t>D.</w:t>
      </w:r>
      <w:r w:rsidRPr="004156C2">
        <w:rPr>
          <w:lang w:val="fr-FR"/>
        </w:rPr>
        <w:tab/>
        <w:t xml:space="preserve">Faisabilité technique, </w:t>
      </w:r>
      <w:r w:rsidRPr="00206E7A">
        <w:t>coûts</w:t>
      </w:r>
      <w:r w:rsidRPr="004156C2">
        <w:rPr>
          <w:lang w:val="fr-FR"/>
        </w:rPr>
        <w:t xml:space="preserve"> prévus et avantages</w:t>
      </w:r>
    </w:p>
    <w:p w14:paraId="29627C42" w14:textId="77777777" w:rsidR="00FC359D" w:rsidRPr="004156C2" w:rsidRDefault="00FC359D" w:rsidP="00FC359D">
      <w:pPr>
        <w:pStyle w:val="SingleTxtG"/>
        <w:rPr>
          <w:lang w:val="fr-FR"/>
        </w:rPr>
      </w:pPr>
      <w:r w:rsidRPr="004156C2">
        <w:rPr>
          <w:lang w:val="fr-FR"/>
        </w:rPr>
        <w:t>2</w:t>
      </w:r>
      <w:r>
        <w:rPr>
          <w:lang w:val="fr-FR"/>
        </w:rPr>
        <w:t>9</w:t>
      </w:r>
      <w:r w:rsidRPr="004156C2">
        <w:rPr>
          <w:lang w:val="fr-FR"/>
        </w:rPr>
        <w:t>.</w:t>
      </w:r>
      <w:r w:rsidRPr="004156C2">
        <w:rPr>
          <w:lang w:val="fr-FR"/>
        </w:rPr>
        <w:tab/>
        <w:t xml:space="preserve">Lors de la conception et de la validation du cycle WLTP EVAP, une grande importance a été attribuée à son applicabilité pratique, qui </w:t>
      </w:r>
      <w:r>
        <w:rPr>
          <w:lang w:val="fr-FR"/>
        </w:rPr>
        <w:t>est</w:t>
      </w:r>
      <w:r w:rsidRPr="004156C2">
        <w:rPr>
          <w:lang w:val="fr-FR"/>
        </w:rPr>
        <w:t xml:space="preserve"> garantie par un certain nombre de mesures expliquées ci-dessus.</w:t>
      </w:r>
    </w:p>
    <w:p w14:paraId="4245AD58" w14:textId="77777777" w:rsidR="00FC359D" w:rsidRPr="004156C2" w:rsidRDefault="00FC359D" w:rsidP="00FC359D">
      <w:pPr>
        <w:pStyle w:val="SingleTxtG"/>
        <w:rPr>
          <w:lang w:val="fr-FR"/>
        </w:rPr>
      </w:pPr>
      <w:r>
        <w:rPr>
          <w:lang w:val="fr-FR"/>
        </w:rPr>
        <w:t>30</w:t>
      </w:r>
      <w:r w:rsidRPr="004156C2">
        <w:rPr>
          <w:lang w:val="fr-FR"/>
        </w:rPr>
        <w:t>.</w:t>
      </w:r>
      <w:r w:rsidRPr="004156C2">
        <w:rPr>
          <w:lang w:val="fr-FR"/>
        </w:rPr>
        <w:tab/>
        <w:t xml:space="preserve">Par principe, la procédure d’essai WLTP EVAP été définie sur la base des technologies </w:t>
      </w:r>
      <w:r>
        <w:rPr>
          <w:lang w:val="fr-FR"/>
        </w:rPr>
        <w:t xml:space="preserve">disponibles </w:t>
      </w:r>
      <w:r w:rsidRPr="004156C2">
        <w:rPr>
          <w:lang w:val="fr-FR"/>
        </w:rPr>
        <w:t>de limitation des émissions par évaporation existant au moment de son élaboration, ainsi que des capacités des installations d’essai existantes.</w:t>
      </w:r>
    </w:p>
    <w:p w14:paraId="0617D9BF" w14:textId="77777777" w:rsidR="00FC359D" w:rsidRPr="004156C2" w:rsidRDefault="00FC359D" w:rsidP="00FC359D">
      <w:pPr>
        <w:pStyle w:val="SingleTxtG"/>
        <w:rPr>
          <w:lang w:val="fr-FR"/>
        </w:rPr>
      </w:pPr>
      <w:r>
        <w:rPr>
          <w:lang w:val="fr-FR"/>
        </w:rPr>
        <w:t>31</w:t>
      </w:r>
      <w:r w:rsidRPr="004156C2">
        <w:rPr>
          <w:lang w:val="fr-FR"/>
        </w:rPr>
        <w:t>.</w:t>
      </w:r>
      <w:r w:rsidRPr="004156C2">
        <w:rPr>
          <w:lang w:val="fr-FR"/>
        </w:rPr>
        <w:tab/>
        <w:t>Les résultats obtenus avec les meilleures technologies disponibles dépassent largement les exigences plus strictes en matière d’émissions par évaporation qui seront introduites dans certaines régions à la suite de l’adoption de la procédure WLTP EVAP. De manière générale, on peut estimer que, par rapport aux moyens technologiques nécessaires pour satisfaire aux prescriptions fondées sur l’essai diurne de 24 h encore en vigueur dans de nombreuses régions, le surcoût par véhicule est très modique et il est sans doute, en fin de compte, compensé par la réduction des émissions et les économies de carburant réalisées.</w:t>
      </w:r>
    </w:p>
    <w:p w14:paraId="5C092085" w14:textId="77777777" w:rsidR="00FC359D" w:rsidRPr="004156C2" w:rsidRDefault="00FC359D" w:rsidP="00FC359D">
      <w:pPr>
        <w:pStyle w:val="SingleTxtG"/>
        <w:rPr>
          <w:lang w:val="fr-FR"/>
        </w:rPr>
      </w:pPr>
      <w:r>
        <w:rPr>
          <w:lang w:val="fr-FR"/>
        </w:rPr>
        <w:t>3</w:t>
      </w:r>
      <w:r w:rsidRPr="004156C2">
        <w:rPr>
          <w:lang w:val="fr-FR"/>
        </w:rPr>
        <w:t>2.</w:t>
      </w:r>
      <w:r w:rsidRPr="004156C2">
        <w:rPr>
          <w:lang w:val="fr-FR"/>
        </w:rPr>
        <w:tab/>
        <w:t>L’exécution d’un essai selon la procédure d’essai WLTP EVAP et l’adaptation aux limites d’émissions ne devraient pas poser de problème majeur dans la plupart des cas. Étant donné que, dans de nombreuses régions, la procédure actuelle d’essai par évaporation est fondée sur l’essai diurne de 24 h, il pourrait être indiqué de procéder à des mises à niveau limitées des dispositifs SHED existants en vue d’exécuter l’essai diurne de 48 h. Dans d’autres cas, il pourrait s’avérer nécessaire de prévoir des dispositifs SHED supplémentaires pour tenir compte du temps plus long requis pour les essais d’émissions par évaporation. Il est à noter cependant que des essais diurnes de 48 h sont déjà effectués par la plupart des constructeurs automobiles, étant donné que des durées d’essais de 48 h et 72 h sont déjà demandées pour certains marchés.</w:t>
      </w:r>
    </w:p>
    <w:p w14:paraId="653167A1" w14:textId="77777777" w:rsidR="00FC359D" w:rsidRPr="004156C2" w:rsidRDefault="00FC359D" w:rsidP="00FC359D">
      <w:pPr>
        <w:pStyle w:val="SingleTxtG"/>
        <w:rPr>
          <w:lang w:val="fr-FR"/>
        </w:rPr>
      </w:pPr>
      <w:r>
        <w:rPr>
          <w:lang w:val="fr-FR"/>
        </w:rPr>
        <w:t>33</w:t>
      </w:r>
      <w:r w:rsidRPr="004156C2">
        <w:rPr>
          <w:lang w:val="fr-FR"/>
        </w:rPr>
        <w:t>.</w:t>
      </w:r>
      <w:r w:rsidRPr="004156C2">
        <w:rPr>
          <w:lang w:val="fr-FR"/>
        </w:rPr>
        <w:tab/>
        <w:t>Pour une évaluation plus précise, les frais occasionnés et les avantages retirés devraient être calculés à l’échelle régionale car ils varient dans une large mesure en fonction des conditions locales (climat, composition du parc, qualité du carburant, etc.).</w:t>
      </w:r>
    </w:p>
    <w:p w14:paraId="3361791C" w14:textId="77777777" w:rsidR="00FC359D" w:rsidRDefault="00FC359D" w:rsidP="00190DE8">
      <w:pPr>
        <w:pStyle w:val="SingleTxtG"/>
        <w:rPr>
          <w:lang w:val="fr-FR"/>
        </w:rPr>
      </w:pPr>
      <w:r w:rsidRPr="004156C2">
        <w:rPr>
          <w:lang w:val="fr-FR"/>
        </w:rPr>
        <w:t>3</w:t>
      </w:r>
      <w:r>
        <w:rPr>
          <w:lang w:val="fr-FR"/>
        </w:rPr>
        <w:t>4</w:t>
      </w:r>
      <w:r w:rsidRPr="004156C2">
        <w:rPr>
          <w:lang w:val="fr-FR"/>
        </w:rPr>
        <w:t>.</w:t>
      </w:r>
      <w:r w:rsidRPr="004156C2">
        <w:rPr>
          <w:lang w:val="fr-FR"/>
        </w:rPr>
        <w:tab/>
        <w:t>Comme il a été souligné dans l’exposé de l’argumentation technique, l’instauration d’une procédure d’essai harmonisée pour les voitures particulières et utilitaires légers offre par principe un potentiel de réduction des coûts pour les constructeurs. La conception des véhicules peut ainsi être plus largement unifiée sur le plan mondial et les procédures administratives simplifiées en conséquence. Les économies réalisées dépend</w:t>
      </w:r>
      <w:r>
        <w:rPr>
          <w:lang w:val="fr-FR"/>
        </w:rPr>
        <w:t>ent</w:t>
      </w:r>
      <w:r w:rsidRPr="004156C2">
        <w:rPr>
          <w:lang w:val="fr-FR"/>
        </w:rPr>
        <w:t xml:space="preserve"> dans une large mesure de l’ampleur et de la date de mise en œuvre du cycle WLTP dans la législation régionale.</w:t>
      </w:r>
    </w:p>
    <w:p w14:paraId="3D6FF70C" w14:textId="77777777" w:rsidR="00FC359D" w:rsidRPr="004156C2" w:rsidRDefault="00FC359D" w:rsidP="00FC359D">
      <w:pPr>
        <w:pStyle w:val="HChG"/>
        <w:rPr>
          <w:lang w:val="fr-FR"/>
        </w:rPr>
      </w:pPr>
      <w:r>
        <w:br w:type="page"/>
      </w:r>
      <w:r w:rsidRPr="004156C2">
        <w:rPr>
          <w:lang w:val="fr-FR"/>
        </w:rPr>
        <w:lastRenderedPageBreak/>
        <w:tab/>
      </w:r>
      <w:r>
        <w:rPr>
          <w:lang w:val="fr-FR"/>
        </w:rPr>
        <w:tab/>
      </w:r>
      <w:r w:rsidRPr="004156C2">
        <w:rPr>
          <w:lang w:val="fr-FR"/>
        </w:rPr>
        <w:t>II.</w:t>
      </w:r>
      <w:r w:rsidRPr="004156C2">
        <w:rPr>
          <w:lang w:val="fr-FR"/>
        </w:rPr>
        <w:tab/>
      </w:r>
      <w:r>
        <w:rPr>
          <w:lang w:val="fr-FR"/>
        </w:rPr>
        <w:tab/>
      </w:r>
      <w:r w:rsidRPr="004156C2">
        <w:rPr>
          <w:lang w:val="fr-FR"/>
        </w:rPr>
        <w:t>Texte du Règlement technique mondial</w:t>
      </w:r>
    </w:p>
    <w:p w14:paraId="0B6552F7" w14:textId="77777777" w:rsidR="00FC359D" w:rsidRPr="004156C2" w:rsidRDefault="00FC359D" w:rsidP="00FC359D">
      <w:pPr>
        <w:pStyle w:val="HChG"/>
        <w:rPr>
          <w:lang w:val="fr-FR"/>
        </w:rPr>
      </w:pPr>
      <w:bookmarkStart w:id="1" w:name="_Toc284586942"/>
      <w:bookmarkStart w:id="2" w:name="_Toc284587040"/>
      <w:bookmarkStart w:id="3" w:name="_Toc284587291"/>
      <w:bookmarkStart w:id="4" w:name="_Toc289686183"/>
      <w:r w:rsidRPr="004156C2">
        <w:rPr>
          <w:lang w:val="fr-FR"/>
        </w:rPr>
        <w:tab/>
      </w:r>
      <w:r>
        <w:rPr>
          <w:lang w:val="fr-FR"/>
        </w:rPr>
        <w:tab/>
      </w:r>
      <w:r w:rsidRPr="004156C2">
        <w:rPr>
          <w:lang w:val="fr-FR"/>
        </w:rPr>
        <w:t>1.</w:t>
      </w:r>
      <w:r w:rsidRPr="004156C2">
        <w:rPr>
          <w:lang w:val="fr-FR"/>
        </w:rPr>
        <w:tab/>
      </w:r>
      <w:bookmarkEnd w:id="1"/>
      <w:bookmarkEnd w:id="2"/>
      <w:bookmarkEnd w:id="3"/>
      <w:bookmarkEnd w:id="4"/>
      <w:r>
        <w:rPr>
          <w:lang w:val="fr-FR"/>
        </w:rPr>
        <w:tab/>
      </w:r>
      <w:r w:rsidRPr="004156C2">
        <w:rPr>
          <w:lang w:val="fr-FR"/>
        </w:rPr>
        <w:t>Objet</w:t>
      </w:r>
    </w:p>
    <w:p w14:paraId="492C8BC5" w14:textId="77777777" w:rsidR="00FC359D" w:rsidRPr="004156C2" w:rsidRDefault="00FC359D" w:rsidP="00FC359D">
      <w:pPr>
        <w:pStyle w:val="SingleTxtG"/>
        <w:ind w:left="2268"/>
        <w:rPr>
          <w:lang w:val="fr-FR"/>
        </w:rPr>
      </w:pPr>
      <w:r w:rsidRPr="004156C2">
        <w:rPr>
          <w:lang w:val="fr-FR"/>
        </w:rPr>
        <w:t xml:space="preserve">Le présent Règlement technique mondial </w:t>
      </w:r>
      <w:r>
        <w:rPr>
          <w:lang w:val="fr-FR"/>
        </w:rPr>
        <w:t xml:space="preserve">ONU </w:t>
      </w:r>
      <w:r w:rsidRPr="004156C2">
        <w:rPr>
          <w:lang w:val="fr-FR"/>
        </w:rPr>
        <w:t>(RTM</w:t>
      </w:r>
      <w:r>
        <w:rPr>
          <w:lang w:val="fr-FR"/>
        </w:rPr>
        <w:t xml:space="preserve"> ONU</w:t>
      </w:r>
      <w:r w:rsidRPr="004156C2">
        <w:rPr>
          <w:lang w:val="fr-FR"/>
        </w:rPr>
        <w:t xml:space="preserve">) a pour objet d’établir une méthode mondiale harmonisée pour déterminer les niveaux d’émission par évaporation des voitures particulières et utilitaires légers selon une procédure répétable et reproductible conçue pour être représentative des conditions réelles de circulation. </w:t>
      </w:r>
      <w:bookmarkStart w:id="5" w:name="_Toc284586943"/>
      <w:bookmarkStart w:id="6" w:name="_Toc284587041"/>
      <w:bookmarkStart w:id="7" w:name="_Toc284587292"/>
      <w:bookmarkStart w:id="8" w:name="_Toc289686184"/>
      <w:r w:rsidRPr="004156C2">
        <w:rPr>
          <w:lang w:val="fr-FR"/>
        </w:rPr>
        <w:t>Les résultats d’essai serviront de base à la réglementation applicable à ces véhicules dans le cadre des procédures régionales d’homologation de type et de certification.</w:t>
      </w:r>
    </w:p>
    <w:p w14:paraId="4CFAEDB1" w14:textId="77777777" w:rsidR="00FC359D" w:rsidRPr="004156C2" w:rsidRDefault="00FC359D" w:rsidP="00FC359D">
      <w:pPr>
        <w:pStyle w:val="HChG"/>
        <w:rPr>
          <w:lang w:val="fr-FR"/>
        </w:rPr>
      </w:pPr>
      <w:r w:rsidRPr="004156C2">
        <w:rPr>
          <w:lang w:val="fr-FR"/>
        </w:rPr>
        <w:tab/>
      </w:r>
      <w:r>
        <w:rPr>
          <w:lang w:val="fr-FR"/>
        </w:rPr>
        <w:tab/>
      </w:r>
      <w:r w:rsidRPr="004156C2">
        <w:rPr>
          <w:lang w:val="fr-FR"/>
        </w:rPr>
        <w:t>2.</w:t>
      </w:r>
      <w:r w:rsidRPr="004156C2">
        <w:rPr>
          <w:lang w:val="fr-FR"/>
        </w:rPr>
        <w:tab/>
      </w:r>
      <w:bookmarkEnd w:id="5"/>
      <w:bookmarkEnd w:id="6"/>
      <w:bookmarkEnd w:id="7"/>
      <w:bookmarkEnd w:id="8"/>
      <w:r>
        <w:rPr>
          <w:lang w:val="fr-FR"/>
        </w:rPr>
        <w:tab/>
      </w:r>
      <w:r w:rsidRPr="004156C2">
        <w:rPr>
          <w:lang w:val="fr-FR"/>
        </w:rPr>
        <w:t>Domaine d’application</w:t>
      </w:r>
    </w:p>
    <w:p w14:paraId="517D7312" w14:textId="77777777" w:rsidR="00FC359D" w:rsidRPr="004156C2" w:rsidRDefault="00FC359D" w:rsidP="00FC359D">
      <w:pPr>
        <w:pStyle w:val="SingleTxtG"/>
        <w:ind w:left="2268"/>
        <w:rPr>
          <w:b/>
          <w:lang w:val="fr-FR"/>
        </w:rPr>
      </w:pPr>
      <w:r w:rsidRPr="004156C2">
        <w:rPr>
          <w:lang w:val="fr-FR"/>
        </w:rPr>
        <w:t xml:space="preserve">Les prescriptions du présent RTM </w:t>
      </w:r>
      <w:r>
        <w:rPr>
          <w:lang w:val="fr-FR"/>
        </w:rPr>
        <w:t xml:space="preserve">ONU </w:t>
      </w:r>
      <w:r w:rsidRPr="004156C2">
        <w:rPr>
          <w:lang w:val="fr-FR"/>
        </w:rPr>
        <w:t xml:space="preserve">s’appliquent aux véhicules à moteur des catégories 1-2 et 2, ayant une masse en charge maximale techniquement admissible n’excédant pas 3 500 kg, équipés de moteurs à allumage commandé, à l’exclusion des véhicules </w:t>
      </w:r>
      <w:proofErr w:type="spellStart"/>
      <w:r w:rsidRPr="004156C2">
        <w:rPr>
          <w:lang w:val="fr-FR"/>
        </w:rPr>
        <w:t>monocarburant</w:t>
      </w:r>
      <w:proofErr w:type="spellEnd"/>
      <w:r w:rsidRPr="004156C2">
        <w:rPr>
          <w:lang w:val="fr-FR"/>
        </w:rPr>
        <w:t xml:space="preserve"> à gaz, et à tous les véhicules à moteur de la catégorie 1-1 équipés de moteurs à allumage commandé, à l’exclusion des véhicules </w:t>
      </w:r>
      <w:proofErr w:type="spellStart"/>
      <w:r w:rsidRPr="004156C2">
        <w:rPr>
          <w:lang w:val="fr-FR"/>
        </w:rPr>
        <w:t>monocarburant</w:t>
      </w:r>
      <w:proofErr w:type="spellEnd"/>
      <w:r w:rsidRPr="004156C2">
        <w:rPr>
          <w:lang w:val="fr-FR"/>
        </w:rPr>
        <w:t xml:space="preserve"> à gaz</w:t>
      </w:r>
      <w:r w:rsidRPr="00B30768">
        <w:rPr>
          <w:rStyle w:val="FootnoteReference"/>
        </w:rPr>
        <w:footnoteReference w:id="3"/>
      </w:r>
      <w:r w:rsidRPr="004156C2">
        <w:rPr>
          <w:lang w:val="fr-FR"/>
        </w:rPr>
        <w:t>.</w:t>
      </w:r>
    </w:p>
    <w:p w14:paraId="54B45639" w14:textId="77777777" w:rsidR="00FC359D" w:rsidRPr="004156C2" w:rsidRDefault="00FC359D" w:rsidP="00FC359D">
      <w:pPr>
        <w:pStyle w:val="HChG"/>
        <w:rPr>
          <w:lang w:val="fr-FR"/>
        </w:rPr>
      </w:pPr>
      <w:bookmarkStart w:id="9" w:name="Definitions"/>
      <w:bookmarkStart w:id="10" w:name="_Toc284587295"/>
      <w:bookmarkStart w:id="11" w:name="_Toc284587044"/>
      <w:bookmarkEnd w:id="9"/>
      <w:r>
        <w:rPr>
          <w:lang w:val="fr-FR"/>
        </w:rPr>
        <w:tab/>
      </w:r>
      <w:r w:rsidRPr="004156C2">
        <w:rPr>
          <w:lang w:val="fr-FR"/>
        </w:rPr>
        <w:tab/>
        <w:t>3.</w:t>
      </w:r>
      <w:r w:rsidRPr="004156C2">
        <w:rPr>
          <w:lang w:val="fr-FR"/>
        </w:rPr>
        <w:tab/>
      </w:r>
      <w:r>
        <w:rPr>
          <w:lang w:val="fr-FR"/>
        </w:rPr>
        <w:tab/>
      </w:r>
      <w:r w:rsidRPr="004156C2">
        <w:rPr>
          <w:lang w:val="fr-FR"/>
        </w:rPr>
        <w:t>Définitions</w:t>
      </w:r>
    </w:p>
    <w:p w14:paraId="255CBCFF" w14:textId="77777777" w:rsidR="00FC359D" w:rsidRPr="004156C2" w:rsidRDefault="00FC359D" w:rsidP="00FC359D">
      <w:pPr>
        <w:pStyle w:val="SingleTxtG"/>
        <w:ind w:left="2268" w:hanging="1134"/>
        <w:rPr>
          <w:lang w:val="fr-FR"/>
        </w:rPr>
      </w:pPr>
      <w:r w:rsidRPr="004156C2">
        <w:rPr>
          <w:lang w:val="fr-FR"/>
        </w:rPr>
        <w:t>3.1</w:t>
      </w:r>
      <w:r w:rsidRPr="004156C2">
        <w:rPr>
          <w:lang w:val="fr-FR"/>
        </w:rPr>
        <w:tab/>
        <w:t>Équipement d’essai</w:t>
      </w:r>
    </w:p>
    <w:p w14:paraId="71CB58E0" w14:textId="77777777" w:rsidR="00FC359D" w:rsidRPr="004156C2" w:rsidRDefault="00FC359D" w:rsidP="00FC359D">
      <w:pPr>
        <w:pStyle w:val="SingleTxtG"/>
        <w:ind w:left="2268" w:hanging="1134"/>
        <w:rPr>
          <w:lang w:val="fr-FR"/>
        </w:rPr>
      </w:pPr>
      <w:r w:rsidRPr="004156C2">
        <w:rPr>
          <w:iCs/>
          <w:lang w:val="fr-FR"/>
        </w:rPr>
        <w:t>3.1.1</w:t>
      </w:r>
      <w:r w:rsidRPr="004156C2">
        <w:rPr>
          <w:iCs/>
          <w:lang w:val="fr-FR"/>
        </w:rPr>
        <w:tab/>
        <w:t xml:space="preserve">Par </w:t>
      </w:r>
      <w:r w:rsidRPr="004156C2">
        <w:rPr>
          <w:lang w:val="fr-FR"/>
        </w:rPr>
        <w:t>« </w:t>
      </w:r>
      <w:r w:rsidRPr="004156C2">
        <w:rPr>
          <w:i/>
          <w:iCs/>
          <w:lang w:val="fr-FR"/>
        </w:rPr>
        <w:t>marge d’exactitude</w:t>
      </w:r>
      <w:r w:rsidRPr="004156C2">
        <w:rPr>
          <w:lang w:val="fr-FR"/>
        </w:rPr>
        <w:t> »</w:t>
      </w:r>
      <w:r w:rsidRPr="004156C2">
        <w:rPr>
          <w:iCs/>
          <w:lang w:val="fr-FR"/>
        </w:rPr>
        <w:t xml:space="preserve">, on entend la différence entre une valeur mesurée et une valeur de référence, déterminée conformément à une norme nationale, qui exprime la justesse d’un </w:t>
      </w:r>
      <w:r w:rsidRPr="004156C2">
        <w:rPr>
          <w:lang w:val="fr-FR"/>
        </w:rPr>
        <w:t>résultat.</w:t>
      </w:r>
    </w:p>
    <w:p w14:paraId="211D8C34" w14:textId="77777777" w:rsidR="00FC359D" w:rsidRPr="004156C2" w:rsidRDefault="00FC359D" w:rsidP="00FC359D">
      <w:pPr>
        <w:pStyle w:val="SingleTxtG"/>
        <w:ind w:left="2268" w:hanging="1134"/>
        <w:rPr>
          <w:b/>
          <w:lang w:val="fr-FR"/>
        </w:rPr>
      </w:pPr>
      <w:r w:rsidRPr="004156C2">
        <w:rPr>
          <w:lang w:val="fr-FR"/>
        </w:rPr>
        <w:t>3.1.2</w:t>
      </w:r>
      <w:r w:rsidRPr="004156C2">
        <w:rPr>
          <w:lang w:val="fr-FR"/>
        </w:rPr>
        <w:tab/>
        <w:t>Par « </w:t>
      </w:r>
      <w:r w:rsidRPr="004156C2">
        <w:rPr>
          <w:i/>
          <w:lang w:val="fr-FR"/>
        </w:rPr>
        <w:t>étalonnage</w:t>
      </w:r>
      <w:r w:rsidRPr="004156C2">
        <w:rPr>
          <w:lang w:val="fr-FR"/>
        </w:rPr>
        <w:t> », on entend le processus qui consiste à régler la réponse d’un système de mesure de manière telle que ses résultats correspondent à une gamme de signaux de référence.</w:t>
      </w:r>
    </w:p>
    <w:p w14:paraId="05986011" w14:textId="77777777" w:rsidR="00FC359D" w:rsidRPr="004156C2" w:rsidRDefault="00FC359D" w:rsidP="00FC359D">
      <w:pPr>
        <w:pStyle w:val="SingleTxtG"/>
        <w:ind w:left="2268" w:hanging="1134"/>
        <w:rPr>
          <w:lang w:val="fr-FR"/>
        </w:rPr>
      </w:pPr>
      <w:r w:rsidRPr="004156C2">
        <w:rPr>
          <w:lang w:val="fr-FR"/>
        </w:rPr>
        <w:t>3.2</w:t>
      </w:r>
      <w:r w:rsidRPr="004156C2">
        <w:rPr>
          <w:lang w:val="fr-FR"/>
        </w:rPr>
        <w:tab/>
        <w:t xml:space="preserve">Véhicules hybrides électriques </w:t>
      </w:r>
    </w:p>
    <w:p w14:paraId="41AA0FFE" w14:textId="77777777" w:rsidR="00FC359D" w:rsidRPr="004156C2" w:rsidRDefault="00FC359D" w:rsidP="00FC359D">
      <w:pPr>
        <w:pStyle w:val="SingleTxtG"/>
        <w:ind w:left="2268" w:hanging="1134"/>
        <w:rPr>
          <w:lang w:val="fr-FR"/>
        </w:rPr>
      </w:pPr>
      <w:r w:rsidRPr="004156C2">
        <w:rPr>
          <w:lang w:val="fr-FR"/>
        </w:rPr>
        <w:t>3.2.1</w:t>
      </w:r>
      <w:r w:rsidRPr="004156C2">
        <w:rPr>
          <w:lang w:val="fr-FR"/>
        </w:rPr>
        <w:tab/>
        <w:t>Par « </w:t>
      </w:r>
      <w:r w:rsidRPr="004156C2">
        <w:rPr>
          <w:i/>
          <w:lang w:val="fr-FR"/>
        </w:rPr>
        <w:t>conditions de fonctionnement en mode épuisement de la charge</w:t>
      </w:r>
      <w:r w:rsidRPr="004156C2">
        <w:rPr>
          <w:lang w:val="fr-FR"/>
        </w:rPr>
        <w:t> », on entend des conditions de fonctionnement dans lesquelles l’énergie stockée dans le système rechargeable de stockage de l’énergie électrique (SRSEE) peut fluctuer, mais tend en moyenne à diminuer pendant que le véhicule roule, jusqu’à la transition au mode maintien de la charge.</w:t>
      </w:r>
    </w:p>
    <w:p w14:paraId="3434565F" w14:textId="77777777" w:rsidR="00FC359D" w:rsidRPr="004156C2" w:rsidRDefault="00FC359D" w:rsidP="00FC359D">
      <w:pPr>
        <w:pStyle w:val="SingleTxtG"/>
        <w:ind w:left="2268" w:hanging="1134"/>
        <w:rPr>
          <w:lang w:val="fr-FR"/>
        </w:rPr>
      </w:pPr>
      <w:r w:rsidRPr="004156C2">
        <w:rPr>
          <w:lang w:val="fr-FR"/>
        </w:rPr>
        <w:t>3.2.2</w:t>
      </w:r>
      <w:r w:rsidRPr="004156C2">
        <w:rPr>
          <w:lang w:val="fr-FR"/>
        </w:rPr>
        <w:tab/>
        <w:t>Par « </w:t>
      </w:r>
      <w:r w:rsidRPr="004156C2">
        <w:rPr>
          <w:i/>
          <w:lang w:val="fr-FR"/>
        </w:rPr>
        <w:t>conditions de fonctionnement en mode maintien de la charge</w:t>
      </w:r>
      <w:r w:rsidRPr="004156C2">
        <w:rPr>
          <w:lang w:val="fr-FR"/>
        </w:rPr>
        <w:t> », on entend des conditions de fonctionnement dans lesquelles l’énergie stockée dans le SRSEE peut fluctuer, mais est maintenue en moyenne à un niveau de charge stable pendant que le véhicule roule.</w:t>
      </w:r>
    </w:p>
    <w:p w14:paraId="56E23ED8" w14:textId="77777777" w:rsidR="00FC359D" w:rsidRPr="004156C2" w:rsidRDefault="00FC359D" w:rsidP="00FC359D">
      <w:pPr>
        <w:pStyle w:val="SingleTxtG"/>
        <w:ind w:left="2268" w:hanging="1134"/>
        <w:rPr>
          <w:lang w:val="fr-FR"/>
        </w:rPr>
      </w:pPr>
      <w:r w:rsidRPr="004156C2">
        <w:rPr>
          <w:lang w:val="fr-FR"/>
        </w:rPr>
        <w:t>3.2.3</w:t>
      </w:r>
      <w:r w:rsidRPr="004156C2">
        <w:rPr>
          <w:lang w:val="fr-FR"/>
        </w:rPr>
        <w:tab/>
        <w:t xml:space="preserve">Par </w:t>
      </w:r>
      <w:r w:rsidRPr="004156C2">
        <w:rPr>
          <w:szCs w:val="24"/>
          <w:lang w:val="fr-FR" w:eastAsia="ja-JP"/>
        </w:rPr>
        <w:t>« </w:t>
      </w:r>
      <w:r w:rsidRPr="004156C2">
        <w:rPr>
          <w:i/>
          <w:lang w:val="fr-FR"/>
        </w:rPr>
        <w:t>véhicule hybride électrique non rechargeable de l’extérieur »</w:t>
      </w:r>
      <w:r>
        <w:rPr>
          <w:szCs w:val="24"/>
          <w:lang w:val="fr-FR" w:eastAsia="ja-JP"/>
        </w:rPr>
        <w:t xml:space="preserve"> (VHE</w:t>
      </w:r>
      <w:r>
        <w:rPr>
          <w:szCs w:val="24"/>
          <w:lang w:val="fr-FR" w:eastAsia="ja-JP"/>
        </w:rPr>
        <w:noBreakHyphen/>
      </w:r>
      <w:r w:rsidRPr="004156C2">
        <w:rPr>
          <w:szCs w:val="24"/>
          <w:lang w:val="fr-FR" w:eastAsia="ja-JP"/>
        </w:rPr>
        <w:t>NRE), on entend un véhicule hybride électrique qui ne peut pas être rechargé depuis une source extérieure.</w:t>
      </w:r>
    </w:p>
    <w:p w14:paraId="4091D77C" w14:textId="77777777" w:rsidR="00FC359D" w:rsidRPr="004156C2" w:rsidRDefault="00FC359D" w:rsidP="00FC359D">
      <w:pPr>
        <w:pStyle w:val="SingleTxtG"/>
        <w:ind w:left="2268" w:hanging="1134"/>
        <w:rPr>
          <w:lang w:val="fr-FR"/>
        </w:rPr>
      </w:pPr>
      <w:r w:rsidRPr="004156C2">
        <w:rPr>
          <w:lang w:val="fr-FR"/>
        </w:rPr>
        <w:t>3.2.4</w:t>
      </w:r>
      <w:r w:rsidRPr="004156C2">
        <w:rPr>
          <w:lang w:val="fr-FR"/>
        </w:rPr>
        <w:tab/>
        <w:t>Par « </w:t>
      </w:r>
      <w:r w:rsidRPr="004156C2">
        <w:rPr>
          <w:i/>
          <w:lang w:val="fr-FR"/>
        </w:rPr>
        <w:t>véhicule hybride électrique rechargeable de l’extérieur</w:t>
      </w:r>
      <w:r w:rsidRPr="004156C2">
        <w:rPr>
          <w:lang w:val="fr-FR"/>
        </w:rPr>
        <w:t> » (VHE-RE), on entend un véhicule hybride électrique qui peut être rechargé depuis une source extérieure.</w:t>
      </w:r>
    </w:p>
    <w:p w14:paraId="360482EB" w14:textId="77777777" w:rsidR="00FC359D" w:rsidRPr="004156C2" w:rsidRDefault="00FC359D" w:rsidP="00FC359D">
      <w:pPr>
        <w:pStyle w:val="SingleTxtG"/>
        <w:ind w:left="2268" w:hanging="1134"/>
        <w:rPr>
          <w:szCs w:val="24"/>
          <w:lang w:val="fr-FR" w:eastAsia="ja-JP"/>
        </w:rPr>
      </w:pPr>
      <w:r w:rsidRPr="004156C2">
        <w:rPr>
          <w:lang w:val="fr-FR"/>
        </w:rPr>
        <w:t>3.2.5</w:t>
      </w:r>
      <w:r w:rsidRPr="004156C2">
        <w:rPr>
          <w:lang w:val="fr-FR"/>
        </w:rPr>
        <w:tab/>
        <w:t>Par « </w:t>
      </w:r>
      <w:r w:rsidRPr="004156C2">
        <w:rPr>
          <w:i/>
          <w:szCs w:val="24"/>
          <w:lang w:val="fr-FR" w:eastAsia="ja-JP"/>
        </w:rPr>
        <w:t>véhicule hybride électrique</w:t>
      </w:r>
      <w:r w:rsidRPr="004156C2">
        <w:rPr>
          <w:szCs w:val="24"/>
          <w:lang w:val="fr-FR"/>
        </w:rPr>
        <w:t> »</w:t>
      </w:r>
      <w:r w:rsidRPr="004156C2">
        <w:rPr>
          <w:szCs w:val="24"/>
          <w:lang w:val="fr-FR" w:eastAsia="ja-JP"/>
        </w:rPr>
        <w:t xml:space="preserve"> (VHE), on entend un véhicule hybride sur lequel l’un des convertisseurs d’énergie de propulsion est une machine électrique.</w:t>
      </w:r>
    </w:p>
    <w:p w14:paraId="661F4729" w14:textId="77777777" w:rsidR="00FC359D" w:rsidRPr="004156C2" w:rsidRDefault="00FC359D" w:rsidP="00FC359D">
      <w:pPr>
        <w:pStyle w:val="SingleTxtG"/>
        <w:ind w:left="2268" w:hanging="1134"/>
        <w:rPr>
          <w:lang w:val="fr-FR"/>
        </w:rPr>
      </w:pPr>
      <w:r w:rsidRPr="004156C2">
        <w:rPr>
          <w:szCs w:val="24"/>
          <w:lang w:val="fr-FR" w:eastAsia="ja-JP"/>
        </w:rPr>
        <w:lastRenderedPageBreak/>
        <w:t>3.2.6</w:t>
      </w:r>
      <w:r w:rsidRPr="004156C2">
        <w:rPr>
          <w:szCs w:val="24"/>
          <w:lang w:val="fr-FR" w:eastAsia="ja-JP"/>
        </w:rPr>
        <w:tab/>
        <w:t>Par « </w:t>
      </w:r>
      <w:r w:rsidRPr="004156C2">
        <w:rPr>
          <w:i/>
          <w:szCs w:val="24"/>
          <w:lang w:val="fr-FR" w:eastAsia="ja-JP"/>
        </w:rPr>
        <w:t>véhicule hybride</w:t>
      </w:r>
      <w:r w:rsidRPr="004156C2">
        <w:rPr>
          <w:szCs w:val="24"/>
          <w:lang w:val="fr-FR" w:eastAsia="ja-JP"/>
        </w:rPr>
        <w:t> » (VH), on entend un véhicule dont la chaîne de traction comprend au moins deux catégories différentes de convertisseurs d’énergie et au moins deux catégories différentes de systèmes de stockage de l’énergie de propulsion.</w:t>
      </w:r>
    </w:p>
    <w:p w14:paraId="58F9EF45" w14:textId="77777777" w:rsidR="00FC359D" w:rsidRPr="004156C2" w:rsidRDefault="00FC359D" w:rsidP="00FC359D">
      <w:pPr>
        <w:pStyle w:val="SingleTxtG"/>
        <w:ind w:left="2268" w:hanging="1134"/>
        <w:rPr>
          <w:lang w:val="fr-FR"/>
        </w:rPr>
      </w:pPr>
      <w:r w:rsidRPr="004156C2">
        <w:rPr>
          <w:lang w:val="fr-FR"/>
        </w:rPr>
        <w:t>3.3</w:t>
      </w:r>
      <w:r w:rsidRPr="004156C2">
        <w:rPr>
          <w:lang w:val="fr-FR"/>
        </w:rPr>
        <w:tab/>
        <w:t>Émissions par évaporation</w:t>
      </w:r>
    </w:p>
    <w:p w14:paraId="075D222E" w14:textId="77777777" w:rsidR="00FC359D" w:rsidRPr="004156C2" w:rsidRDefault="00FC359D" w:rsidP="00FC359D">
      <w:pPr>
        <w:pStyle w:val="SingleTxtG"/>
        <w:ind w:left="2268" w:hanging="1134"/>
        <w:rPr>
          <w:lang w:val="fr-FR"/>
        </w:rPr>
      </w:pPr>
      <w:r w:rsidRPr="004156C2">
        <w:rPr>
          <w:lang w:val="fr-FR"/>
        </w:rPr>
        <w:t>3.3.1</w:t>
      </w:r>
      <w:r w:rsidRPr="004156C2">
        <w:rPr>
          <w:lang w:val="fr-FR"/>
        </w:rPr>
        <w:tab/>
        <w:t>Par « </w:t>
      </w:r>
      <w:r w:rsidRPr="004156C2">
        <w:rPr>
          <w:i/>
          <w:lang w:val="fr-FR"/>
        </w:rPr>
        <w:t>système de réservoir de carburant</w:t>
      </w:r>
      <w:r w:rsidRPr="004156C2">
        <w:rPr>
          <w:lang w:val="fr-FR"/>
        </w:rPr>
        <w:t> », on entend les composants qui permettent de stocker le carburant, comprenant le réservoir de carburant, le goulot de remplissage, le bouchon du réservoir et la pompe à carburant lorsqu’elle est installée dans ou sur le réservoir de carburant.</w:t>
      </w:r>
    </w:p>
    <w:p w14:paraId="1AF4F8B5" w14:textId="77777777" w:rsidR="00FC359D" w:rsidRPr="004156C2" w:rsidRDefault="00FC359D" w:rsidP="00FC359D">
      <w:pPr>
        <w:pStyle w:val="SingleTxtG"/>
        <w:ind w:left="2268" w:hanging="1134"/>
        <w:rPr>
          <w:lang w:val="fr-FR"/>
        </w:rPr>
      </w:pPr>
      <w:r w:rsidRPr="004156C2">
        <w:rPr>
          <w:lang w:val="fr-FR"/>
        </w:rPr>
        <w:t>3.3.2</w:t>
      </w:r>
      <w:r w:rsidRPr="004156C2">
        <w:rPr>
          <w:lang w:val="fr-FR"/>
        </w:rPr>
        <w:tab/>
        <w:t>Par « </w:t>
      </w:r>
      <w:r w:rsidRPr="004156C2">
        <w:rPr>
          <w:i/>
          <w:lang w:val="fr-FR"/>
        </w:rPr>
        <w:t>système d’alimentation en carburant</w:t>
      </w:r>
      <w:r w:rsidRPr="004156C2">
        <w:rPr>
          <w:lang w:val="fr-FR"/>
        </w:rPr>
        <w:t> », on entend les composants qui permettent de stocker ou de transporter le carburant à bord du véhicule, comprenant le système de</w:t>
      </w:r>
      <w:r w:rsidRPr="004156C2">
        <w:rPr>
          <w:i/>
          <w:lang w:val="fr-FR"/>
        </w:rPr>
        <w:t xml:space="preserve"> </w:t>
      </w:r>
      <w:r w:rsidRPr="004156C2">
        <w:rPr>
          <w:lang w:val="fr-FR"/>
        </w:rPr>
        <w:t xml:space="preserve">réservoir de carburant, tous les tuyaux de carburant et de vapeur, toutes les pompes à carburant non installées dans ou sur le réservoir de carburant et le </w:t>
      </w:r>
      <w:proofErr w:type="spellStart"/>
      <w:r w:rsidRPr="004156C2">
        <w:rPr>
          <w:lang w:val="fr-FR"/>
        </w:rPr>
        <w:t>canister</w:t>
      </w:r>
      <w:proofErr w:type="spellEnd"/>
      <w:r w:rsidRPr="004156C2">
        <w:rPr>
          <w:lang w:val="fr-FR"/>
        </w:rPr>
        <w:t xml:space="preserve"> à charbon actif.</w:t>
      </w:r>
    </w:p>
    <w:p w14:paraId="42F601DC" w14:textId="77777777" w:rsidR="00FC359D" w:rsidRPr="004156C2" w:rsidRDefault="00FC359D" w:rsidP="00FC359D">
      <w:pPr>
        <w:pStyle w:val="SingleTxtG"/>
        <w:ind w:left="2268" w:hanging="1134"/>
        <w:rPr>
          <w:lang w:val="fr-FR"/>
        </w:rPr>
      </w:pPr>
      <w:r w:rsidRPr="004156C2">
        <w:rPr>
          <w:lang w:val="fr-FR"/>
        </w:rPr>
        <w:t>3.3.3</w:t>
      </w:r>
      <w:r w:rsidRPr="004156C2">
        <w:rPr>
          <w:lang w:val="fr-FR"/>
        </w:rPr>
        <w:tab/>
        <w:t>Par « </w:t>
      </w:r>
      <w:r w:rsidRPr="004156C2">
        <w:rPr>
          <w:i/>
          <w:lang w:val="fr-FR"/>
        </w:rPr>
        <w:t>capacité de traitement du butane</w:t>
      </w:r>
      <w:r w:rsidRPr="004156C2">
        <w:rPr>
          <w:lang w:val="fr-FR"/>
        </w:rPr>
        <w:t xml:space="preserve"> » (BWC), on entend la masse de butane qu’un </w:t>
      </w:r>
      <w:proofErr w:type="spellStart"/>
      <w:r w:rsidRPr="004156C2">
        <w:rPr>
          <w:lang w:val="fr-FR"/>
        </w:rPr>
        <w:t>canister</w:t>
      </w:r>
      <w:proofErr w:type="spellEnd"/>
      <w:r w:rsidRPr="004156C2">
        <w:rPr>
          <w:lang w:val="fr-FR"/>
        </w:rPr>
        <w:t xml:space="preserve"> à charbon actif peut adsorber.</w:t>
      </w:r>
    </w:p>
    <w:p w14:paraId="72B2210C" w14:textId="77777777" w:rsidR="00FC359D" w:rsidRPr="004156C2" w:rsidRDefault="00FC359D" w:rsidP="00FC359D">
      <w:pPr>
        <w:pStyle w:val="SingleTxtG"/>
        <w:ind w:left="2268" w:hanging="1134"/>
        <w:rPr>
          <w:lang w:val="fr-FR"/>
        </w:rPr>
      </w:pPr>
      <w:r w:rsidRPr="004156C2">
        <w:rPr>
          <w:lang w:val="fr-FR"/>
        </w:rPr>
        <w:t>3.3.4</w:t>
      </w:r>
      <w:r w:rsidRPr="004156C2">
        <w:rPr>
          <w:lang w:val="fr-FR"/>
        </w:rPr>
        <w:tab/>
        <w:t>Par « </w:t>
      </w:r>
      <w:r w:rsidRPr="004156C2">
        <w:rPr>
          <w:i/>
          <w:lang w:val="fr-FR"/>
        </w:rPr>
        <w:t>BWC300</w:t>
      </w:r>
      <w:r w:rsidRPr="004156C2">
        <w:rPr>
          <w:lang w:val="fr-FR"/>
        </w:rPr>
        <w:t> », on entend la capacité de traitement du butane après 300 cycles de vieillissement par exposition au carburant.</w:t>
      </w:r>
    </w:p>
    <w:p w14:paraId="36AAB82E" w14:textId="77777777" w:rsidR="00FC359D" w:rsidRPr="004156C2" w:rsidRDefault="00FC359D" w:rsidP="00FC359D">
      <w:pPr>
        <w:pStyle w:val="SingleTxtG"/>
        <w:ind w:left="2268" w:hanging="1134"/>
        <w:rPr>
          <w:lang w:val="fr-FR"/>
        </w:rPr>
      </w:pPr>
      <w:r w:rsidRPr="004156C2">
        <w:rPr>
          <w:lang w:val="fr-FR"/>
        </w:rPr>
        <w:t>3.3.5</w:t>
      </w:r>
      <w:r w:rsidRPr="004156C2">
        <w:rPr>
          <w:lang w:val="fr-FR"/>
        </w:rPr>
        <w:tab/>
        <w:t>Par « </w:t>
      </w:r>
      <w:r w:rsidRPr="004156C2">
        <w:rPr>
          <w:i/>
          <w:lang w:val="fr-FR"/>
        </w:rPr>
        <w:t>facteur de perméabilité</w:t>
      </w:r>
      <w:r w:rsidRPr="004156C2">
        <w:rPr>
          <w:lang w:val="fr-FR"/>
        </w:rPr>
        <w:t> » (PF), on entend le facteur déterminé sur la base des pertes d’hydrocarbures sur une période de temps et utilisé pour mesurer la valeur finale des émissions par évaporation.</w:t>
      </w:r>
    </w:p>
    <w:p w14:paraId="4E688910" w14:textId="77777777" w:rsidR="00FC359D" w:rsidRPr="004156C2" w:rsidRDefault="00FC359D" w:rsidP="00FC359D">
      <w:pPr>
        <w:pStyle w:val="SingleTxtG"/>
        <w:ind w:left="2268" w:hanging="1134"/>
        <w:rPr>
          <w:lang w:val="fr-FR"/>
        </w:rPr>
      </w:pPr>
      <w:r w:rsidRPr="004156C2">
        <w:rPr>
          <w:lang w:val="fr-FR"/>
        </w:rPr>
        <w:t>3.3.6</w:t>
      </w:r>
      <w:r w:rsidRPr="004156C2">
        <w:rPr>
          <w:lang w:val="fr-FR"/>
        </w:rPr>
        <w:tab/>
        <w:t>Par « </w:t>
      </w:r>
      <w:r w:rsidRPr="004156C2">
        <w:rPr>
          <w:i/>
          <w:lang w:val="fr-FR"/>
        </w:rPr>
        <w:t>réservoir non métallique monocouche</w:t>
      </w:r>
      <w:r w:rsidRPr="004156C2">
        <w:rPr>
          <w:lang w:val="fr-FR"/>
        </w:rPr>
        <w:t xml:space="preserve"> », on entend un réservoir de carburant </w:t>
      </w:r>
      <w:r>
        <w:rPr>
          <w:lang w:val="fr-FR"/>
        </w:rPr>
        <w:t>fabriqué</w:t>
      </w:r>
      <w:r w:rsidRPr="004156C2">
        <w:rPr>
          <w:lang w:val="fr-FR"/>
        </w:rPr>
        <w:t xml:space="preserve"> avec une seule couch</w:t>
      </w:r>
      <w:r>
        <w:rPr>
          <w:lang w:val="fr-FR"/>
        </w:rPr>
        <w:t>e de matériau non métallique, y </w:t>
      </w:r>
      <w:r w:rsidRPr="004156C2">
        <w:rPr>
          <w:lang w:val="fr-FR"/>
        </w:rPr>
        <w:t>compris les réservoirs conçus avec des matériaux fluorés/sulfonés.</w:t>
      </w:r>
    </w:p>
    <w:p w14:paraId="1B5F082D" w14:textId="77777777" w:rsidR="00FC359D" w:rsidRPr="004156C2" w:rsidRDefault="00FC359D" w:rsidP="00FC359D">
      <w:pPr>
        <w:pStyle w:val="SingleTxtG"/>
        <w:ind w:left="2268" w:hanging="1134"/>
        <w:rPr>
          <w:lang w:val="fr-FR"/>
        </w:rPr>
      </w:pPr>
      <w:r w:rsidRPr="004156C2">
        <w:rPr>
          <w:lang w:val="fr-FR"/>
        </w:rPr>
        <w:t>3.3.7</w:t>
      </w:r>
      <w:r w:rsidRPr="004156C2">
        <w:rPr>
          <w:lang w:val="fr-FR"/>
        </w:rPr>
        <w:tab/>
        <w:t>Par « </w:t>
      </w:r>
      <w:r w:rsidRPr="004156C2">
        <w:rPr>
          <w:i/>
          <w:lang w:val="fr-FR"/>
        </w:rPr>
        <w:t>réservoir multicouche</w:t>
      </w:r>
      <w:r w:rsidRPr="004156C2">
        <w:rPr>
          <w:lang w:val="fr-FR"/>
        </w:rPr>
        <w:t xml:space="preserve"> », on entend un réservoir de carburant </w:t>
      </w:r>
      <w:r>
        <w:rPr>
          <w:lang w:val="fr-FR"/>
        </w:rPr>
        <w:t>fabriqué</w:t>
      </w:r>
      <w:r w:rsidRPr="004156C2">
        <w:rPr>
          <w:lang w:val="fr-FR"/>
        </w:rPr>
        <w:t xml:space="preserve"> avec au moins deux couches de matériaux différents, dont l’un est un matériau </w:t>
      </w:r>
      <w:r>
        <w:rPr>
          <w:lang w:val="fr-FR"/>
        </w:rPr>
        <w:t>imperméable aux</w:t>
      </w:r>
      <w:r w:rsidRPr="004156C2">
        <w:rPr>
          <w:lang w:val="fr-FR"/>
        </w:rPr>
        <w:t xml:space="preserve"> hydrocarbures.</w:t>
      </w:r>
    </w:p>
    <w:p w14:paraId="27C96643" w14:textId="77777777" w:rsidR="00FC359D" w:rsidRPr="004156C2" w:rsidRDefault="00FC359D" w:rsidP="00FC359D">
      <w:pPr>
        <w:pStyle w:val="SingleTxtG"/>
        <w:ind w:left="2268" w:hanging="1134"/>
        <w:rPr>
          <w:lang w:val="fr-FR"/>
        </w:rPr>
      </w:pPr>
      <w:r w:rsidRPr="004156C2">
        <w:rPr>
          <w:lang w:val="fr-FR"/>
        </w:rPr>
        <w:t>3.3.8</w:t>
      </w:r>
      <w:r w:rsidRPr="004156C2">
        <w:rPr>
          <w:lang w:val="fr-FR"/>
        </w:rPr>
        <w:tab/>
        <w:t>Par « </w:t>
      </w:r>
      <w:r w:rsidRPr="004156C2">
        <w:rPr>
          <w:i/>
          <w:lang w:val="fr-FR"/>
        </w:rPr>
        <w:t>système de réservoir étanche</w:t>
      </w:r>
      <w:r w:rsidRPr="004156C2">
        <w:rPr>
          <w:lang w:val="fr-FR"/>
        </w:rPr>
        <w:t xml:space="preserve"> », on entend un système de réservoir de carburant duquel les vapeurs de carburant ne s’échappent pas au cours d’une période de stationnement correspondant au cycle d’essai diurne de 24 h défini à l’appendice 2 de l’annexe 7 du Règlement </w:t>
      </w:r>
      <w:r>
        <w:rPr>
          <w:lang w:val="fr-FR"/>
        </w:rPr>
        <w:t xml:space="preserve">ONU </w:t>
      </w:r>
      <w:r w:rsidRPr="004156C2">
        <w:rPr>
          <w:lang w:val="fr-FR"/>
        </w:rPr>
        <w:t>n</w:t>
      </w:r>
      <w:r w:rsidRPr="004156C2">
        <w:rPr>
          <w:vertAlign w:val="superscript"/>
          <w:lang w:val="fr-FR"/>
        </w:rPr>
        <w:t>o</w:t>
      </w:r>
      <w:r w:rsidRPr="004156C2">
        <w:rPr>
          <w:lang w:val="fr-FR"/>
        </w:rPr>
        <w:t> 83 (série 07 d’amendements), lorsque celui-ci est effectué avec le carburant de référence visé à l’annexe 2 du présent RTM</w:t>
      </w:r>
      <w:r>
        <w:rPr>
          <w:lang w:val="fr-FR"/>
        </w:rPr>
        <w:t xml:space="preserve"> ONU</w:t>
      </w:r>
      <w:r w:rsidRPr="004156C2">
        <w:rPr>
          <w:lang w:val="fr-FR"/>
        </w:rPr>
        <w:t>.</w:t>
      </w:r>
    </w:p>
    <w:p w14:paraId="7464EFDA" w14:textId="77777777" w:rsidR="00FC359D" w:rsidRPr="004156C2" w:rsidRDefault="00FC359D" w:rsidP="00FC359D">
      <w:pPr>
        <w:pStyle w:val="SingleTxtG"/>
        <w:ind w:left="2268" w:hanging="1134"/>
        <w:rPr>
          <w:lang w:val="fr-FR"/>
        </w:rPr>
      </w:pPr>
      <w:r w:rsidRPr="004156C2">
        <w:rPr>
          <w:lang w:val="fr-FR"/>
        </w:rPr>
        <w:t>3.3.9</w:t>
      </w:r>
      <w:r w:rsidRPr="004156C2">
        <w:rPr>
          <w:lang w:val="fr-FR"/>
        </w:rPr>
        <w:tab/>
        <w:t>Par « </w:t>
      </w:r>
      <w:r w:rsidRPr="004156C2">
        <w:rPr>
          <w:i/>
          <w:lang w:val="fr-FR"/>
        </w:rPr>
        <w:t>émissions par évaporation</w:t>
      </w:r>
      <w:r w:rsidRPr="004156C2">
        <w:rPr>
          <w:lang w:val="fr-FR"/>
        </w:rPr>
        <w:t> », on entend, aux fins du présent RTM</w:t>
      </w:r>
      <w:r>
        <w:rPr>
          <w:lang w:val="fr-FR"/>
        </w:rPr>
        <w:t xml:space="preserve"> ONU</w:t>
      </w:r>
      <w:r w:rsidRPr="004156C2">
        <w:rPr>
          <w:lang w:val="fr-FR"/>
        </w:rPr>
        <w:t>, les pertes de vapeurs d’hydrocarbures provenant du système d’alimentation en carburant d’un véhicule à moteur en stationnement et immédiatement avant le ravitaillement d’un réservoir étanche.</w:t>
      </w:r>
    </w:p>
    <w:p w14:paraId="5F528464" w14:textId="77777777" w:rsidR="00FC359D" w:rsidRPr="004156C2" w:rsidRDefault="00FC359D" w:rsidP="00FC359D">
      <w:pPr>
        <w:pStyle w:val="SingleTxtG"/>
        <w:ind w:left="2268" w:hanging="1134"/>
        <w:rPr>
          <w:lang w:val="fr-FR"/>
        </w:rPr>
      </w:pPr>
      <w:r w:rsidRPr="004156C2">
        <w:rPr>
          <w:lang w:val="fr-FR"/>
        </w:rPr>
        <w:t>3.3.10</w:t>
      </w:r>
      <w:r w:rsidRPr="004156C2">
        <w:rPr>
          <w:lang w:val="fr-FR"/>
        </w:rPr>
        <w:tab/>
        <w:t>Par « </w:t>
      </w:r>
      <w:r w:rsidRPr="004156C2">
        <w:rPr>
          <w:i/>
          <w:lang w:val="fr-FR"/>
        </w:rPr>
        <w:t xml:space="preserve">véhicule </w:t>
      </w:r>
      <w:proofErr w:type="spellStart"/>
      <w:r w:rsidRPr="004156C2">
        <w:rPr>
          <w:i/>
          <w:lang w:val="fr-FR"/>
        </w:rPr>
        <w:t>monocarburant</w:t>
      </w:r>
      <w:proofErr w:type="spellEnd"/>
      <w:r w:rsidRPr="004156C2">
        <w:rPr>
          <w:i/>
          <w:lang w:val="fr-FR"/>
        </w:rPr>
        <w:t xml:space="preserve"> à gaz</w:t>
      </w:r>
      <w:r w:rsidRPr="004156C2">
        <w:rPr>
          <w:lang w:val="fr-FR"/>
        </w:rPr>
        <w:t> », on entend un véhicule conçu pour fonctionner en premier lieu au gaz de pétrole liquéfié ou au gaz naturel/biométhane ou à l’hydrogène, mais qui peut aussi être doté d’un système d’alimentation en essence réservé aux cas d’urgence et au démarrage, comprenant un réservoir d’une contenance maximale de 15 l.</w:t>
      </w:r>
    </w:p>
    <w:p w14:paraId="7BADD674" w14:textId="77777777" w:rsidR="00FC359D" w:rsidRPr="004156C2" w:rsidRDefault="00FC359D" w:rsidP="00FC359D">
      <w:pPr>
        <w:pStyle w:val="SingleTxtG"/>
        <w:ind w:left="2268" w:hanging="1134"/>
        <w:rPr>
          <w:lang w:val="fr-FR"/>
        </w:rPr>
      </w:pPr>
      <w:r w:rsidRPr="004156C2">
        <w:rPr>
          <w:lang w:val="fr-FR"/>
        </w:rPr>
        <w:t>3.3.11</w:t>
      </w:r>
      <w:r w:rsidRPr="004156C2">
        <w:rPr>
          <w:lang w:val="fr-FR"/>
        </w:rPr>
        <w:tab/>
        <w:t>Par « </w:t>
      </w:r>
      <w:r w:rsidRPr="004156C2">
        <w:rPr>
          <w:i/>
          <w:lang w:val="fr-FR"/>
        </w:rPr>
        <w:t>pertes liées à la dépressurisation</w:t>
      </w:r>
      <w:r w:rsidRPr="004156C2">
        <w:rPr>
          <w:lang w:val="fr-FR"/>
        </w:rPr>
        <w:t xml:space="preserve"> », on entend les hydrocarbures évacués par la soupape de surpression d’un système de réservoir étanche exclusivement </w:t>
      </w:r>
      <w:r>
        <w:rPr>
          <w:lang w:val="fr-FR"/>
        </w:rPr>
        <w:t xml:space="preserve">à travers le </w:t>
      </w:r>
      <w:proofErr w:type="spellStart"/>
      <w:r>
        <w:rPr>
          <w:lang w:val="fr-FR"/>
        </w:rPr>
        <w:t>canister</w:t>
      </w:r>
      <w:proofErr w:type="spellEnd"/>
      <w:r>
        <w:rPr>
          <w:lang w:val="fr-FR"/>
        </w:rPr>
        <w:t xml:space="preserve"> autorisé par le</w:t>
      </w:r>
      <w:r w:rsidRPr="004156C2">
        <w:rPr>
          <w:lang w:val="fr-FR"/>
        </w:rPr>
        <w:t xml:space="preserve"> système.</w:t>
      </w:r>
    </w:p>
    <w:p w14:paraId="57091015" w14:textId="77777777" w:rsidR="00FC359D" w:rsidRPr="004156C2" w:rsidRDefault="00FC359D" w:rsidP="00FC359D">
      <w:pPr>
        <w:pStyle w:val="SingleTxtG"/>
        <w:ind w:left="2268" w:hanging="1134"/>
        <w:rPr>
          <w:lang w:val="fr-FR"/>
        </w:rPr>
      </w:pPr>
      <w:r w:rsidRPr="004156C2">
        <w:rPr>
          <w:lang w:val="fr-FR"/>
        </w:rPr>
        <w:t>3.3.12</w:t>
      </w:r>
      <w:r w:rsidRPr="004156C2">
        <w:rPr>
          <w:lang w:val="fr-FR"/>
        </w:rPr>
        <w:tab/>
        <w:t>Par « </w:t>
      </w:r>
      <w:r w:rsidRPr="004156C2">
        <w:rPr>
          <w:i/>
          <w:lang w:val="fr-FR"/>
        </w:rPr>
        <w:t>trop-plein de pertes liées à la dépressurisation</w:t>
      </w:r>
      <w:r w:rsidRPr="004156C2">
        <w:rPr>
          <w:lang w:val="fr-FR"/>
        </w:rPr>
        <w:t xml:space="preserve"> », on entend les hydrocarbures qui traversent </w:t>
      </w:r>
      <w:r>
        <w:rPr>
          <w:lang w:val="fr-FR"/>
        </w:rPr>
        <w:t xml:space="preserve">le </w:t>
      </w:r>
      <w:proofErr w:type="spellStart"/>
      <w:r>
        <w:rPr>
          <w:lang w:val="fr-FR"/>
        </w:rPr>
        <w:t>canister</w:t>
      </w:r>
      <w:proofErr w:type="spellEnd"/>
      <w:r w:rsidRPr="004156C2">
        <w:rPr>
          <w:lang w:val="fr-FR"/>
        </w:rPr>
        <w:t xml:space="preserve"> lors d’une dépressurisation.</w:t>
      </w:r>
    </w:p>
    <w:p w14:paraId="11BADDDB" w14:textId="77777777" w:rsidR="00FC359D" w:rsidRPr="004156C2" w:rsidRDefault="00FC359D" w:rsidP="00FC359D">
      <w:pPr>
        <w:pStyle w:val="SingleTxtG"/>
        <w:ind w:left="2268" w:hanging="1134"/>
        <w:rPr>
          <w:lang w:val="fr-FR" w:eastAsia="ja-JP"/>
        </w:rPr>
      </w:pPr>
      <w:r w:rsidRPr="004156C2">
        <w:rPr>
          <w:lang w:val="fr-FR"/>
        </w:rPr>
        <w:t>3.3.13</w:t>
      </w:r>
      <w:r w:rsidRPr="004156C2">
        <w:rPr>
          <w:lang w:val="fr-FR"/>
        </w:rPr>
        <w:tab/>
        <w:t>Par « </w:t>
      </w:r>
      <w:r w:rsidRPr="004156C2">
        <w:rPr>
          <w:i/>
          <w:lang w:val="fr-FR"/>
        </w:rPr>
        <w:t>pression de décharge du réservoir</w:t>
      </w:r>
      <w:r w:rsidRPr="004156C2">
        <w:rPr>
          <w:lang w:val="fr-FR"/>
        </w:rPr>
        <w:t xml:space="preserve"> », on entend la </w:t>
      </w:r>
      <w:r w:rsidRPr="004156C2">
        <w:rPr>
          <w:lang w:val="fr-FR" w:eastAsia="ja-JP"/>
        </w:rPr>
        <w:t>pression minimale à laquelle s’ouvre la soupape de surpression du système de réservoir étanche, uniquement en réaction à la press</w:t>
      </w:r>
      <w:r>
        <w:rPr>
          <w:lang w:val="fr-FR" w:eastAsia="ja-JP"/>
        </w:rPr>
        <w:t>ion à l’intérieur du réservoir.</w:t>
      </w:r>
    </w:p>
    <w:p w14:paraId="48DDE76F" w14:textId="77777777" w:rsidR="00FC359D" w:rsidRPr="004156C2" w:rsidRDefault="00FC359D" w:rsidP="00FC359D">
      <w:pPr>
        <w:pStyle w:val="SingleTxtG"/>
        <w:ind w:left="2268" w:hanging="1134"/>
        <w:rPr>
          <w:lang w:val="fr-FR"/>
        </w:rPr>
      </w:pPr>
      <w:r w:rsidRPr="004156C2">
        <w:rPr>
          <w:lang w:val="fr-FR" w:eastAsia="ja-JP"/>
        </w:rPr>
        <w:lastRenderedPageBreak/>
        <w:t>3.3.1</w:t>
      </w:r>
      <w:r>
        <w:rPr>
          <w:lang w:val="fr-FR" w:eastAsia="ja-JP"/>
        </w:rPr>
        <w:t>4</w:t>
      </w:r>
      <w:r w:rsidRPr="004156C2">
        <w:rPr>
          <w:lang w:val="fr-FR" w:eastAsia="ja-JP"/>
        </w:rPr>
        <w:tab/>
        <w:t>Par « </w:t>
      </w:r>
      <w:r w:rsidRPr="004156C2">
        <w:rPr>
          <w:i/>
          <w:lang w:val="fr-FR" w:eastAsia="ja-JP"/>
        </w:rPr>
        <w:t>percée de 2 g</w:t>
      </w:r>
      <w:r w:rsidRPr="004156C2">
        <w:rPr>
          <w:lang w:val="fr-FR" w:eastAsia="ja-JP"/>
        </w:rPr>
        <w:t xml:space="preserve"> », on entend le niveau de saturation atteint lorsque </w:t>
      </w:r>
      <w:r w:rsidRPr="004156C2">
        <w:rPr>
          <w:lang w:val="fr-FR"/>
        </w:rPr>
        <w:t xml:space="preserve">la quantité cumulée d’hydrocarbures émis par le </w:t>
      </w:r>
      <w:proofErr w:type="spellStart"/>
      <w:r w:rsidRPr="004156C2">
        <w:rPr>
          <w:lang w:val="fr-FR"/>
        </w:rPr>
        <w:t>canister</w:t>
      </w:r>
      <w:proofErr w:type="spellEnd"/>
      <w:r w:rsidRPr="004156C2">
        <w:rPr>
          <w:lang w:val="fr-FR"/>
        </w:rPr>
        <w:t xml:space="preserve"> à charbon actif est égale à 2 g.</w:t>
      </w:r>
    </w:p>
    <w:p w14:paraId="0404751B" w14:textId="77777777" w:rsidR="00FC359D" w:rsidRPr="004156C2" w:rsidRDefault="00FC359D" w:rsidP="00FC359D">
      <w:pPr>
        <w:pStyle w:val="HChG"/>
        <w:rPr>
          <w:lang w:val="fr-FR"/>
        </w:rPr>
      </w:pPr>
      <w:bookmarkStart w:id="12" w:name="_Toc284586946"/>
      <w:bookmarkStart w:id="13" w:name="_Toc284587064"/>
      <w:bookmarkStart w:id="14" w:name="_Toc284587315"/>
      <w:bookmarkStart w:id="15" w:name="_Toc289686187"/>
      <w:bookmarkEnd w:id="10"/>
      <w:bookmarkEnd w:id="11"/>
      <w:r w:rsidRPr="004156C2">
        <w:rPr>
          <w:lang w:val="fr-FR"/>
        </w:rPr>
        <w:tab/>
      </w:r>
      <w:r>
        <w:rPr>
          <w:lang w:val="fr-FR"/>
        </w:rPr>
        <w:tab/>
      </w:r>
      <w:r w:rsidRPr="004156C2">
        <w:rPr>
          <w:lang w:val="fr-FR"/>
        </w:rPr>
        <w:t>4.</w:t>
      </w:r>
      <w:r w:rsidRPr="004156C2">
        <w:rPr>
          <w:lang w:val="fr-FR"/>
        </w:rPr>
        <w:tab/>
      </w:r>
      <w:r>
        <w:rPr>
          <w:lang w:val="fr-FR"/>
        </w:rPr>
        <w:tab/>
      </w:r>
      <w:r w:rsidRPr="004156C2">
        <w:rPr>
          <w:lang w:val="fr-FR"/>
        </w:rPr>
        <w:t>Sigles</w:t>
      </w:r>
    </w:p>
    <w:p w14:paraId="3A0D2FE0" w14:textId="77777777" w:rsidR="00FC359D" w:rsidRPr="004156C2" w:rsidRDefault="00FC359D" w:rsidP="00FC359D">
      <w:pPr>
        <w:spacing w:after="120"/>
        <w:ind w:left="2268" w:right="1134"/>
        <w:jc w:val="both"/>
        <w:rPr>
          <w:lang w:val="fr-FR"/>
        </w:rPr>
      </w:pPr>
      <w:bookmarkStart w:id="16" w:name="_Toc284586948"/>
      <w:bookmarkStart w:id="17" w:name="_Toc284587066"/>
      <w:bookmarkStart w:id="18" w:name="_Toc284587317"/>
      <w:bookmarkStart w:id="19" w:name="_Toc289686189"/>
      <w:bookmarkEnd w:id="12"/>
      <w:bookmarkEnd w:id="13"/>
      <w:bookmarkEnd w:id="14"/>
      <w:bookmarkEnd w:id="15"/>
      <w:r w:rsidRPr="004156C2">
        <w:rPr>
          <w:lang w:val="fr-FR"/>
        </w:rPr>
        <w:t>Sigles généraux</w:t>
      </w:r>
      <w:bookmarkEnd w:id="16"/>
      <w:bookmarkEnd w:id="17"/>
      <w:bookmarkEnd w:id="18"/>
      <w:bookmarkEnd w:id="19"/>
    </w:p>
    <w:p w14:paraId="26F27E84" w14:textId="77777777" w:rsidR="00FC359D" w:rsidRPr="004156C2" w:rsidRDefault="00FC359D" w:rsidP="00FC359D">
      <w:pPr>
        <w:spacing w:after="120"/>
        <w:ind w:left="3402" w:right="1134" w:hanging="1134"/>
        <w:jc w:val="both"/>
        <w:rPr>
          <w:lang w:val="fr-FR"/>
        </w:rPr>
      </w:pPr>
      <w:r w:rsidRPr="004156C2">
        <w:rPr>
          <w:lang w:val="fr-FR"/>
        </w:rPr>
        <w:t>BWC</w:t>
      </w:r>
      <w:r w:rsidRPr="004156C2">
        <w:rPr>
          <w:lang w:val="fr-FR"/>
        </w:rPr>
        <w:tab/>
      </w:r>
      <w:r w:rsidRPr="004156C2">
        <w:rPr>
          <w:lang w:val="fr-FR"/>
        </w:rPr>
        <w:tab/>
        <w:t>Capacité de traitement du butane</w:t>
      </w:r>
    </w:p>
    <w:p w14:paraId="3FEC5523" w14:textId="77777777" w:rsidR="00FC359D" w:rsidRPr="004156C2" w:rsidRDefault="00FC359D" w:rsidP="00FC359D">
      <w:pPr>
        <w:spacing w:after="120"/>
        <w:ind w:left="3402" w:right="1134" w:hanging="1134"/>
        <w:jc w:val="both"/>
        <w:rPr>
          <w:lang w:val="fr-FR"/>
        </w:rPr>
      </w:pPr>
      <w:r w:rsidRPr="004156C2">
        <w:rPr>
          <w:lang w:val="fr-FR"/>
        </w:rPr>
        <w:t>PF</w:t>
      </w:r>
      <w:r w:rsidRPr="004156C2">
        <w:rPr>
          <w:lang w:val="fr-FR"/>
        </w:rPr>
        <w:tab/>
      </w:r>
      <w:r w:rsidRPr="004156C2">
        <w:rPr>
          <w:lang w:val="fr-FR"/>
        </w:rPr>
        <w:tab/>
        <w:t>Facteur de perméabilité</w:t>
      </w:r>
    </w:p>
    <w:p w14:paraId="688AE89E" w14:textId="77777777" w:rsidR="00FC359D" w:rsidRPr="004156C2" w:rsidRDefault="00FC359D" w:rsidP="00FC359D">
      <w:pPr>
        <w:spacing w:after="120"/>
        <w:ind w:left="3402" w:right="1134" w:hanging="1134"/>
        <w:jc w:val="both"/>
        <w:rPr>
          <w:lang w:val="fr-FR"/>
        </w:rPr>
      </w:pPr>
      <w:r w:rsidRPr="004156C2">
        <w:rPr>
          <w:lang w:val="fr-FR"/>
        </w:rPr>
        <w:t>APF</w:t>
      </w:r>
      <w:r w:rsidRPr="004156C2">
        <w:rPr>
          <w:lang w:val="fr-FR"/>
        </w:rPr>
        <w:tab/>
      </w:r>
      <w:r w:rsidRPr="004156C2">
        <w:rPr>
          <w:lang w:val="fr-FR"/>
        </w:rPr>
        <w:tab/>
        <w:t>Facteur de perméabilité assigné</w:t>
      </w:r>
    </w:p>
    <w:p w14:paraId="340AEB7D" w14:textId="77777777" w:rsidR="00FC359D" w:rsidRDefault="00FC359D" w:rsidP="00FC359D">
      <w:pPr>
        <w:spacing w:after="120"/>
        <w:ind w:left="3402" w:right="1134" w:hanging="1134"/>
        <w:jc w:val="both"/>
        <w:rPr>
          <w:lang w:val="fr-FR"/>
        </w:rPr>
      </w:pPr>
      <w:r w:rsidRPr="004156C2">
        <w:rPr>
          <w:lang w:val="fr-FR"/>
        </w:rPr>
        <w:t>VHE-RE</w:t>
      </w:r>
      <w:r w:rsidRPr="004156C2">
        <w:rPr>
          <w:lang w:val="fr-FR"/>
        </w:rPr>
        <w:tab/>
      </w:r>
      <w:r w:rsidRPr="004156C2">
        <w:rPr>
          <w:lang w:val="fr-FR"/>
        </w:rPr>
        <w:tab/>
        <w:t>Véhicule hybride électrique rechargeable de l’extérieur</w:t>
      </w:r>
    </w:p>
    <w:p w14:paraId="21F8D814" w14:textId="77777777" w:rsidR="00FC359D" w:rsidRPr="004156C2" w:rsidRDefault="00FC359D" w:rsidP="00FC359D">
      <w:pPr>
        <w:spacing w:after="120"/>
        <w:ind w:left="3402" w:right="1134" w:hanging="1134"/>
        <w:jc w:val="both"/>
        <w:rPr>
          <w:lang w:val="fr-FR"/>
        </w:rPr>
      </w:pPr>
      <w:r>
        <w:rPr>
          <w:lang w:val="fr-FR"/>
        </w:rPr>
        <w:t>VHE-NRE</w:t>
      </w:r>
      <w:r>
        <w:rPr>
          <w:lang w:val="fr-FR"/>
        </w:rPr>
        <w:tab/>
        <w:t>Véhicule hybride électrique non rechargeable de l’extérieur</w:t>
      </w:r>
    </w:p>
    <w:p w14:paraId="62863D8C" w14:textId="77777777" w:rsidR="00FC359D" w:rsidRPr="004156C2" w:rsidRDefault="00FC359D" w:rsidP="00FC359D">
      <w:pPr>
        <w:spacing w:after="120"/>
        <w:ind w:left="3402" w:right="1134" w:hanging="1134"/>
        <w:jc w:val="both"/>
        <w:rPr>
          <w:lang w:val="fr-FR"/>
        </w:rPr>
      </w:pPr>
      <w:r w:rsidRPr="004156C2">
        <w:rPr>
          <w:lang w:val="fr-FR"/>
        </w:rPr>
        <w:t>WLTC</w:t>
      </w:r>
      <w:r w:rsidRPr="004156C2">
        <w:rPr>
          <w:lang w:val="fr-FR"/>
        </w:rPr>
        <w:tab/>
      </w:r>
      <w:r w:rsidRPr="004156C2">
        <w:rPr>
          <w:lang w:val="fr-FR"/>
        </w:rPr>
        <w:tab/>
        <w:t>Cycle d’essai mondial harmonisé pour les voitures particulières et les véhicules utilitaires légers</w:t>
      </w:r>
    </w:p>
    <w:p w14:paraId="52F40C3C" w14:textId="77777777" w:rsidR="00FC359D" w:rsidRPr="004156C2" w:rsidRDefault="00FC359D" w:rsidP="00FC359D">
      <w:pPr>
        <w:spacing w:after="120"/>
        <w:ind w:left="3402" w:right="1134" w:hanging="1134"/>
        <w:jc w:val="both"/>
        <w:rPr>
          <w:lang w:val="fr-FR"/>
        </w:rPr>
      </w:pPr>
      <w:r w:rsidRPr="004156C2">
        <w:rPr>
          <w:lang w:val="fr-FR"/>
        </w:rPr>
        <w:t>SRSEE</w:t>
      </w:r>
      <w:r w:rsidRPr="004156C2">
        <w:rPr>
          <w:lang w:val="fr-FR"/>
        </w:rPr>
        <w:tab/>
        <w:t>Système rechargeable de stockage de l’énergie électrique</w:t>
      </w:r>
    </w:p>
    <w:p w14:paraId="7786349B" w14:textId="77777777" w:rsidR="00FC359D" w:rsidRPr="004156C2" w:rsidRDefault="00FC359D" w:rsidP="00FC359D">
      <w:pPr>
        <w:pStyle w:val="HChG"/>
        <w:rPr>
          <w:lang w:val="fr-FR"/>
        </w:rPr>
      </w:pPr>
      <w:r w:rsidRPr="004156C2">
        <w:rPr>
          <w:lang w:val="fr-FR"/>
        </w:rPr>
        <w:tab/>
      </w:r>
      <w:r>
        <w:rPr>
          <w:lang w:val="fr-FR"/>
        </w:rPr>
        <w:tab/>
      </w:r>
      <w:r w:rsidRPr="004156C2">
        <w:rPr>
          <w:lang w:val="fr-FR"/>
        </w:rPr>
        <w:t>5.</w:t>
      </w:r>
      <w:r w:rsidRPr="004156C2">
        <w:rPr>
          <w:lang w:val="fr-FR"/>
        </w:rPr>
        <w:tab/>
      </w:r>
      <w:r>
        <w:rPr>
          <w:lang w:val="fr-FR"/>
        </w:rPr>
        <w:tab/>
      </w:r>
      <w:r w:rsidRPr="004156C2">
        <w:rPr>
          <w:lang w:val="fr-FR"/>
        </w:rPr>
        <w:t>Prescriptions générales</w:t>
      </w:r>
    </w:p>
    <w:p w14:paraId="729D2434" w14:textId="77777777" w:rsidR="00FC359D" w:rsidRPr="004156C2" w:rsidRDefault="00FC359D" w:rsidP="00FC359D">
      <w:pPr>
        <w:pStyle w:val="SingleTxtG"/>
        <w:ind w:left="2268" w:hanging="1134"/>
        <w:rPr>
          <w:lang w:val="fr-FR"/>
        </w:rPr>
      </w:pPr>
      <w:r w:rsidRPr="004156C2">
        <w:rPr>
          <w:lang w:val="fr-FR"/>
        </w:rPr>
        <w:t>5.1</w:t>
      </w:r>
      <w:r w:rsidRPr="004156C2">
        <w:rPr>
          <w:lang w:val="fr-FR"/>
        </w:rPr>
        <w:tab/>
        <w:t xml:space="preserve">Le véhicule et ses composants susceptibles d’influer sur les émissions par évaporation doivent être conçus, construits et montés de sorte que dans </w:t>
      </w:r>
      <w:r>
        <w:rPr>
          <w:lang w:val="fr-FR"/>
        </w:rPr>
        <w:t>l</w:t>
      </w:r>
      <w:r w:rsidRPr="004156C2">
        <w:rPr>
          <w:lang w:val="fr-FR"/>
        </w:rPr>
        <w:t xml:space="preserve">es conditions normales d’utilisation auxquelles ils peuvent être soumis, telles que l’exposition à l’humidité, à la pluie, </w:t>
      </w:r>
      <w:r>
        <w:rPr>
          <w:lang w:val="fr-FR"/>
        </w:rPr>
        <w:t xml:space="preserve">à la neige, </w:t>
      </w:r>
      <w:r w:rsidRPr="004156C2">
        <w:rPr>
          <w:lang w:val="fr-FR"/>
        </w:rPr>
        <w:t xml:space="preserve">à la chaleur, au froid, au sable, à la poussière et aux vibrations, ainsi que l’usure, le véhicule puisse continuer à satisfaire aux prescriptions du présent RTM </w:t>
      </w:r>
      <w:r>
        <w:rPr>
          <w:lang w:val="fr-FR"/>
        </w:rPr>
        <w:t xml:space="preserve">ONU </w:t>
      </w:r>
      <w:r w:rsidRPr="004156C2">
        <w:rPr>
          <w:lang w:val="fr-FR"/>
        </w:rPr>
        <w:t>pendant sa durée de vie utile telle qu’elle est définie par les Parties contractantes.</w:t>
      </w:r>
    </w:p>
    <w:p w14:paraId="1182CF83" w14:textId="77777777" w:rsidR="00FC359D" w:rsidRPr="004156C2" w:rsidRDefault="00FC359D" w:rsidP="00FC359D">
      <w:pPr>
        <w:pStyle w:val="SingleTxtG"/>
        <w:ind w:left="2268" w:hanging="1134"/>
        <w:rPr>
          <w:lang w:val="fr-FR"/>
        </w:rPr>
      </w:pPr>
      <w:r w:rsidRPr="004156C2">
        <w:rPr>
          <w:lang w:val="fr-FR"/>
        </w:rPr>
        <w:t>5.1.1</w:t>
      </w:r>
      <w:r w:rsidRPr="004156C2">
        <w:rPr>
          <w:lang w:val="fr-FR"/>
        </w:rPr>
        <w:tab/>
        <w:t>Cette prescription doit aussi s’appliquer à l’intégrité de tous les tuyaux flexibles, ainsi que de leurs joints et raccords utilisés sur les systèmes de limitation des émissions par évaporation.</w:t>
      </w:r>
    </w:p>
    <w:p w14:paraId="625F885D" w14:textId="77777777" w:rsidR="00FC359D" w:rsidRPr="004156C2" w:rsidRDefault="00FC359D" w:rsidP="00FC359D">
      <w:pPr>
        <w:pStyle w:val="SingleTxtG"/>
        <w:ind w:left="2268" w:hanging="1134"/>
        <w:rPr>
          <w:lang w:val="fr-FR"/>
        </w:rPr>
      </w:pPr>
      <w:r w:rsidRPr="004156C2">
        <w:rPr>
          <w:lang w:val="fr-FR"/>
        </w:rPr>
        <w:t>5.1.2</w:t>
      </w:r>
      <w:r w:rsidRPr="004156C2">
        <w:rPr>
          <w:lang w:val="fr-FR"/>
        </w:rPr>
        <w:tab/>
        <w:t xml:space="preserve">Pour les véhicules dotés d’un système de réservoir totalement étanche, cette prescription suppose l’existence d’un mécanisme qui permette, juste avant le ravitaillement, d’évacuer les vapeurs sous pression contenues dans le réservoir exclusivement </w:t>
      </w:r>
      <w:r>
        <w:rPr>
          <w:lang w:val="fr-FR"/>
        </w:rPr>
        <w:t xml:space="preserve">à travers un </w:t>
      </w:r>
      <w:proofErr w:type="spellStart"/>
      <w:r>
        <w:rPr>
          <w:lang w:val="fr-FR"/>
        </w:rPr>
        <w:t>canister</w:t>
      </w:r>
      <w:proofErr w:type="spellEnd"/>
      <w:r w:rsidRPr="004156C2">
        <w:rPr>
          <w:lang w:val="fr-FR"/>
        </w:rPr>
        <w:t xml:space="preserve"> qui a pour seule fonction de retenir les vapeurs de carburant. Ce mode d’évacuation est aussi le seul qui soit autorisé lorsque la pression dans le réservoir dépasse la valeur normale de fonctionnement.</w:t>
      </w:r>
    </w:p>
    <w:p w14:paraId="05FF4556" w14:textId="77777777" w:rsidR="00FC359D" w:rsidRPr="004156C2" w:rsidRDefault="00FC359D" w:rsidP="00FC359D">
      <w:pPr>
        <w:pStyle w:val="SingleTxtG"/>
        <w:ind w:left="2268" w:hanging="1134"/>
        <w:rPr>
          <w:lang w:val="fr-FR"/>
        </w:rPr>
      </w:pPr>
      <w:r w:rsidRPr="004156C2">
        <w:rPr>
          <w:lang w:val="fr-FR"/>
        </w:rPr>
        <w:t>5.2</w:t>
      </w:r>
      <w:r w:rsidRPr="004156C2">
        <w:rPr>
          <w:lang w:val="fr-FR"/>
        </w:rPr>
        <w:tab/>
        <w:t>Le véhicule d’essai doit être choisi conformément aux dispositions du paragraphe 5.5.2 du présent RTM</w:t>
      </w:r>
      <w:r>
        <w:rPr>
          <w:lang w:val="fr-FR"/>
        </w:rPr>
        <w:t xml:space="preserve"> ONU</w:t>
      </w:r>
      <w:r w:rsidRPr="004156C2">
        <w:rPr>
          <w:lang w:val="fr-FR"/>
        </w:rPr>
        <w:t>.</w:t>
      </w:r>
    </w:p>
    <w:p w14:paraId="2D1396C9" w14:textId="77777777" w:rsidR="00FC359D" w:rsidRPr="004156C2" w:rsidRDefault="00FC359D" w:rsidP="00FC359D">
      <w:pPr>
        <w:pStyle w:val="SingleTxtG"/>
        <w:ind w:left="2268" w:hanging="1134"/>
        <w:rPr>
          <w:lang w:val="fr-FR"/>
        </w:rPr>
      </w:pPr>
      <w:r w:rsidRPr="004156C2">
        <w:rPr>
          <w:lang w:val="fr-FR"/>
        </w:rPr>
        <w:t>5.3</w:t>
      </w:r>
      <w:r w:rsidRPr="004156C2">
        <w:rPr>
          <w:lang w:val="fr-FR"/>
        </w:rPr>
        <w:tab/>
        <w:t>Conditions d’essai du véhicule</w:t>
      </w:r>
    </w:p>
    <w:p w14:paraId="638C6CBE" w14:textId="77777777" w:rsidR="00FC359D" w:rsidRPr="004156C2" w:rsidRDefault="00FC359D" w:rsidP="00FC359D">
      <w:pPr>
        <w:pStyle w:val="SingleTxtG"/>
        <w:ind w:left="2268" w:hanging="1134"/>
        <w:rPr>
          <w:lang w:val="fr-FR"/>
        </w:rPr>
      </w:pPr>
      <w:r w:rsidRPr="004156C2">
        <w:rPr>
          <w:lang w:val="fr-FR"/>
        </w:rPr>
        <w:t>5.3.1</w:t>
      </w:r>
      <w:r w:rsidRPr="004156C2">
        <w:rPr>
          <w:lang w:val="fr-FR"/>
        </w:rPr>
        <w:tab/>
        <w:t xml:space="preserve">Les types et quantités de lubrifiant et de liquide de refroidissement pour les essais de mesure des émissions doivent être ceux </w:t>
      </w:r>
      <w:r>
        <w:rPr>
          <w:lang w:val="fr-FR"/>
        </w:rPr>
        <w:t xml:space="preserve">prescrits </w:t>
      </w:r>
      <w:r w:rsidRPr="004156C2">
        <w:rPr>
          <w:lang w:val="fr-FR"/>
        </w:rPr>
        <w:t>pour le fonctionnement normal du véhicule par le constructeur.</w:t>
      </w:r>
    </w:p>
    <w:p w14:paraId="1D34990E" w14:textId="77777777" w:rsidR="00FC359D" w:rsidRPr="004156C2" w:rsidRDefault="00FC359D" w:rsidP="00FC359D">
      <w:pPr>
        <w:pStyle w:val="SingleTxtG"/>
        <w:ind w:left="2268" w:hanging="1134"/>
        <w:rPr>
          <w:lang w:val="fr-FR"/>
        </w:rPr>
      </w:pPr>
      <w:r w:rsidRPr="004156C2">
        <w:rPr>
          <w:lang w:val="fr-FR"/>
        </w:rPr>
        <w:t>5.3.2</w:t>
      </w:r>
      <w:r w:rsidRPr="004156C2">
        <w:rPr>
          <w:lang w:val="fr-FR"/>
        </w:rPr>
        <w:tab/>
        <w:t>Le type de carburant pour les essais de mesure des émissions doit correspondre aux spécifications de l’annexe 2 du présent RTM</w:t>
      </w:r>
      <w:r>
        <w:rPr>
          <w:lang w:val="fr-FR"/>
        </w:rPr>
        <w:t xml:space="preserve"> ONU</w:t>
      </w:r>
      <w:r w:rsidRPr="004156C2">
        <w:rPr>
          <w:lang w:val="fr-FR"/>
        </w:rPr>
        <w:t>.</w:t>
      </w:r>
    </w:p>
    <w:p w14:paraId="05E0745F" w14:textId="77777777" w:rsidR="00FC359D" w:rsidRPr="004156C2" w:rsidRDefault="00FC359D" w:rsidP="00FC359D">
      <w:pPr>
        <w:pStyle w:val="SingleTxtG"/>
        <w:ind w:left="2268" w:hanging="1134"/>
        <w:rPr>
          <w:lang w:val="fr-FR"/>
        </w:rPr>
      </w:pPr>
      <w:r w:rsidRPr="004156C2">
        <w:rPr>
          <w:lang w:val="fr-FR"/>
        </w:rPr>
        <w:t>5.3.3</w:t>
      </w:r>
      <w:r w:rsidRPr="004156C2">
        <w:rPr>
          <w:lang w:val="fr-FR"/>
        </w:rPr>
        <w:tab/>
        <w:t>Tous les systèmes de limitation des émissions par évaporation doivent être en état de marche.</w:t>
      </w:r>
    </w:p>
    <w:p w14:paraId="0EDD2287" w14:textId="77777777" w:rsidR="00FC359D" w:rsidRPr="004156C2" w:rsidRDefault="00FC359D" w:rsidP="00FC359D">
      <w:pPr>
        <w:pStyle w:val="SingleTxtG"/>
        <w:ind w:left="2268" w:hanging="1134"/>
        <w:rPr>
          <w:lang w:val="fr-FR"/>
        </w:rPr>
      </w:pPr>
      <w:r w:rsidRPr="004156C2">
        <w:rPr>
          <w:lang w:val="fr-FR"/>
        </w:rPr>
        <w:t>5.3.4</w:t>
      </w:r>
      <w:r w:rsidRPr="004156C2">
        <w:rPr>
          <w:lang w:val="fr-FR"/>
        </w:rPr>
        <w:tab/>
        <w:t>L’utilisation de tout système d’invalidation est interdite.</w:t>
      </w:r>
    </w:p>
    <w:p w14:paraId="5482497E" w14:textId="77777777" w:rsidR="00FC359D" w:rsidRPr="004156C2" w:rsidRDefault="00FC359D" w:rsidP="00FC359D">
      <w:pPr>
        <w:pStyle w:val="SingleTxtG"/>
        <w:ind w:left="2268" w:hanging="1134"/>
        <w:rPr>
          <w:lang w:val="fr-FR"/>
        </w:rPr>
      </w:pPr>
      <w:r w:rsidRPr="004156C2">
        <w:rPr>
          <w:lang w:val="fr-FR"/>
        </w:rPr>
        <w:t>5.4</w:t>
      </w:r>
      <w:r w:rsidRPr="004156C2">
        <w:rPr>
          <w:lang w:val="fr-FR"/>
        </w:rPr>
        <w:tab/>
      </w:r>
      <w:r w:rsidRPr="004156C2">
        <w:rPr>
          <w:lang w:val="fr-FR"/>
        </w:rPr>
        <w:tab/>
        <w:t>Dispositions relatives à la sûreté des systèmes électroniques</w:t>
      </w:r>
    </w:p>
    <w:p w14:paraId="254A464F" w14:textId="77777777" w:rsidR="00FC359D" w:rsidRPr="004156C2" w:rsidRDefault="00FC359D" w:rsidP="00FC359D">
      <w:pPr>
        <w:pStyle w:val="SingleTxtG"/>
        <w:ind w:left="2268" w:hanging="1134"/>
        <w:rPr>
          <w:lang w:val="fr-FR"/>
        </w:rPr>
      </w:pPr>
      <w:r w:rsidRPr="004156C2">
        <w:rPr>
          <w:lang w:val="fr-FR"/>
        </w:rPr>
        <w:t>5.4.1</w:t>
      </w:r>
      <w:r w:rsidRPr="004156C2">
        <w:rPr>
          <w:lang w:val="fr-FR"/>
        </w:rPr>
        <w:tab/>
      </w:r>
      <w:r w:rsidRPr="004156C2">
        <w:rPr>
          <w:spacing w:val="-2"/>
          <w:lang w:val="fr-FR"/>
        </w:rPr>
        <w:t xml:space="preserve">Tout véhicule équipé d’un calculateur de gestion des émissions par évaporation, y compris lorsque celui-ci est intégré dans un calculateur de gestion de systèmes </w:t>
      </w:r>
      <w:r w:rsidRPr="004156C2">
        <w:rPr>
          <w:spacing w:val="-2"/>
          <w:lang w:val="fr-FR"/>
        </w:rPr>
        <w:lastRenderedPageBreak/>
        <w:t>antipollution, doit comporter des fonctions propres à empêcher toute modification, sauf dans les conditions autorisées par le constructeur. Le constructeur ne doit autoriser de telles modifications que lorsque ces dernières sont nécessaires pour le diagnostic, l’entretien, l’inspection, la mise en conformité ou la réparation du véhicule. Tous les codes ou paramètres d’exploitation reprogrammables doivent être protégés contre les intrusions et offrir un niveau de protection au moins égal à celui qui est prévu au titre des dispositions de la norme ISO 15031-7 (15 mars 2001). Toutes les puces mémoire d’étalonnage amovibles doivent être enrobées par surmoulage, encastrées dans un boîtier scellé ou protégées par des algorithmes spéciaux, et ne doivent pas pouvoir être remplacées sans outils et procédures spéciaux.</w:t>
      </w:r>
    </w:p>
    <w:p w14:paraId="2D780EE1" w14:textId="77777777" w:rsidR="00FC359D" w:rsidRPr="004156C2" w:rsidRDefault="00FC359D" w:rsidP="00FC359D">
      <w:pPr>
        <w:pStyle w:val="SingleTxtG"/>
        <w:ind w:left="2268" w:hanging="1134"/>
        <w:rPr>
          <w:lang w:val="fr-FR"/>
        </w:rPr>
      </w:pPr>
      <w:r w:rsidRPr="004156C2">
        <w:rPr>
          <w:lang w:val="fr-FR"/>
        </w:rPr>
        <w:t>5.4.2</w:t>
      </w:r>
      <w:r w:rsidRPr="004156C2">
        <w:rPr>
          <w:lang w:val="fr-FR"/>
        </w:rPr>
        <w:tab/>
        <w:t>Les paramètres de fonctionnement du moteur codés informatiquement ne doivent pas pouvoir être modifiés sans outils et procédures spéciaux ; par exemple, les composants du calculateur doive</w:t>
      </w:r>
      <w:r>
        <w:rPr>
          <w:lang w:val="fr-FR"/>
        </w:rPr>
        <w:t xml:space="preserve">nt être soudés ou surmoulés, ou </w:t>
      </w:r>
      <w:r w:rsidRPr="004156C2">
        <w:rPr>
          <w:lang w:val="fr-FR"/>
        </w:rPr>
        <w:t>protégés par un boîtier scellé (ou soudé).</w:t>
      </w:r>
    </w:p>
    <w:p w14:paraId="71DFA0D5" w14:textId="77777777" w:rsidR="00FC359D" w:rsidRPr="004156C2" w:rsidRDefault="00FC359D" w:rsidP="00FC359D">
      <w:pPr>
        <w:pStyle w:val="SingleTxtG"/>
        <w:ind w:left="2268" w:hanging="1134"/>
        <w:rPr>
          <w:lang w:val="fr-FR"/>
        </w:rPr>
      </w:pPr>
      <w:r w:rsidRPr="004156C2">
        <w:rPr>
          <w:lang w:val="fr-FR"/>
        </w:rPr>
        <w:t>5.4.3</w:t>
      </w:r>
      <w:r w:rsidRPr="004156C2">
        <w:rPr>
          <w:lang w:val="fr-FR"/>
        </w:rPr>
        <w:tab/>
        <w:t>Les constructeurs peuvent demander à l’autorité d’homologation d’être exemptés de l’une de ces obligations pour les véhicules sur lesquels une telle protection ne semble pas nécessaire. Les critères que l’autorité évaluera pour prendre une décision en vue d’une telle exemption doivent notamment comprendre, sans toutefois s’y limiter, la disponibilité de microprocesseurs augmentant les performances, le potentiel de hautes performances du véhicule et son volume de vente prévu.</w:t>
      </w:r>
    </w:p>
    <w:p w14:paraId="2B29F614" w14:textId="77777777" w:rsidR="00FC359D" w:rsidRPr="004156C2" w:rsidRDefault="00FC359D" w:rsidP="00FC359D">
      <w:pPr>
        <w:pStyle w:val="SingleTxtG"/>
        <w:ind w:left="2268" w:hanging="1134"/>
        <w:rPr>
          <w:lang w:val="fr-FR"/>
        </w:rPr>
      </w:pPr>
      <w:r w:rsidRPr="004156C2">
        <w:rPr>
          <w:lang w:val="fr-FR"/>
        </w:rPr>
        <w:t>5.4.4</w:t>
      </w:r>
      <w:r w:rsidRPr="004156C2">
        <w:rPr>
          <w:lang w:val="fr-FR"/>
        </w:rPr>
        <w:tab/>
        <w:t>Les constructeurs utilisant des systèmes à calculateurs programmables doivent rendre impossible une reprogrammation illicite. Ils doivent mettre en œuvre des stratégies renforcées de prévention des manipulations non autorisées et des fonctions de protection en écriture rendant obligatoire l’accès électronique à un ordinateur hors site géré par le constructeur. Les méthodes offrant un niveau de protection adéquat contre les manipulations doivent être autorisées par les autorités d’homologation.</w:t>
      </w:r>
    </w:p>
    <w:p w14:paraId="03D229EC" w14:textId="77777777" w:rsidR="00FC359D" w:rsidRPr="004156C2" w:rsidRDefault="00FC359D" w:rsidP="00FC359D">
      <w:pPr>
        <w:pStyle w:val="SingleTxtG"/>
        <w:ind w:left="2268" w:hanging="1134"/>
        <w:rPr>
          <w:lang w:val="fr-FR"/>
        </w:rPr>
      </w:pPr>
      <w:r w:rsidRPr="004156C2">
        <w:rPr>
          <w:lang w:val="fr-FR"/>
        </w:rPr>
        <w:t>5.5</w:t>
      </w:r>
      <w:r w:rsidRPr="004156C2">
        <w:rPr>
          <w:lang w:val="fr-FR"/>
        </w:rPr>
        <w:tab/>
        <w:t>Famille de véhicules du point de vue des émissions par évaporation</w:t>
      </w:r>
    </w:p>
    <w:p w14:paraId="309EEF3E" w14:textId="77777777" w:rsidR="00FC359D" w:rsidRPr="004156C2" w:rsidRDefault="00FC359D" w:rsidP="00FC359D">
      <w:pPr>
        <w:pStyle w:val="SingleTxtG"/>
        <w:ind w:left="2268" w:hanging="1134"/>
        <w:rPr>
          <w:lang w:val="fr-FR"/>
        </w:rPr>
      </w:pPr>
      <w:r w:rsidRPr="004156C2">
        <w:rPr>
          <w:lang w:val="fr-FR"/>
        </w:rPr>
        <w:t>5.5.1</w:t>
      </w:r>
      <w:r w:rsidRPr="004156C2">
        <w:rPr>
          <w:lang w:val="fr-FR"/>
        </w:rPr>
        <w:tab/>
        <w:t>Seuls les véhicules identiques au regard des caractéristiques a)</w:t>
      </w:r>
      <w:r>
        <w:rPr>
          <w:lang w:val="fr-FR"/>
        </w:rPr>
        <w:t xml:space="preserve">, </w:t>
      </w:r>
      <w:r w:rsidRPr="004156C2">
        <w:rPr>
          <w:lang w:val="fr-FR"/>
        </w:rPr>
        <w:t>d)</w:t>
      </w:r>
      <w:r>
        <w:rPr>
          <w:lang w:val="fr-FR"/>
        </w:rPr>
        <w:t xml:space="preserve"> et e) ci</w:t>
      </w:r>
      <w:r>
        <w:rPr>
          <w:lang w:val="fr-FR"/>
        </w:rPr>
        <w:noBreakHyphen/>
      </w:r>
      <w:r w:rsidRPr="004156C2">
        <w:rPr>
          <w:lang w:val="fr-FR"/>
        </w:rPr>
        <w:t>après</w:t>
      </w:r>
      <w:r>
        <w:rPr>
          <w:lang w:val="fr-FR"/>
        </w:rPr>
        <w:t>, techniquement équivalentes aux caractéristiques b) et c)</w:t>
      </w:r>
      <w:r w:rsidRPr="004156C2">
        <w:rPr>
          <w:lang w:val="fr-FR"/>
        </w:rPr>
        <w:t xml:space="preserve"> </w:t>
      </w:r>
      <w:r>
        <w:rPr>
          <w:lang w:val="fr-FR"/>
        </w:rPr>
        <w:t>et aux caractéristiques analogues</w:t>
      </w:r>
      <w:r w:rsidRPr="004156C2">
        <w:rPr>
          <w:lang w:val="fr-FR"/>
        </w:rPr>
        <w:t xml:space="preserve">, </w:t>
      </w:r>
      <w:r>
        <w:rPr>
          <w:lang w:val="fr-FR"/>
        </w:rPr>
        <w:t xml:space="preserve">ou, </w:t>
      </w:r>
      <w:r w:rsidRPr="004156C2">
        <w:rPr>
          <w:lang w:val="fr-FR"/>
        </w:rPr>
        <w:t xml:space="preserve">selon le cas, conformes aux tolérances </w:t>
      </w:r>
      <w:r>
        <w:rPr>
          <w:lang w:val="fr-FR"/>
        </w:rPr>
        <w:t>défini</w:t>
      </w:r>
      <w:r w:rsidRPr="004156C2">
        <w:rPr>
          <w:lang w:val="fr-FR"/>
        </w:rPr>
        <w:t xml:space="preserve">es pour les caractéristiques f) </w:t>
      </w:r>
      <w:r>
        <w:rPr>
          <w:lang w:val="fr-FR"/>
        </w:rPr>
        <w:t xml:space="preserve">et g) </w:t>
      </w:r>
      <w:r w:rsidRPr="004156C2">
        <w:rPr>
          <w:lang w:val="fr-FR"/>
        </w:rPr>
        <w:t>ci-après sont considérés comme appartenant à une même famille de véhicules du point de vue des émissions par évaporation :</w:t>
      </w:r>
    </w:p>
    <w:p w14:paraId="5C4CF351" w14:textId="77777777" w:rsidR="00FC359D" w:rsidRPr="004156C2" w:rsidRDefault="00FC359D" w:rsidP="00FC359D">
      <w:pPr>
        <w:pStyle w:val="SingleTxtG"/>
        <w:ind w:left="2835" w:hanging="567"/>
        <w:rPr>
          <w:lang w:val="fr-FR"/>
        </w:rPr>
      </w:pPr>
      <w:r w:rsidRPr="004156C2">
        <w:rPr>
          <w:lang w:val="fr-FR"/>
        </w:rPr>
        <w:t>a)</w:t>
      </w:r>
      <w:r w:rsidRPr="004156C2">
        <w:rPr>
          <w:lang w:val="fr-FR"/>
        </w:rPr>
        <w:tab/>
        <w:t>Matériau et mode de construction du système de réservoir de carburant ;</w:t>
      </w:r>
    </w:p>
    <w:p w14:paraId="0F1F4372" w14:textId="77777777" w:rsidR="00FC359D" w:rsidRPr="004156C2" w:rsidRDefault="00FC359D" w:rsidP="00FC359D">
      <w:pPr>
        <w:pStyle w:val="SingleTxtG"/>
        <w:ind w:left="2835" w:hanging="567"/>
        <w:rPr>
          <w:lang w:val="fr-FR"/>
        </w:rPr>
      </w:pPr>
      <w:r w:rsidRPr="004156C2">
        <w:rPr>
          <w:lang w:val="fr-FR"/>
        </w:rPr>
        <w:t>b)</w:t>
      </w:r>
      <w:r w:rsidRPr="004156C2">
        <w:rPr>
          <w:lang w:val="fr-FR"/>
        </w:rPr>
        <w:tab/>
        <w:t>Matériau des tuyaux flexibles de vapeur ;</w:t>
      </w:r>
    </w:p>
    <w:p w14:paraId="3D6B17CC" w14:textId="77777777" w:rsidR="00FC359D" w:rsidRDefault="00FC359D" w:rsidP="00FC359D">
      <w:pPr>
        <w:pStyle w:val="SingleTxtG"/>
        <w:ind w:left="2835" w:hanging="567"/>
        <w:rPr>
          <w:lang w:val="fr-FR"/>
        </w:rPr>
      </w:pPr>
      <w:r w:rsidRPr="004156C2">
        <w:rPr>
          <w:lang w:val="fr-FR"/>
        </w:rPr>
        <w:t>c)</w:t>
      </w:r>
      <w:r w:rsidRPr="004156C2">
        <w:rPr>
          <w:lang w:val="fr-FR"/>
        </w:rPr>
        <w:tab/>
      </w:r>
      <w:r>
        <w:rPr>
          <w:lang w:val="fr-FR"/>
        </w:rPr>
        <w:t xml:space="preserve">Matériau des tuyaux de carburant et </w:t>
      </w:r>
      <w:r w:rsidRPr="004156C2">
        <w:rPr>
          <w:lang w:val="fr-FR"/>
        </w:rPr>
        <w:t>méthode de raccordement</w:t>
      </w:r>
      <w:r>
        <w:rPr>
          <w:lang w:val="fr-FR"/>
        </w:rPr>
        <w:t> ;</w:t>
      </w:r>
    </w:p>
    <w:p w14:paraId="507CCD77" w14:textId="77777777" w:rsidR="00FC359D" w:rsidRPr="004156C2" w:rsidRDefault="00FC359D" w:rsidP="00FC359D">
      <w:pPr>
        <w:pStyle w:val="SingleTxtG"/>
        <w:ind w:left="2835" w:hanging="567"/>
        <w:rPr>
          <w:lang w:val="fr-FR"/>
        </w:rPr>
      </w:pPr>
      <w:r>
        <w:rPr>
          <w:lang w:val="fr-FR"/>
        </w:rPr>
        <w:t>d)</w:t>
      </w:r>
      <w:r>
        <w:rPr>
          <w:lang w:val="fr-FR"/>
        </w:rPr>
        <w:tab/>
      </w:r>
      <w:r w:rsidRPr="004156C2">
        <w:rPr>
          <w:lang w:val="fr-FR"/>
        </w:rPr>
        <w:t>Système de réservoir étanche ou non étanche ;</w:t>
      </w:r>
    </w:p>
    <w:p w14:paraId="5EE33EB2" w14:textId="77777777" w:rsidR="00FC359D" w:rsidRPr="004156C2" w:rsidRDefault="00FC359D" w:rsidP="00FC359D">
      <w:pPr>
        <w:pStyle w:val="SingleTxtG"/>
        <w:ind w:left="2835" w:hanging="567"/>
        <w:rPr>
          <w:lang w:val="fr-FR"/>
        </w:rPr>
      </w:pPr>
      <w:r>
        <w:rPr>
          <w:lang w:val="fr-FR"/>
        </w:rPr>
        <w:t>e</w:t>
      </w:r>
      <w:r w:rsidRPr="004156C2">
        <w:rPr>
          <w:lang w:val="fr-FR"/>
        </w:rPr>
        <w:t>)</w:t>
      </w:r>
      <w:r w:rsidRPr="004156C2">
        <w:rPr>
          <w:lang w:val="fr-FR"/>
        </w:rPr>
        <w:tab/>
        <w:t>Réglages de la soupape de sécurité du réservoir de carburant (en dépression et en surpression) ;</w:t>
      </w:r>
    </w:p>
    <w:p w14:paraId="4EE92527" w14:textId="77777777" w:rsidR="00FC359D" w:rsidRPr="004156C2" w:rsidRDefault="00FC359D" w:rsidP="00FC359D">
      <w:pPr>
        <w:pStyle w:val="SingleTxtG"/>
        <w:ind w:left="2835" w:hanging="567"/>
        <w:rPr>
          <w:lang w:val="fr-FR"/>
        </w:rPr>
      </w:pPr>
      <w:r>
        <w:rPr>
          <w:lang w:val="fr-FR"/>
        </w:rPr>
        <w:t>f</w:t>
      </w:r>
      <w:r w:rsidRPr="004156C2">
        <w:rPr>
          <w:lang w:val="fr-FR"/>
        </w:rPr>
        <w:t>)</w:t>
      </w:r>
      <w:r w:rsidRPr="004156C2">
        <w:rPr>
          <w:lang w:val="fr-FR"/>
        </w:rPr>
        <w:tab/>
        <w:t>Capacité de traitement du butane</w:t>
      </w:r>
      <w:r w:rsidRPr="004156C2">
        <w:rPr>
          <w:i/>
          <w:lang w:val="fr-FR"/>
        </w:rPr>
        <w:t xml:space="preserve"> </w:t>
      </w:r>
      <w:r w:rsidRPr="004156C2">
        <w:rPr>
          <w:lang w:val="fr-FR"/>
        </w:rPr>
        <w:t xml:space="preserve">(BWC300) propre au </w:t>
      </w:r>
      <w:proofErr w:type="spellStart"/>
      <w:r w:rsidRPr="004156C2">
        <w:rPr>
          <w:lang w:val="fr-FR"/>
        </w:rPr>
        <w:t>canister</w:t>
      </w:r>
      <w:proofErr w:type="spellEnd"/>
      <w:r w:rsidRPr="004156C2">
        <w:rPr>
          <w:lang w:val="fr-FR"/>
        </w:rPr>
        <w:t xml:space="preserve"> dans une marge de tolérance de 10 % par rapport à la valeur la plus élevée (pour les </w:t>
      </w:r>
      <w:proofErr w:type="spellStart"/>
      <w:r w:rsidRPr="004156C2">
        <w:rPr>
          <w:lang w:val="fr-FR"/>
        </w:rPr>
        <w:t>canisters</w:t>
      </w:r>
      <w:proofErr w:type="spellEnd"/>
      <w:r w:rsidRPr="004156C2">
        <w:rPr>
          <w:lang w:val="fr-FR"/>
        </w:rPr>
        <w:t xml:space="preserve"> utilisant le même type de charbon actif, le volume de charbon actif doit être égal, avec une marge de tolérance de 10 %, à celui pour lequel la capacité BWC300 a été déterminée) ;</w:t>
      </w:r>
    </w:p>
    <w:p w14:paraId="614337FC" w14:textId="77777777" w:rsidR="00FC359D" w:rsidRDefault="00FC359D" w:rsidP="00FC359D">
      <w:pPr>
        <w:pStyle w:val="SingleTxtG"/>
        <w:ind w:left="2835" w:hanging="567"/>
        <w:rPr>
          <w:lang w:val="fr-FR"/>
        </w:rPr>
      </w:pPr>
      <w:r>
        <w:rPr>
          <w:lang w:val="fr-FR"/>
        </w:rPr>
        <w:t>g)</w:t>
      </w:r>
      <w:r>
        <w:rPr>
          <w:lang w:val="fr-FR"/>
        </w:rPr>
        <w:tab/>
      </w:r>
      <w:r w:rsidRPr="004156C2">
        <w:rPr>
          <w:lang w:val="fr-FR"/>
        </w:rPr>
        <w:t>Système de purge (type de vanne et programme de purge, par exemple).</w:t>
      </w:r>
    </w:p>
    <w:p w14:paraId="6AC7B12F" w14:textId="77777777" w:rsidR="00FC359D" w:rsidRPr="004156C2" w:rsidRDefault="00FC359D" w:rsidP="00FC359D">
      <w:pPr>
        <w:pStyle w:val="SingleTxtG"/>
        <w:ind w:left="2268"/>
        <w:rPr>
          <w:lang w:val="fr-FR"/>
        </w:rPr>
      </w:pPr>
      <w:r>
        <w:rPr>
          <w:lang w:val="fr-FR"/>
        </w:rPr>
        <w:t>Le constructeur doit démontrer à l’autorité responsable que les caractéristiques b) et c) ci-dessus sont techniquement équivalentes.</w:t>
      </w:r>
    </w:p>
    <w:p w14:paraId="09E554D5" w14:textId="77777777" w:rsidR="00FC359D" w:rsidRPr="004156C2" w:rsidRDefault="00FC359D" w:rsidP="00FC359D">
      <w:pPr>
        <w:pStyle w:val="SingleTxtG"/>
        <w:ind w:left="2268" w:hanging="1134"/>
        <w:rPr>
          <w:lang w:val="fr-FR"/>
        </w:rPr>
      </w:pPr>
      <w:r w:rsidRPr="004156C2">
        <w:rPr>
          <w:lang w:val="fr-FR"/>
        </w:rPr>
        <w:t>5.5.2</w:t>
      </w:r>
      <w:r w:rsidRPr="004156C2">
        <w:rPr>
          <w:lang w:val="fr-FR"/>
        </w:rPr>
        <w:tab/>
        <w:t xml:space="preserve">Le véhicule considéré comme produisant les résultats d’émissions par évaporation les plus défavorables, qui doit être utilisé pour les essais, est celui pour lequel le rapport entre la capacité du réservoir de carburant et la capacité </w:t>
      </w:r>
      <w:r w:rsidRPr="004156C2">
        <w:rPr>
          <w:lang w:val="fr-FR"/>
        </w:rPr>
        <w:lastRenderedPageBreak/>
        <w:t xml:space="preserve">pour le butane du </w:t>
      </w:r>
      <w:proofErr w:type="spellStart"/>
      <w:r w:rsidRPr="004156C2">
        <w:rPr>
          <w:lang w:val="fr-FR"/>
        </w:rPr>
        <w:t>canister</w:t>
      </w:r>
      <w:proofErr w:type="spellEnd"/>
      <w:r w:rsidRPr="004156C2">
        <w:rPr>
          <w:lang w:val="fr-FR"/>
        </w:rPr>
        <w:t xml:space="preserve"> est le plus élevé, dans la famille de véhicules considérée. Le choix du véhicule doit être arrêté à l’avance en concertation avec l’autorité compétente.</w:t>
      </w:r>
    </w:p>
    <w:p w14:paraId="3DF4337D" w14:textId="77777777" w:rsidR="00FC359D" w:rsidRPr="004156C2" w:rsidRDefault="00FC359D" w:rsidP="00FC359D">
      <w:pPr>
        <w:pStyle w:val="SingleTxtG"/>
        <w:ind w:left="2268" w:hanging="1134"/>
        <w:rPr>
          <w:lang w:val="fr-FR"/>
        </w:rPr>
      </w:pPr>
      <w:r w:rsidRPr="004156C2">
        <w:rPr>
          <w:lang w:val="fr-FR"/>
        </w:rPr>
        <w:t>5.5.3</w:t>
      </w:r>
      <w:r w:rsidRPr="004156C2">
        <w:rPr>
          <w:lang w:val="fr-FR"/>
        </w:rPr>
        <w:tab/>
        <w:t>Toute utilisation d’un nouveau réglage d’étalonnage, d’une nouvelle configuration ou d’un nouveau matériel informatique dans le cadre du système de limitation des émissions par évaporation place le modèle de véhicule dans une famille différente.</w:t>
      </w:r>
    </w:p>
    <w:p w14:paraId="5C682085" w14:textId="77777777" w:rsidR="00FC359D" w:rsidRPr="004156C2" w:rsidRDefault="00FC359D" w:rsidP="00FC359D">
      <w:pPr>
        <w:pStyle w:val="SingleTxtG"/>
        <w:ind w:left="2268" w:hanging="1134"/>
        <w:rPr>
          <w:lang w:val="fr-FR"/>
        </w:rPr>
      </w:pPr>
      <w:r w:rsidRPr="004156C2">
        <w:rPr>
          <w:lang w:val="fr-FR"/>
        </w:rPr>
        <w:t>5.6</w:t>
      </w:r>
      <w:r w:rsidRPr="004156C2">
        <w:rPr>
          <w:lang w:val="fr-FR"/>
        </w:rPr>
        <w:tab/>
        <w:t xml:space="preserve">L’autorité compétente ne doit pas délivrer d’homologation </w:t>
      </w:r>
      <w:r w:rsidRPr="004156C2">
        <w:rPr>
          <w:lang w:val="fr-FR" w:eastAsia="ja-JP"/>
        </w:rPr>
        <w:t xml:space="preserve">si </w:t>
      </w:r>
      <w:r w:rsidRPr="004156C2">
        <w:rPr>
          <w:lang w:val="fr-FR"/>
        </w:rPr>
        <w:t>les</w:t>
      </w:r>
      <w:r w:rsidRPr="004156C2">
        <w:rPr>
          <w:lang w:val="fr-FR" w:eastAsia="ja-JP"/>
        </w:rPr>
        <w:t xml:space="preserve"> renseignements fournis ne suffisent pas à démontrer que les émissions par évaporation sont effectivement limitées pendant une utilisation normale du véhicule.</w:t>
      </w:r>
    </w:p>
    <w:p w14:paraId="21B46D8D" w14:textId="77777777" w:rsidR="00FC359D" w:rsidRPr="004156C2" w:rsidRDefault="00FC359D" w:rsidP="00FC359D">
      <w:pPr>
        <w:pStyle w:val="HChG"/>
        <w:rPr>
          <w:lang w:val="fr-FR"/>
        </w:rPr>
      </w:pPr>
      <w:r>
        <w:rPr>
          <w:lang w:val="fr-FR"/>
        </w:rPr>
        <w:tab/>
      </w:r>
      <w:r>
        <w:rPr>
          <w:lang w:val="fr-FR"/>
        </w:rPr>
        <w:tab/>
      </w:r>
      <w:r w:rsidRPr="004156C2">
        <w:rPr>
          <w:lang w:val="fr-FR"/>
        </w:rPr>
        <w:t>6.</w:t>
      </w:r>
      <w:r>
        <w:rPr>
          <w:lang w:val="fr-FR"/>
        </w:rPr>
        <w:tab/>
      </w:r>
      <w:r w:rsidRPr="004156C2">
        <w:rPr>
          <w:lang w:val="fr-FR"/>
        </w:rPr>
        <w:tab/>
        <w:t>Prescriptions concernant les résultats des essais</w:t>
      </w:r>
    </w:p>
    <w:p w14:paraId="21DB8EE5" w14:textId="77777777" w:rsidR="00FC359D" w:rsidRPr="004156C2" w:rsidRDefault="00FC359D" w:rsidP="00FC359D">
      <w:pPr>
        <w:pStyle w:val="SingleTxtG"/>
        <w:ind w:left="2268" w:hanging="1134"/>
        <w:rPr>
          <w:lang w:val="fr-FR"/>
        </w:rPr>
      </w:pPr>
      <w:r w:rsidRPr="004156C2">
        <w:rPr>
          <w:lang w:val="fr-FR"/>
        </w:rPr>
        <w:t>6.1</w:t>
      </w:r>
      <w:r w:rsidRPr="004156C2">
        <w:rPr>
          <w:lang w:val="fr-FR"/>
        </w:rPr>
        <w:tab/>
        <w:t>Valeurs limites</w:t>
      </w:r>
    </w:p>
    <w:p w14:paraId="7F05A468" w14:textId="77777777" w:rsidR="00FC359D" w:rsidRPr="004156C2" w:rsidRDefault="00FC359D" w:rsidP="00FC359D">
      <w:pPr>
        <w:pStyle w:val="SingleTxtG"/>
        <w:ind w:left="2268"/>
        <w:rPr>
          <w:lang w:val="fr-FR"/>
        </w:rPr>
      </w:pPr>
      <w:r w:rsidRPr="004156C2">
        <w:rPr>
          <w:lang w:val="fr-FR"/>
        </w:rPr>
        <w:t>Les valeurs limites suivantes doivent être appliquées :</w:t>
      </w:r>
    </w:p>
    <w:p w14:paraId="168112FC" w14:textId="77777777" w:rsidR="00FC359D" w:rsidRPr="004156C2" w:rsidRDefault="00FC359D" w:rsidP="00604FEB">
      <w:pPr>
        <w:pStyle w:val="SingleTxtG"/>
        <w:ind w:left="2835" w:hanging="567"/>
        <w:rPr>
          <w:lang w:val="fr-FR"/>
        </w:rPr>
      </w:pPr>
      <w:r w:rsidRPr="004156C2">
        <w:rPr>
          <w:lang w:val="fr-FR"/>
        </w:rPr>
        <w:t>a)</w:t>
      </w:r>
      <w:r w:rsidRPr="004156C2">
        <w:rPr>
          <w:lang w:val="fr-FR"/>
        </w:rPr>
        <w:tab/>
        <w:t xml:space="preserve">Pour les Parties contractantes qui adoptent le mode de calcul </w:t>
      </w:r>
      <w:r>
        <w:rPr>
          <w:lang w:val="fr-FR"/>
        </w:rPr>
        <w:t xml:space="preserve">indiqué </w:t>
      </w:r>
      <w:r w:rsidRPr="004156C2">
        <w:rPr>
          <w:lang w:val="fr-FR"/>
        </w:rPr>
        <w:t>au paragraphe 7.2 de l’annexe 1, la valeur limite est de 2,0 g/essai ;</w:t>
      </w:r>
    </w:p>
    <w:p w14:paraId="70C201EB" w14:textId="77777777" w:rsidR="00FC359D" w:rsidRDefault="00FC359D" w:rsidP="00604FEB">
      <w:pPr>
        <w:pStyle w:val="SingleTxtG"/>
        <w:ind w:left="2835" w:hanging="567"/>
        <w:rPr>
          <w:lang w:val="fr-FR"/>
        </w:rPr>
      </w:pPr>
      <w:r w:rsidRPr="004156C2">
        <w:rPr>
          <w:lang w:val="fr-FR"/>
        </w:rPr>
        <w:t>b)</w:t>
      </w:r>
      <w:r w:rsidRPr="004156C2">
        <w:rPr>
          <w:lang w:val="fr-FR"/>
        </w:rPr>
        <w:tab/>
        <w:t>Pour les Parties contractantes qui adoptent l’autre mode de calcul</w:t>
      </w:r>
      <w:r w:rsidRPr="004156C2">
        <w:rPr>
          <w:rFonts w:eastAsia="Times New Roman"/>
          <w:lang w:val="fr-FR"/>
        </w:rPr>
        <w:t>,</w:t>
      </w:r>
      <w:r w:rsidRPr="004156C2">
        <w:rPr>
          <w:lang w:val="fr-FR"/>
        </w:rPr>
        <w:t xml:space="preserve"> </w:t>
      </w:r>
      <w:r>
        <w:rPr>
          <w:lang w:val="fr-FR"/>
        </w:rPr>
        <w:t xml:space="preserve">indiqué </w:t>
      </w:r>
      <w:r w:rsidRPr="004156C2">
        <w:rPr>
          <w:lang w:val="fr-FR"/>
        </w:rPr>
        <w:t>au paragraphe 7.3 de l’annexe 1, la valeur limite est déterminée par la Partie contractante.</w:t>
      </w:r>
    </w:p>
    <w:p w14:paraId="5DD0934C" w14:textId="77777777" w:rsidR="00FC359D" w:rsidRPr="004156C2" w:rsidRDefault="00FC359D" w:rsidP="00FC359D">
      <w:pPr>
        <w:pStyle w:val="HChG"/>
        <w:rPr>
          <w:lang w:val="fr-FR"/>
        </w:rPr>
      </w:pPr>
      <w:r>
        <w:br w:type="page"/>
      </w:r>
      <w:r w:rsidRPr="004156C2">
        <w:rPr>
          <w:lang w:val="fr-FR"/>
        </w:rPr>
        <w:lastRenderedPageBreak/>
        <w:t>Annexe 1</w:t>
      </w:r>
    </w:p>
    <w:p w14:paraId="25AFBF6D" w14:textId="77777777" w:rsidR="00FC359D" w:rsidRPr="004156C2" w:rsidRDefault="00FC359D" w:rsidP="00FC359D">
      <w:pPr>
        <w:pStyle w:val="HChG"/>
        <w:rPr>
          <w:lang w:val="fr-FR"/>
        </w:rPr>
      </w:pPr>
      <w:r w:rsidRPr="004156C2">
        <w:rPr>
          <w:lang w:val="fr-FR"/>
        </w:rPr>
        <w:tab/>
      </w:r>
      <w:r w:rsidRPr="004156C2">
        <w:rPr>
          <w:lang w:val="fr-FR"/>
        </w:rPr>
        <w:tab/>
        <w:t>Procédure d’essai du type 4 et conditions d’essai</w:t>
      </w:r>
    </w:p>
    <w:p w14:paraId="624F72E4" w14:textId="77777777" w:rsidR="00FC359D" w:rsidRPr="004156C2" w:rsidRDefault="00FC359D" w:rsidP="00FC359D">
      <w:pPr>
        <w:pStyle w:val="SingleTxtG"/>
        <w:ind w:left="2268" w:hanging="1134"/>
        <w:rPr>
          <w:lang w:val="fr-FR"/>
        </w:rPr>
      </w:pPr>
      <w:r w:rsidRPr="004156C2">
        <w:rPr>
          <w:lang w:val="fr-FR"/>
        </w:rPr>
        <w:t>1.</w:t>
      </w:r>
      <w:r w:rsidRPr="004156C2">
        <w:rPr>
          <w:lang w:val="fr-FR"/>
        </w:rPr>
        <w:tab/>
      </w:r>
      <w:r w:rsidRPr="004156C2">
        <w:t>Introduction</w:t>
      </w:r>
    </w:p>
    <w:p w14:paraId="1CF77ACF" w14:textId="77777777" w:rsidR="00FC359D" w:rsidRPr="004156C2" w:rsidRDefault="00FC359D" w:rsidP="00FC359D">
      <w:pPr>
        <w:pStyle w:val="SingleTxtG"/>
        <w:ind w:left="2268"/>
        <w:rPr>
          <w:rFonts w:eastAsia="MS Mincho"/>
          <w:lang w:val="fr-FR"/>
        </w:rPr>
      </w:pPr>
      <w:r w:rsidRPr="004156C2">
        <w:rPr>
          <w:rFonts w:eastAsia="MS Mincho"/>
          <w:lang w:val="fr-FR"/>
        </w:rPr>
        <w:tab/>
        <w:t>La présente annexe décrit la procédure d’essai du type 4, qui sert à déterminer les émissions par évaporation des véhicules.</w:t>
      </w:r>
    </w:p>
    <w:p w14:paraId="5D2F12D7" w14:textId="77777777" w:rsidR="00FC359D" w:rsidRPr="004156C2" w:rsidRDefault="00FC359D" w:rsidP="00FC359D">
      <w:pPr>
        <w:pStyle w:val="SingleTxtG"/>
        <w:ind w:left="2268" w:hanging="1134"/>
        <w:rPr>
          <w:rFonts w:eastAsia="MS Mincho"/>
          <w:lang w:val="fr-FR"/>
        </w:rPr>
      </w:pPr>
      <w:r w:rsidRPr="004156C2">
        <w:rPr>
          <w:rFonts w:eastAsia="MS Mincho"/>
          <w:lang w:val="fr-FR"/>
        </w:rPr>
        <w:t>2.</w:t>
      </w:r>
      <w:r w:rsidRPr="004156C2">
        <w:rPr>
          <w:rFonts w:eastAsia="MS Mincho"/>
          <w:lang w:val="fr-FR"/>
        </w:rPr>
        <w:tab/>
        <w:t>Prescriptions techniques</w:t>
      </w:r>
    </w:p>
    <w:p w14:paraId="71F2B26C" w14:textId="77777777" w:rsidR="00FC359D" w:rsidRPr="004156C2" w:rsidRDefault="00FC359D" w:rsidP="00FC359D">
      <w:pPr>
        <w:pStyle w:val="SingleTxtG"/>
        <w:ind w:left="2268" w:hanging="1134"/>
        <w:rPr>
          <w:rFonts w:eastAsia="MS Mincho"/>
          <w:lang w:val="fr-FR"/>
        </w:rPr>
      </w:pPr>
      <w:r w:rsidRPr="004156C2">
        <w:rPr>
          <w:rFonts w:eastAsia="MS Mincho"/>
          <w:lang w:val="fr-FR"/>
        </w:rPr>
        <w:t>2.1</w:t>
      </w:r>
      <w:r w:rsidRPr="004156C2">
        <w:rPr>
          <w:rFonts w:eastAsia="MS Mincho"/>
          <w:lang w:val="fr-FR"/>
        </w:rPr>
        <w:tab/>
        <w:t xml:space="preserve">La procédure comprend l’essai d’émissions par évaporation et deux essais supplémentaires, l’un pour le vieillissement des </w:t>
      </w:r>
      <w:proofErr w:type="spellStart"/>
      <w:r w:rsidRPr="004156C2">
        <w:rPr>
          <w:rFonts w:eastAsia="MS Mincho"/>
          <w:lang w:val="fr-FR"/>
        </w:rPr>
        <w:t>canisters</w:t>
      </w:r>
      <w:proofErr w:type="spellEnd"/>
      <w:r w:rsidRPr="004156C2">
        <w:rPr>
          <w:rFonts w:eastAsia="MS Mincho"/>
          <w:lang w:val="fr-FR"/>
        </w:rPr>
        <w:t xml:space="preserve">, comme décrit au paragraphe 5.1 de la présente annexe et l’autre pour la perméabilité du système de réservoir du carburant, comme décrit au paragraphe 5.2 de la même annexe. L’essai d’émissions par évaporation (fig. A1/4) détermine les émissions </w:t>
      </w:r>
      <w:r>
        <w:rPr>
          <w:rFonts w:eastAsia="MS Mincho"/>
          <w:lang w:val="fr-FR"/>
        </w:rPr>
        <w:t xml:space="preserve">par </w:t>
      </w:r>
      <w:r w:rsidRPr="004156C2">
        <w:rPr>
          <w:rFonts w:eastAsia="MS Mincho"/>
          <w:lang w:val="fr-FR"/>
        </w:rPr>
        <w:t xml:space="preserve">évaporation des hydrocarbures </w:t>
      </w:r>
      <w:r>
        <w:rPr>
          <w:rFonts w:eastAsia="MS Mincho"/>
          <w:lang w:val="fr-FR"/>
        </w:rPr>
        <w:t>dues aux</w:t>
      </w:r>
      <w:r w:rsidRPr="004156C2">
        <w:rPr>
          <w:rFonts w:eastAsia="MS Mincho"/>
          <w:lang w:val="fr-FR"/>
        </w:rPr>
        <w:t xml:space="preserve"> fluctuations diurnes de la température et des phases d’accumulation de chaleur pendant le stationnement.</w:t>
      </w:r>
    </w:p>
    <w:p w14:paraId="06B3BDCB" w14:textId="77777777" w:rsidR="00FC359D" w:rsidRPr="004156C2" w:rsidRDefault="00FC359D" w:rsidP="00FC359D">
      <w:pPr>
        <w:pStyle w:val="SingleTxtG"/>
        <w:ind w:left="2268" w:hanging="1134"/>
        <w:rPr>
          <w:rFonts w:eastAsia="MS Mincho"/>
          <w:lang w:val="fr-FR"/>
        </w:rPr>
      </w:pPr>
      <w:r w:rsidRPr="004156C2">
        <w:rPr>
          <w:rFonts w:eastAsia="MS Mincho"/>
          <w:lang w:val="fr-FR"/>
        </w:rPr>
        <w:t>2.2</w:t>
      </w:r>
      <w:r w:rsidRPr="004156C2">
        <w:rPr>
          <w:rFonts w:eastAsia="MS Mincho"/>
          <w:lang w:val="fr-FR"/>
        </w:rPr>
        <w:tab/>
        <w:t xml:space="preserve">Dans le cas où le système d’alimentation en carburant comprend plus d’un </w:t>
      </w:r>
      <w:proofErr w:type="spellStart"/>
      <w:r w:rsidRPr="004156C2">
        <w:rPr>
          <w:rFonts w:eastAsia="MS Mincho"/>
          <w:lang w:val="fr-FR"/>
        </w:rPr>
        <w:t>canister</w:t>
      </w:r>
      <w:proofErr w:type="spellEnd"/>
      <w:r w:rsidRPr="004156C2">
        <w:rPr>
          <w:rFonts w:eastAsia="MS Mincho"/>
          <w:lang w:val="fr-FR"/>
        </w:rPr>
        <w:t xml:space="preserve">, </w:t>
      </w:r>
      <w:r>
        <w:rPr>
          <w:rFonts w:eastAsia="MS Mincho"/>
          <w:lang w:val="fr-FR"/>
        </w:rPr>
        <w:t>chaque fois que le</w:t>
      </w:r>
      <w:r w:rsidRPr="004156C2">
        <w:rPr>
          <w:rFonts w:eastAsia="MS Mincho"/>
          <w:lang w:val="fr-FR"/>
        </w:rPr>
        <w:t xml:space="preserve"> terme « </w:t>
      </w:r>
      <w:proofErr w:type="spellStart"/>
      <w:r w:rsidRPr="004156C2">
        <w:rPr>
          <w:rFonts w:eastAsia="MS Mincho"/>
          <w:lang w:val="fr-FR"/>
        </w:rPr>
        <w:t>canister</w:t>
      </w:r>
      <w:proofErr w:type="spellEnd"/>
      <w:r w:rsidRPr="004156C2">
        <w:rPr>
          <w:rFonts w:eastAsia="MS Mincho"/>
          <w:lang w:val="fr-FR"/>
        </w:rPr>
        <w:t> »</w:t>
      </w:r>
      <w:r>
        <w:rPr>
          <w:rFonts w:eastAsia="MS Mincho"/>
          <w:lang w:val="fr-FR"/>
        </w:rPr>
        <w:t xml:space="preserve"> apparaît</w:t>
      </w:r>
      <w:r w:rsidRPr="004156C2">
        <w:rPr>
          <w:rFonts w:eastAsia="MS Mincho"/>
          <w:lang w:val="fr-FR"/>
        </w:rPr>
        <w:t xml:space="preserve"> dans </w:t>
      </w:r>
      <w:r>
        <w:rPr>
          <w:rFonts w:eastAsia="MS Mincho"/>
          <w:lang w:val="fr-FR"/>
        </w:rPr>
        <w:t>l</w:t>
      </w:r>
      <w:r w:rsidRPr="004156C2">
        <w:rPr>
          <w:rFonts w:eastAsia="MS Mincho"/>
          <w:lang w:val="fr-FR"/>
        </w:rPr>
        <w:t>e</w:t>
      </w:r>
      <w:r>
        <w:rPr>
          <w:rFonts w:eastAsia="MS Mincho"/>
          <w:lang w:val="fr-FR"/>
        </w:rPr>
        <w:t xml:space="preserve"> présent</w:t>
      </w:r>
      <w:r w:rsidRPr="004156C2">
        <w:rPr>
          <w:rFonts w:eastAsia="MS Mincho"/>
          <w:lang w:val="fr-FR"/>
        </w:rPr>
        <w:t xml:space="preserve"> RTM</w:t>
      </w:r>
      <w:r>
        <w:rPr>
          <w:rFonts w:eastAsia="MS Mincho"/>
          <w:lang w:val="fr-FR"/>
        </w:rPr>
        <w:t xml:space="preserve"> ONU, il renvoie</w:t>
      </w:r>
      <w:r w:rsidRPr="004156C2">
        <w:rPr>
          <w:rFonts w:eastAsia="MS Mincho"/>
          <w:lang w:val="fr-FR"/>
        </w:rPr>
        <w:t xml:space="preserve"> à chacun d’entre eux.</w:t>
      </w:r>
    </w:p>
    <w:p w14:paraId="3884BF3B" w14:textId="77777777" w:rsidR="00FC359D" w:rsidRPr="004156C2" w:rsidRDefault="00FC359D" w:rsidP="00FC359D">
      <w:pPr>
        <w:pStyle w:val="SingleTxtG"/>
        <w:ind w:left="2268" w:hanging="1134"/>
        <w:rPr>
          <w:lang w:val="fr-FR"/>
        </w:rPr>
      </w:pPr>
      <w:r w:rsidRPr="004156C2">
        <w:rPr>
          <w:lang w:val="fr-FR"/>
        </w:rPr>
        <w:t>3.</w:t>
      </w:r>
      <w:r w:rsidRPr="004156C2">
        <w:rPr>
          <w:lang w:val="fr-FR"/>
        </w:rPr>
        <w:tab/>
      </w:r>
      <w:r w:rsidRPr="004156C2">
        <w:rPr>
          <w:lang w:val="fr-FR"/>
        </w:rPr>
        <w:tab/>
        <w:t>Véhicule</w:t>
      </w:r>
    </w:p>
    <w:p w14:paraId="57A913E6" w14:textId="77777777" w:rsidR="00FC359D" w:rsidRDefault="00FC359D" w:rsidP="00FC359D">
      <w:pPr>
        <w:pStyle w:val="SingleTxtG"/>
        <w:ind w:left="2268"/>
        <w:rPr>
          <w:rFonts w:eastAsia="MS Mincho"/>
          <w:lang w:val="fr-FR"/>
        </w:rPr>
      </w:pPr>
      <w:r w:rsidRPr="004156C2">
        <w:tab/>
        <w:t>Le véhicule présenté doit être en bon état mécanique</w:t>
      </w:r>
      <w:r>
        <w:t>,</w:t>
      </w:r>
      <w:r w:rsidRPr="004156C2">
        <w:t xml:space="preserve"> </w:t>
      </w:r>
      <w:r>
        <w:t>avoir été</w:t>
      </w:r>
      <w:r w:rsidRPr="004156C2">
        <w:t xml:space="preserve"> rodé et avoir parcouru au moins 3 000 km avant l’essai. Aux fins de la détermination des émissions par évaporation, le kilométrage et l’âge du véhicule utilisé pour l’homologation doivent être enregistrés. Le système de limitation des émissions par évaporation doit être raccordé et fonctionner correctement pendant la période de rodage. </w:t>
      </w:r>
      <w:r>
        <w:t>Le</w:t>
      </w:r>
      <w:r w:rsidRPr="004156C2">
        <w:t xml:space="preserve"> </w:t>
      </w:r>
      <w:proofErr w:type="spellStart"/>
      <w:r w:rsidRPr="004156C2">
        <w:t>canister</w:t>
      </w:r>
      <w:proofErr w:type="spellEnd"/>
      <w:r w:rsidRPr="004156C2">
        <w:t xml:space="preserve"> vieilli </w:t>
      </w:r>
      <w:r>
        <w:t xml:space="preserve">ne </w:t>
      </w:r>
      <w:r w:rsidRPr="004156C2">
        <w:rPr>
          <w:rFonts w:eastAsia="MS Mincho"/>
          <w:lang w:val="fr-FR"/>
        </w:rPr>
        <w:t>doit</w:t>
      </w:r>
      <w:r>
        <w:rPr>
          <w:rFonts w:eastAsia="MS Mincho"/>
          <w:lang w:val="fr-FR"/>
        </w:rPr>
        <w:t xml:space="preserve"> pas</w:t>
      </w:r>
      <w:r w:rsidRPr="004156C2">
        <w:rPr>
          <w:rFonts w:eastAsia="MS Mincho"/>
          <w:lang w:val="fr-FR"/>
        </w:rPr>
        <w:t xml:space="preserve"> être utilisé</w:t>
      </w:r>
      <w:r>
        <w:rPr>
          <w:rFonts w:eastAsia="MS Mincho"/>
          <w:lang w:val="fr-FR"/>
        </w:rPr>
        <w:t xml:space="preserve"> pendant la période de rodage</w:t>
      </w:r>
      <w:r w:rsidRPr="004156C2">
        <w:rPr>
          <w:rFonts w:eastAsia="MS Mincho"/>
          <w:lang w:val="fr-FR"/>
        </w:rPr>
        <w:t>.</w:t>
      </w:r>
    </w:p>
    <w:p w14:paraId="0C6D33C0" w14:textId="77777777" w:rsidR="00FC359D" w:rsidRPr="004156C2" w:rsidRDefault="00FC359D" w:rsidP="00FC359D">
      <w:pPr>
        <w:pStyle w:val="SingleTxtG"/>
        <w:ind w:left="2268"/>
        <w:rPr>
          <w:rFonts w:eastAsia="MS Mincho"/>
          <w:lang w:val="fr-FR"/>
        </w:rPr>
      </w:pPr>
      <w:r>
        <w:rPr>
          <w:rFonts w:eastAsia="MS Mincho"/>
          <w:lang w:val="fr-FR"/>
        </w:rPr>
        <w:t xml:space="preserve">Un </w:t>
      </w:r>
      <w:proofErr w:type="spellStart"/>
      <w:r>
        <w:rPr>
          <w:rFonts w:eastAsia="MS Mincho"/>
          <w:lang w:val="fr-FR"/>
        </w:rPr>
        <w:t>canister</w:t>
      </w:r>
      <w:proofErr w:type="spellEnd"/>
      <w:r>
        <w:rPr>
          <w:rFonts w:eastAsia="MS Mincho"/>
          <w:lang w:val="fr-FR"/>
        </w:rPr>
        <w:t xml:space="preserve"> vieilli selon la procédure décrite aux paragraphes 5.1 à 5.1.3.1.3 de la présente annexe ne doit pas être installé avant le début de la procédure de purge et de remplissage du réservoir prescrite au paragraphe 6.5.1.</w:t>
      </w:r>
    </w:p>
    <w:p w14:paraId="54671461" w14:textId="77777777" w:rsidR="00FC359D" w:rsidRDefault="00FC359D" w:rsidP="00FC359D">
      <w:pPr>
        <w:pStyle w:val="SingleTxtG"/>
        <w:ind w:left="2268" w:hanging="1134"/>
        <w:rPr>
          <w:rFonts w:eastAsia="MS Mincho"/>
          <w:lang w:val="fr-FR"/>
        </w:rPr>
      </w:pPr>
      <w:r w:rsidRPr="004156C2">
        <w:rPr>
          <w:rFonts w:eastAsia="MS Mincho"/>
          <w:lang w:val="fr-FR"/>
        </w:rPr>
        <w:t>4.</w:t>
      </w:r>
      <w:r w:rsidRPr="004156C2">
        <w:rPr>
          <w:rFonts w:eastAsia="MS Mincho"/>
          <w:lang w:val="fr-FR"/>
        </w:rPr>
        <w:tab/>
      </w:r>
      <w:r w:rsidRPr="004156C2">
        <w:rPr>
          <w:rFonts w:eastAsia="MS Mincho"/>
          <w:lang w:val="fr-FR"/>
        </w:rPr>
        <w:tab/>
        <w:t xml:space="preserve">Équipement d’essai </w:t>
      </w:r>
      <w:r>
        <w:rPr>
          <w:rFonts w:eastAsia="MS Mincho"/>
          <w:lang w:val="fr-FR"/>
        </w:rPr>
        <w:t>et prescriptions et périodicité de l’étalonnage.</w:t>
      </w:r>
    </w:p>
    <w:p w14:paraId="1185BFF5" w14:textId="77777777" w:rsidR="00FC359D" w:rsidRPr="004156C2" w:rsidRDefault="00FC359D" w:rsidP="00FC359D">
      <w:pPr>
        <w:pStyle w:val="SingleTxtG"/>
        <w:ind w:left="2268"/>
        <w:rPr>
          <w:rFonts w:eastAsia="MS Mincho"/>
          <w:lang w:val="fr-FR"/>
        </w:rPr>
      </w:pPr>
      <w:r>
        <w:rPr>
          <w:rFonts w:eastAsia="MS Mincho"/>
          <w:lang w:val="fr-FR"/>
        </w:rPr>
        <w:tab/>
        <w:t xml:space="preserve">Sauf indication contraire dans le présent paragraphe, l’équipement d’essai doit être étalonné avant d’être utilisé pour la première fois puis réétalonné selon la périodicité recommandée par le fabricant de l’équipement ou la périodicité conforme aux règles de bonne pratique. </w:t>
      </w:r>
    </w:p>
    <w:p w14:paraId="5321D100" w14:textId="77777777" w:rsidR="00FC359D" w:rsidRPr="004156C2" w:rsidRDefault="00FC359D" w:rsidP="00FC359D">
      <w:pPr>
        <w:pStyle w:val="SingleTxtG"/>
        <w:ind w:left="2268" w:hanging="1134"/>
        <w:rPr>
          <w:rFonts w:eastAsia="MS Mincho"/>
          <w:lang w:val="fr-FR"/>
        </w:rPr>
      </w:pPr>
      <w:r w:rsidRPr="004156C2">
        <w:rPr>
          <w:rFonts w:eastAsia="MS Mincho"/>
          <w:lang w:val="fr-FR"/>
        </w:rPr>
        <w:t>4.1</w:t>
      </w:r>
      <w:r w:rsidRPr="004156C2">
        <w:rPr>
          <w:rFonts w:eastAsia="MS Mincho"/>
          <w:lang w:val="fr-FR"/>
        </w:rPr>
        <w:tab/>
      </w:r>
      <w:r w:rsidRPr="004156C2">
        <w:rPr>
          <w:rFonts w:eastAsia="MS Mincho"/>
          <w:lang w:val="fr-FR"/>
        </w:rPr>
        <w:tab/>
        <w:t>Banc dynamométrique</w:t>
      </w:r>
    </w:p>
    <w:p w14:paraId="535BD347"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Le dynamomètre à rouleaux doit satisfaire aux prescriptions </w:t>
      </w:r>
      <w:r>
        <w:rPr>
          <w:rFonts w:eastAsia="MS Mincho"/>
          <w:lang w:val="fr-FR"/>
        </w:rPr>
        <w:t>des</w:t>
      </w:r>
      <w:r w:rsidRPr="004156C2">
        <w:rPr>
          <w:rFonts w:eastAsia="MS Mincho"/>
          <w:lang w:val="fr-FR"/>
        </w:rPr>
        <w:t xml:space="preserve"> paragraphe</w:t>
      </w:r>
      <w:r>
        <w:rPr>
          <w:rFonts w:eastAsia="MS Mincho"/>
          <w:lang w:val="fr-FR"/>
        </w:rPr>
        <w:t>s</w:t>
      </w:r>
      <w:r w:rsidRPr="004156C2">
        <w:rPr>
          <w:rFonts w:eastAsia="MS Mincho"/>
          <w:lang w:val="fr-FR"/>
        </w:rPr>
        <w:t xml:space="preserve"> 2 </w:t>
      </w:r>
      <w:r>
        <w:rPr>
          <w:rFonts w:eastAsia="MS Mincho"/>
          <w:lang w:val="fr-FR"/>
        </w:rPr>
        <w:t xml:space="preserve">à 2.4.2 </w:t>
      </w:r>
      <w:r w:rsidRPr="004156C2">
        <w:rPr>
          <w:rFonts w:eastAsia="MS Mincho"/>
          <w:lang w:val="fr-FR"/>
        </w:rPr>
        <w:t xml:space="preserve">de l’annexe 5 du RTM </w:t>
      </w:r>
      <w:r>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w:t>
      </w:r>
    </w:p>
    <w:p w14:paraId="04C52250" w14:textId="77777777" w:rsidR="00FC359D" w:rsidRPr="004156C2" w:rsidRDefault="00FC359D" w:rsidP="00FC359D">
      <w:pPr>
        <w:pStyle w:val="SingleTxtG"/>
        <w:ind w:left="2268" w:hanging="1134"/>
        <w:rPr>
          <w:rFonts w:eastAsia="MS Mincho"/>
          <w:lang w:val="fr-FR"/>
        </w:rPr>
      </w:pPr>
      <w:r w:rsidRPr="004156C2">
        <w:rPr>
          <w:rFonts w:eastAsia="MS Mincho"/>
          <w:lang w:val="fr-FR"/>
        </w:rPr>
        <w:t>4.2</w:t>
      </w:r>
      <w:r w:rsidRPr="004156C2">
        <w:rPr>
          <w:rFonts w:eastAsia="MS Mincho"/>
          <w:lang w:val="fr-FR"/>
        </w:rPr>
        <w:tab/>
      </w:r>
      <w:r w:rsidRPr="004156C2">
        <w:rPr>
          <w:rFonts w:eastAsia="MS Mincho"/>
          <w:lang w:val="fr-FR"/>
        </w:rPr>
        <w:tab/>
        <w:t>Enceinte de mesure des émissions par évaporation</w:t>
      </w:r>
    </w:p>
    <w:p w14:paraId="19C21089"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L’enceinte de mesure des émissions par évaporation doit satisfaire aux prescriptions du paragraphe 4.2 de l’annexe 7 </w:t>
      </w:r>
      <w:r>
        <w:rPr>
          <w:rFonts w:eastAsia="MS Mincho"/>
          <w:lang w:val="fr-FR"/>
        </w:rPr>
        <w:t xml:space="preserve">et du paragraphe 2 de l’appendice 1 à l’annexe 7 </w:t>
      </w:r>
      <w:r w:rsidRPr="004156C2">
        <w:rPr>
          <w:rFonts w:eastAsia="MS Mincho"/>
          <w:lang w:val="fr-FR"/>
        </w:rPr>
        <w:t xml:space="preserve">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14:paraId="45011775" w14:textId="77777777" w:rsidR="00FC359D" w:rsidRPr="004156C2" w:rsidRDefault="00FC359D" w:rsidP="00FC359D">
      <w:pPr>
        <w:pStyle w:val="SingleTxtG"/>
        <w:ind w:left="2268" w:hanging="1134"/>
        <w:rPr>
          <w:rFonts w:eastAsia="MS Mincho"/>
          <w:lang w:val="fr-FR"/>
        </w:rPr>
      </w:pPr>
      <w:r w:rsidRPr="004156C2">
        <w:rPr>
          <w:rFonts w:eastAsia="MS Mincho"/>
          <w:lang w:val="fr-FR"/>
        </w:rPr>
        <w:t>4.3</w:t>
      </w:r>
      <w:r w:rsidRPr="004156C2">
        <w:rPr>
          <w:rFonts w:eastAsia="MS Mincho"/>
          <w:lang w:val="fr-FR"/>
        </w:rPr>
        <w:tab/>
        <w:t>Équipement d’analyse</w:t>
      </w:r>
    </w:p>
    <w:p w14:paraId="55EDCC7A"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L’équipement d’analyse doit satisfaire aux prescriptions du paragraphe 4.3 de l’annexe 7 </w:t>
      </w:r>
      <w:r>
        <w:rPr>
          <w:rFonts w:eastAsia="MS Mincho"/>
          <w:lang w:val="fr-FR"/>
        </w:rPr>
        <w:t xml:space="preserve">et des paragraphes 3 à 3.2 de l’appendice 1 à l’annexe 7 </w:t>
      </w:r>
      <w:r w:rsidRPr="004156C2">
        <w:rPr>
          <w:rFonts w:eastAsia="MS Mincho"/>
          <w:lang w:val="fr-FR"/>
        </w:rPr>
        <w:t xml:space="preserve">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 La mesure continue des hydrocarbures n’est pas obligatoire à moins que l’enceinte de type à volume fixe ne soit utilisée.</w:t>
      </w:r>
    </w:p>
    <w:p w14:paraId="1ECA5085" w14:textId="77777777" w:rsidR="00FC359D" w:rsidRPr="004156C2" w:rsidRDefault="00FC359D" w:rsidP="00FC359D">
      <w:pPr>
        <w:pStyle w:val="SingleTxtG"/>
        <w:keepNext/>
        <w:ind w:left="2268" w:hanging="1134"/>
        <w:rPr>
          <w:rFonts w:eastAsia="MS Mincho"/>
          <w:lang w:val="fr-FR"/>
        </w:rPr>
      </w:pPr>
      <w:r w:rsidRPr="004156C2">
        <w:rPr>
          <w:rFonts w:eastAsia="MS Mincho"/>
          <w:lang w:val="fr-FR"/>
        </w:rPr>
        <w:lastRenderedPageBreak/>
        <w:t>4.4</w:t>
      </w:r>
      <w:r w:rsidRPr="004156C2">
        <w:rPr>
          <w:rFonts w:eastAsia="MS Mincho"/>
          <w:lang w:val="fr-FR"/>
        </w:rPr>
        <w:tab/>
        <w:t>Système d’enregistrement de la température</w:t>
      </w:r>
    </w:p>
    <w:p w14:paraId="527FBCE1"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L’équipement d’enregistrement de la température doit satisfaire aux prescriptions du paragraphe 4.5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14:paraId="097DF748" w14:textId="77777777" w:rsidR="00FC359D" w:rsidRPr="004156C2" w:rsidRDefault="00FC359D" w:rsidP="00FC359D">
      <w:pPr>
        <w:pStyle w:val="SingleTxtG"/>
        <w:ind w:left="2268" w:hanging="1134"/>
        <w:rPr>
          <w:rFonts w:eastAsia="MS Mincho"/>
          <w:lang w:val="fr-FR"/>
        </w:rPr>
      </w:pPr>
      <w:r w:rsidRPr="004156C2">
        <w:rPr>
          <w:rFonts w:eastAsia="MS Mincho"/>
          <w:lang w:val="fr-FR"/>
        </w:rPr>
        <w:t>4.5</w:t>
      </w:r>
      <w:r w:rsidRPr="004156C2">
        <w:rPr>
          <w:rFonts w:eastAsia="MS Mincho"/>
          <w:lang w:val="fr-FR"/>
        </w:rPr>
        <w:tab/>
        <w:t>Système d’enregistrement de la pression</w:t>
      </w:r>
    </w:p>
    <w:p w14:paraId="40843C14" w14:textId="77777777" w:rsidR="00FC359D" w:rsidRPr="00B30768" w:rsidRDefault="00FC359D" w:rsidP="00FC359D">
      <w:pPr>
        <w:pStyle w:val="SingleTxtG"/>
        <w:ind w:left="2268"/>
        <w:rPr>
          <w:rFonts w:eastAsia="MS Mincho"/>
          <w:spacing w:val="-2"/>
          <w:lang w:val="fr-FR"/>
        </w:rPr>
      </w:pPr>
      <w:r w:rsidRPr="00B30768">
        <w:rPr>
          <w:rFonts w:eastAsia="MS Mincho"/>
          <w:spacing w:val="-2"/>
          <w:lang w:val="fr-FR"/>
        </w:rPr>
        <w:tab/>
        <w:t xml:space="preserve">L’équipement d’enregistrement de la pression doit satisfaire aux prescriptions du paragraphe 4.6 de l’annexe 7 du Règlement </w:t>
      </w:r>
      <w:r>
        <w:rPr>
          <w:rFonts w:eastAsia="MS Mincho"/>
          <w:spacing w:val="-2"/>
          <w:lang w:val="fr-FR"/>
        </w:rPr>
        <w:t xml:space="preserve">ONU </w:t>
      </w:r>
      <w:r w:rsidRPr="00B30768">
        <w:rPr>
          <w:rFonts w:eastAsia="MS Mincho"/>
          <w:spacing w:val="-2"/>
          <w:szCs w:val="22"/>
          <w:lang w:val="fr-FR"/>
        </w:rPr>
        <w:t>n</w:t>
      </w:r>
      <w:r w:rsidRPr="00B30768">
        <w:rPr>
          <w:rFonts w:eastAsia="MS Mincho"/>
          <w:spacing w:val="-2"/>
          <w:szCs w:val="22"/>
          <w:vertAlign w:val="superscript"/>
          <w:lang w:val="fr-FR"/>
        </w:rPr>
        <w:t>o</w:t>
      </w:r>
      <w:r w:rsidRPr="00B30768">
        <w:rPr>
          <w:rFonts w:eastAsia="MS Mincho"/>
          <w:spacing w:val="-2"/>
          <w:lang w:val="fr-FR"/>
        </w:rPr>
        <w:t xml:space="preserve"> 83 (série 07 d’amendements). </w:t>
      </w:r>
    </w:p>
    <w:p w14:paraId="2C01AA93" w14:textId="77777777" w:rsidR="00FC359D" w:rsidRPr="004156C2" w:rsidRDefault="00FC359D" w:rsidP="00FC359D">
      <w:pPr>
        <w:pStyle w:val="SingleTxtG"/>
        <w:ind w:left="2268" w:hanging="1134"/>
        <w:rPr>
          <w:rFonts w:eastAsia="MS Mincho"/>
          <w:lang w:val="fr-FR"/>
        </w:rPr>
      </w:pPr>
      <w:r w:rsidRPr="004156C2">
        <w:rPr>
          <w:rFonts w:eastAsia="MS Mincho"/>
          <w:lang w:val="fr-FR"/>
        </w:rPr>
        <w:t>4.6</w:t>
      </w:r>
      <w:r w:rsidRPr="004156C2">
        <w:rPr>
          <w:rFonts w:eastAsia="MS Mincho"/>
          <w:lang w:val="fr-FR"/>
        </w:rPr>
        <w:tab/>
        <w:t>Ventilateurs</w:t>
      </w:r>
    </w:p>
    <w:p w14:paraId="56F9A50A"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Les ventilateurs doivent satisfaire aux prescriptions du paragraphe 4.7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xml:space="preserve"> 83 (série 07 d’amendements), sauf pour ce qui est de leur </w:t>
      </w:r>
      <w:r>
        <w:rPr>
          <w:rFonts w:eastAsia="MS Mincho"/>
          <w:lang w:val="fr-FR"/>
        </w:rPr>
        <w:t>débit,</w:t>
      </w:r>
      <w:r w:rsidRPr="004156C2">
        <w:rPr>
          <w:rFonts w:eastAsia="MS Mincho"/>
          <w:lang w:val="fr-FR"/>
        </w:rPr>
        <w:t xml:space="preserve"> qui doit être de 0,1 à 0,5 m³/s, au lieu de 0,1 à 0,5 m³/mn.</w:t>
      </w:r>
    </w:p>
    <w:p w14:paraId="423D5017" w14:textId="77777777" w:rsidR="00FC359D" w:rsidRPr="004156C2" w:rsidRDefault="00FC359D" w:rsidP="00FC359D">
      <w:pPr>
        <w:pStyle w:val="SingleTxtG"/>
        <w:ind w:left="2268" w:hanging="1134"/>
        <w:rPr>
          <w:rFonts w:eastAsia="MS Mincho"/>
          <w:lang w:val="fr-FR"/>
        </w:rPr>
      </w:pPr>
      <w:r w:rsidRPr="004156C2">
        <w:rPr>
          <w:rFonts w:eastAsia="MS Mincho"/>
          <w:lang w:val="fr-FR"/>
        </w:rPr>
        <w:t>4.7</w:t>
      </w:r>
      <w:r w:rsidRPr="004156C2">
        <w:rPr>
          <w:rFonts w:eastAsia="MS Mincho"/>
          <w:lang w:val="fr-FR"/>
        </w:rPr>
        <w:tab/>
        <w:t>Gaz d’étalonnage</w:t>
      </w:r>
    </w:p>
    <w:p w14:paraId="45366BEE"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Les gaz doivent satisfaire aux prescriptions du paragraphe 4.8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14:paraId="53D760AD" w14:textId="77777777" w:rsidR="00FC359D" w:rsidRPr="004156C2" w:rsidRDefault="00FC359D" w:rsidP="00FC359D">
      <w:pPr>
        <w:pStyle w:val="SingleTxtG"/>
        <w:ind w:left="2268" w:hanging="1134"/>
        <w:rPr>
          <w:rFonts w:eastAsia="MS Mincho"/>
          <w:lang w:val="fr-FR"/>
        </w:rPr>
      </w:pPr>
      <w:r w:rsidRPr="004156C2">
        <w:rPr>
          <w:rFonts w:eastAsia="MS Mincho"/>
          <w:lang w:val="fr-FR"/>
        </w:rPr>
        <w:t>4.8</w:t>
      </w:r>
      <w:r w:rsidRPr="004156C2">
        <w:rPr>
          <w:rFonts w:eastAsia="MS Mincho"/>
          <w:lang w:val="fr-FR"/>
        </w:rPr>
        <w:tab/>
        <w:t xml:space="preserve">Balance de pesage du </w:t>
      </w:r>
      <w:proofErr w:type="spellStart"/>
      <w:r w:rsidRPr="004156C2">
        <w:rPr>
          <w:rFonts w:eastAsia="MS Mincho"/>
          <w:lang w:val="fr-FR"/>
        </w:rPr>
        <w:t>canister</w:t>
      </w:r>
      <w:proofErr w:type="spellEnd"/>
      <w:r w:rsidRPr="004156C2">
        <w:rPr>
          <w:rFonts w:eastAsia="MS Mincho"/>
          <w:lang w:val="fr-FR"/>
        </w:rPr>
        <w:t xml:space="preserve"> </w:t>
      </w:r>
      <w:r>
        <w:rPr>
          <w:rFonts w:eastAsia="MS Mincho"/>
          <w:lang w:val="fr-FR"/>
        </w:rPr>
        <w:t>pour la mesure du trop-plein de pertes liées à la dépressurisation</w:t>
      </w:r>
    </w:p>
    <w:p w14:paraId="08A4B72D"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La balance servant à peser le </w:t>
      </w:r>
      <w:proofErr w:type="spellStart"/>
      <w:r w:rsidRPr="004156C2">
        <w:rPr>
          <w:rFonts w:eastAsia="MS Mincho"/>
          <w:lang w:val="fr-FR"/>
        </w:rPr>
        <w:t>canister</w:t>
      </w:r>
      <w:proofErr w:type="spellEnd"/>
      <w:r w:rsidRPr="004156C2">
        <w:rPr>
          <w:rFonts w:eastAsia="MS Mincho"/>
          <w:lang w:val="fr-FR"/>
        </w:rPr>
        <w:t xml:space="preserve"> doit avoir une marge d’exactitude de </w:t>
      </w:r>
      <w:r>
        <w:rPr>
          <w:rFonts w:eastAsia="MS Mincho"/>
          <w:color w:val="000000"/>
          <w:kern w:val="24"/>
          <w:lang w:val="fr-FR"/>
        </w:rPr>
        <w:sym w:font="Symbol" w:char="F0B1"/>
      </w:r>
      <w:r w:rsidRPr="004156C2">
        <w:rPr>
          <w:rFonts w:eastAsia="MS Mincho"/>
          <w:lang w:val="fr-FR" w:eastAsia="ja-JP"/>
        </w:rPr>
        <w:t>0,02 g.</w:t>
      </w:r>
      <w:r w:rsidRPr="004156C2">
        <w:rPr>
          <w:rFonts w:eastAsia="MS Mincho"/>
          <w:lang w:val="fr-FR"/>
        </w:rPr>
        <w:t xml:space="preserve"> </w:t>
      </w:r>
    </w:p>
    <w:p w14:paraId="3213E329" w14:textId="77777777" w:rsidR="00FC359D" w:rsidRPr="004156C2" w:rsidRDefault="00FC359D" w:rsidP="00FC359D">
      <w:pPr>
        <w:pStyle w:val="SingleTxtG"/>
        <w:ind w:left="2268" w:hanging="1134"/>
        <w:rPr>
          <w:rFonts w:eastAsia="MS Mincho"/>
          <w:lang w:val="fr-FR"/>
        </w:rPr>
      </w:pPr>
      <w:r w:rsidRPr="004156C2">
        <w:rPr>
          <w:rFonts w:eastAsia="MS Mincho"/>
          <w:lang w:val="fr-FR"/>
        </w:rPr>
        <w:t>5.</w:t>
      </w:r>
      <w:r w:rsidRPr="004156C2">
        <w:rPr>
          <w:rFonts w:eastAsia="MS Mincho"/>
          <w:lang w:val="fr-FR"/>
        </w:rPr>
        <w:tab/>
        <w:t xml:space="preserve">Procédure de vieillissement au banc du </w:t>
      </w:r>
      <w:proofErr w:type="spellStart"/>
      <w:r w:rsidRPr="004156C2">
        <w:rPr>
          <w:rFonts w:eastAsia="MS Mincho"/>
          <w:lang w:val="fr-FR"/>
        </w:rPr>
        <w:t>canister</w:t>
      </w:r>
      <w:proofErr w:type="spellEnd"/>
      <w:r w:rsidRPr="004156C2">
        <w:rPr>
          <w:rFonts w:eastAsia="MS Mincho"/>
          <w:lang w:val="fr-FR"/>
        </w:rPr>
        <w:t xml:space="preserve"> et de détermination du facteur de perméabilité</w:t>
      </w:r>
    </w:p>
    <w:p w14:paraId="3FFE5D02" w14:textId="77777777" w:rsidR="00FC359D" w:rsidRPr="004156C2" w:rsidRDefault="00FC359D" w:rsidP="00FC359D">
      <w:pPr>
        <w:pStyle w:val="SingleTxtG"/>
        <w:ind w:left="2268" w:hanging="1134"/>
        <w:rPr>
          <w:rFonts w:eastAsia="MS Mincho"/>
          <w:lang w:val="fr-FR"/>
        </w:rPr>
      </w:pPr>
      <w:r w:rsidRPr="004156C2">
        <w:rPr>
          <w:rFonts w:eastAsia="MS Mincho"/>
          <w:lang w:val="fr-FR"/>
        </w:rPr>
        <w:t>5.1</w:t>
      </w:r>
      <w:r w:rsidRPr="004156C2">
        <w:rPr>
          <w:rFonts w:eastAsia="MS Mincho"/>
          <w:lang w:val="fr-FR"/>
        </w:rPr>
        <w:tab/>
        <w:t xml:space="preserve">Vieillissement au banc du </w:t>
      </w:r>
      <w:proofErr w:type="spellStart"/>
      <w:r w:rsidRPr="004156C2">
        <w:rPr>
          <w:rFonts w:eastAsia="MS Mincho"/>
          <w:lang w:val="fr-FR"/>
        </w:rPr>
        <w:t>canister</w:t>
      </w:r>
      <w:proofErr w:type="spellEnd"/>
    </w:p>
    <w:p w14:paraId="1C42E9A6"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Avant d’exécuter les séquences d’essai d’accumulation de chaleur et de pertes diurnes, il convient de vieillir le </w:t>
      </w:r>
      <w:proofErr w:type="spellStart"/>
      <w:r w:rsidRPr="004156C2">
        <w:rPr>
          <w:rFonts w:eastAsia="MS Mincho"/>
          <w:lang w:val="fr-FR"/>
        </w:rPr>
        <w:t>canister</w:t>
      </w:r>
      <w:proofErr w:type="spellEnd"/>
      <w:r w:rsidRPr="004156C2">
        <w:rPr>
          <w:rFonts w:eastAsia="MS Mincho"/>
          <w:lang w:val="fr-FR"/>
        </w:rPr>
        <w:t xml:space="preserve"> selon la procédure décrite dans la figure A1/1.</w:t>
      </w:r>
    </w:p>
    <w:p w14:paraId="4E0A4990" w14:textId="77777777" w:rsidR="007F6101" w:rsidRPr="0086395D" w:rsidRDefault="00FC359D" w:rsidP="0086395D">
      <w:pPr>
        <w:pStyle w:val="Heading1"/>
        <w:spacing w:after="120"/>
        <w:rPr>
          <w:b/>
          <w:lang w:val="fr-FR"/>
        </w:rPr>
      </w:pPr>
      <w:r w:rsidRPr="004156C2">
        <w:rPr>
          <w:lang w:val="fr-FR"/>
        </w:rPr>
        <w:t>Figure A1/1</w:t>
      </w:r>
      <w:r w:rsidR="0086395D">
        <w:rPr>
          <w:lang w:val="fr-FR"/>
        </w:rPr>
        <w:t xml:space="preserve"> </w:t>
      </w:r>
      <w:r w:rsidRPr="004156C2">
        <w:rPr>
          <w:lang w:val="fr-FR"/>
        </w:rPr>
        <w:br/>
      </w:r>
      <w:r w:rsidRPr="00190DE8">
        <w:rPr>
          <w:b/>
          <w:lang w:val="fr-FR"/>
        </w:rPr>
        <w:t xml:space="preserve">Procédure de vieillissement au banc du </w:t>
      </w:r>
      <w:proofErr w:type="spellStart"/>
      <w:r w:rsidRPr="00190DE8">
        <w:rPr>
          <w:b/>
          <w:lang w:val="fr-FR"/>
        </w:rPr>
        <w:t>canister</w:t>
      </w:r>
      <w:proofErr w:type="spellEnd"/>
    </w:p>
    <w:p w14:paraId="7BB5055B" w14:textId="77777777" w:rsidR="007F6101" w:rsidRDefault="007F6101" w:rsidP="007F6101">
      <w:pPr>
        <w:pStyle w:val="SingleTxtG"/>
        <w:rPr>
          <w:lang w:val="fr-FR"/>
        </w:rPr>
      </w:pPr>
      <w:r w:rsidRPr="000C657F">
        <w:rPr>
          <w:noProof/>
          <w:lang w:eastAsia="ru-RU"/>
        </w:rPr>
        <mc:AlternateContent>
          <mc:Choice Requires="wpg">
            <w:drawing>
              <wp:inline distT="0" distB="0" distL="0" distR="0" wp14:anchorId="34996D86" wp14:editId="7D0B9035">
                <wp:extent cx="3360420" cy="3242310"/>
                <wp:effectExtent l="0" t="0" r="11430" b="15240"/>
                <wp:docPr id="134" name="Group 11"/>
                <wp:cNvGraphicFramePr/>
                <a:graphic xmlns:a="http://schemas.openxmlformats.org/drawingml/2006/main">
                  <a:graphicData uri="http://schemas.microsoft.com/office/word/2010/wordprocessingGroup">
                    <wpg:wgp>
                      <wpg:cNvGrpSpPr/>
                      <wpg:grpSpPr>
                        <a:xfrm>
                          <a:off x="0" y="0"/>
                          <a:ext cx="3360420" cy="3242310"/>
                          <a:chOff x="-79760" y="19134"/>
                          <a:chExt cx="3368743" cy="3256547"/>
                        </a:xfrm>
                        <a:noFill/>
                      </wpg:grpSpPr>
                      <wps:wsp>
                        <wps:cNvPr id="135" name="Organigramme : Processus 32"/>
                        <wps:cNvSpPr/>
                        <wps:spPr>
                          <a:xfrm>
                            <a:off x="1353196" y="19134"/>
                            <a:ext cx="1272478" cy="295492"/>
                          </a:xfrm>
                          <a:prstGeom prst="flowChartProcess">
                            <a:avLst/>
                          </a:prstGeom>
                          <a:grpFill/>
                          <a:ln w="12700" cap="flat" cmpd="sng" algn="ctr">
                            <a:solidFill>
                              <a:sysClr val="windowText" lastClr="000000"/>
                            </a:solidFill>
                            <a:prstDash val="solid"/>
                            <a:miter lim="800000"/>
                          </a:ln>
                          <a:effectLst/>
                        </wps:spPr>
                        <wps:txbx>
                          <w:txbxContent>
                            <w:p w14:paraId="65F79BA2" w14:textId="77777777" w:rsidR="007F6101" w:rsidRPr="007F6101" w:rsidRDefault="007F6101" w:rsidP="007F6101">
                              <w:pPr>
                                <w:pStyle w:val="SingleTxtGR"/>
                                <w:tabs>
                                  <w:tab w:val="clear" w:pos="1701"/>
                                </w:tabs>
                                <w:spacing w:after="0" w:line="240" w:lineRule="auto"/>
                                <w:ind w:left="0" w:right="0"/>
                                <w:jc w:val="center"/>
                                <w:rPr>
                                  <w:sz w:val="18"/>
                                  <w:szCs w:val="18"/>
                                  <w:lang w:val="fr-CH"/>
                                </w:rPr>
                              </w:pPr>
                              <w:r>
                                <w:rPr>
                                  <w:sz w:val="18"/>
                                  <w:szCs w:val="18"/>
                                  <w:lang w:val="fr-CH"/>
                                </w:rPr>
                                <w:t>Début de l’essai</w:t>
                              </w:r>
                            </w:p>
                          </w:txbxContent>
                        </wps:txbx>
                        <wps:bodyPr rtlCol="0" anchor="ctr"/>
                      </wps:wsp>
                      <wps:wsp>
                        <wps:cNvPr id="136" name="Organigramme : Processus 33"/>
                        <wps:cNvSpPr/>
                        <wps:spPr>
                          <a:xfrm>
                            <a:off x="920507" y="416383"/>
                            <a:ext cx="2144664" cy="447692"/>
                          </a:xfrm>
                          <a:prstGeom prst="flowChartProcess">
                            <a:avLst/>
                          </a:prstGeom>
                          <a:grpFill/>
                          <a:ln w="12700" cap="flat" cmpd="sng" algn="ctr">
                            <a:solidFill>
                              <a:sysClr val="windowText" lastClr="000000"/>
                            </a:solidFill>
                            <a:prstDash val="solid"/>
                            <a:miter lim="800000"/>
                          </a:ln>
                          <a:effectLst/>
                        </wps:spPr>
                        <wps:txbx>
                          <w:txbxContent>
                            <w:p w14:paraId="011B32D9" w14:textId="77777777" w:rsidR="007F6101" w:rsidRPr="007F6101" w:rsidRDefault="007F6101"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Choix d’un nouvel échantillon </w:t>
                              </w:r>
                              <w:r>
                                <w:rPr>
                                  <w:sz w:val="18"/>
                                  <w:szCs w:val="18"/>
                                  <w:lang w:val="fr-CH"/>
                                </w:rPr>
                                <w:br/>
                                <w:t xml:space="preserve">de </w:t>
                              </w:r>
                              <w:r>
                                <w:rPr>
                                  <w:sz w:val="18"/>
                                  <w:szCs w:val="18"/>
                                  <w:lang w:val="fr-CH"/>
                                </w:rPr>
                                <w:t>canister</w:t>
                              </w:r>
                            </w:p>
                          </w:txbxContent>
                        </wps:txbx>
                        <wps:bodyPr rtlCol="0" anchor="ctr"/>
                      </wps:wsp>
                      <wps:wsp>
                        <wps:cNvPr id="137" name="Organigramme : Processus 34"/>
                        <wps:cNvSpPr/>
                        <wps:spPr>
                          <a:xfrm>
                            <a:off x="698939" y="976476"/>
                            <a:ext cx="2589294" cy="717411"/>
                          </a:xfrm>
                          <a:prstGeom prst="flowChartProcess">
                            <a:avLst/>
                          </a:prstGeom>
                          <a:grpFill/>
                          <a:ln w="12700" cap="flat" cmpd="sng" algn="ctr">
                            <a:solidFill>
                              <a:sysClr val="windowText" lastClr="000000"/>
                            </a:solidFill>
                            <a:prstDash val="solid"/>
                            <a:miter lim="800000"/>
                          </a:ln>
                          <a:effectLst/>
                        </wps:spPr>
                        <wps:txbx>
                          <w:txbxContent>
                            <w:p w14:paraId="7336AA0E" w14:textId="77777777" w:rsidR="007F6101" w:rsidRPr="007F6101" w:rsidRDefault="007F6101"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5.1.1 Vieillissement par exposition </w:t>
                              </w:r>
                              <w:r>
                                <w:rPr>
                                  <w:sz w:val="18"/>
                                  <w:szCs w:val="18"/>
                                  <w:lang w:val="fr-CH"/>
                                </w:rPr>
                                <w:br/>
                                <w:t>à des cycles de température</w:t>
                              </w:r>
                            </w:p>
                          </w:txbxContent>
                        </wps:txbx>
                        <wps:bodyPr rtlCol="0" anchor="ctr"/>
                      </wps:wsp>
                      <wps:wsp>
                        <wps:cNvPr id="138" name="Organigramme : Processus 35"/>
                        <wps:cNvSpPr/>
                        <wps:spPr>
                          <a:xfrm>
                            <a:off x="696695" y="1901972"/>
                            <a:ext cx="2592288" cy="653619"/>
                          </a:xfrm>
                          <a:prstGeom prst="flowChartProcess">
                            <a:avLst/>
                          </a:prstGeom>
                          <a:grpFill/>
                          <a:ln w="12700" cap="flat" cmpd="sng" algn="ctr">
                            <a:solidFill>
                              <a:sysClr val="windowText" lastClr="000000"/>
                            </a:solidFill>
                            <a:prstDash val="solid"/>
                            <a:miter lim="800000"/>
                          </a:ln>
                          <a:effectLst/>
                        </wps:spPr>
                        <wps:txbx>
                          <w:txbxContent>
                            <w:p w14:paraId="55400186" w14:textId="77777777" w:rsidR="007F6101" w:rsidRPr="00C02EF1" w:rsidRDefault="00C02EF1"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5.1.2 Vieillissement par exposition </w:t>
                              </w:r>
                              <w:r>
                                <w:rPr>
                                  <w:sz w:val="18"/>
                                  <w:szCs w:val="18"/>
                                  <w:lang w:val="fr-CH"/>
                                </w:rPr>
                                <w:br/>
                                <w:t>aux vibrations</w:t>
                              </w:r>
                            </w:p>
                          </w:txbxContent>
                        </wps:txbx>
                        <wps:bodyPr rtlCol="0" anchor="ctr"/>
                      </wps:wsp>
                      <wps:wsp>
                        <wps:cNvPr id="139" name="Organigramme : Processus 42"/>
                        <wps:cNvSpPr/>
                        <wps:spPr>
                          <a:xfrm>
                            <a:off x="698939" y="2679997"/>
                            <a:ext cx="2589294" cy="595684"/>
                          </a:xfrm>
                          <a:prstGeom prst="flowChartProcess">
                            <a:avLst/>
                          </a:prstGeom>
                          <a:grpFill/>
                          <a:ln w="12700" cap="flat" cmpd="sng" algn="ctr">
                            <a:solidFill>
                              <a:sysClr val="windowText" lastClr="000000"/>
                            </a:solidFill>
                            <a:prstDash val="solid"/>
                            <a:miter lim="800000"/>
                          </a:ln>
                          <a:effectLst/>
                        </wps:spPr>
                        <wps:txbx>
                          <w:txbxContent>
                            <w:p w14:paraId="4951D483" w14:textId="77777777" w:rsidR="007F6101" w:rsidRPr="00C02EF1" w:rsidRDefault="00C02EF1"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5.1.3 Vieillissement par exposition </w:t>
                              </w:r>
                              <w:r>
                                <w:rPr>
                                  <w:sz w:val="18"/>
                                  <w:szCs w:val="18"/>
                                  <w:lang w:val="fr-CH"/>
                                </w:rPr>
                                <w:br/>
                                <w:t xml:space="preserve">aux vapeurs de carburant </w:t>
                              </w:r>
                              <w:r>
                                <w:rPr>
                                  <w:sz w:val="18"/>
                                  <w:szCs w:val="18"/>
                                  <w:lang w:val="fr-CH"/>
                                </w:rPr>
                                <w:br/>
                                <w:t>et détermination de la valeur BWC 300</w:t>
                              </w:r>
                            </w:p>
                          </w:txbxContent>
                        </wps:txbx>
                        <wps:bodyPr rtlCol="0" anchor="ctr"/>
                      </wps:wsp>
                      <wps:wsp>
                        <wps:cNvPr id="140" name="Connecteur droit 45"/>
                        <wps:cNvCnPr>
                          <a:stCxn id="136" idx="2"/>
                          <a:endCxn id="137" idx="0"/>
                        </wps:cNvCnPr>
                        <wps:spPr>
                          <a:xfrm>
                            <a:off x="1992840" y="864075"/>
                            <a:ext cx="747" cy="112401"/>
                          </a:xfrm>
                          <a:prstGeom prst="line">
                            <a:avLst/>
                          </a:prstGeom>
                          <a:noFill/>
                          <a:ln w="6350" cap="flat" cmpd="sng" algn="ctr">
                            <a:solidFill>
                              <a:sysClr val="windowText" lastClr="000000"/>
                            </a:solidFill>
                            <a:prstDash val="solid"/>
                            <a:miter lim="800000"/>
                          </a:ln>
                          <a:effectLst/>
                        </wps:spPr>
                        <wps:bodyPr/>
                      </wps:wsp>
                      <wps:wsp>
                        <wps:cNvPr id="141" name="Connecteur droit 46"/>
                        <wps:cNvCnPr>
                          <a:stCxn id="137" idx="2"/>
                          <a:endCxn id="138" idx="0"/>
                        </wps:cNvCnPr>
                        <wps:spPr>
                          <a:xfrm flipH="1">
                            <a:off x="1992839" y="1693888"/>
                            <a:ext cx="747" cy="208085"/>
                          </a:xfrm>
                          <a:prstGeom prst="line">
                            <a:avLst/>
                          </a:prstGeom>
                          <a:grpFill/>
                          <a:ln w="6350" cap="flat" cmpd="sng" algn="ctr">
                            <a:solidFill>
                              <a:sysClr val="windowText" lastClr="000000"/>
                            </a:solidFill>
                            <a:prstDash val="solid"/>
                            <a:miter lim="800000"/>
                          </a:ln>
                          <a:effectLst/>
                        </wps:spPr>
                        <wps:bodyPr/>
                      </wps:wsp>
                      <wps:wsp>
                        <wps:cNvPr id="142" name="ZoneTexte 61"/>
                        <wps:cNvSpPr txBox="1"/>
                        <wps:spPr>
                          <a:xfrm>
                            <a:off x="398749" y="976475"/>
                            <a:ext cx="260995" cy="980465"/>
                          </a:xfrm>
                          <a:prstGeom prst="rect">
                            <a:avLst/>
                          </a:prstGeom>
                          <a:grpFill/>
                          <a:ln>
                            <a:noFill/>
                          </a:ln>
                        </wps:spPr>
                        <wps:txbx>
                          <w:txbxContent>
                            <w:p w14:paraId="7095FD9F" w14:textId="77777777" w:rsidR="007F6101" w:rsidRPr="00BA7888" w:rsidRDefault="007F6101" w:rsidP="007F6101">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wps:txbx>
                        <wps:bodyPr wrap="square" lIns="0" tIns="0" rIns="0" bIns="0" rtlCol="0">
                          <a:noAutofit/>
                        </wps:bodyPr>
                      </wps:wsp>
                      <wps:wsp>
                        <wps:cNvPr id="143" name="Connecteur droit 46"/>
                        <wps:cNvCnPr>
                          <a:stCxn id="138" idx="2"/>
                          <a:endCxn id="139" idx="0"/>
                        </wps:cNvCnPr>
                        <wps:spPr>
                          <a:xfrm>
                            <a:off x="1992839" y="2555591"/>
                            <a:ext cx="747" cy="124406"/>
                          </a:xfrm>
                          <a:prstGeom prst="line">
                            <a:avLst/>
                          </a:prstGeom>
                          <a:grpFill/>
                          <a:ln w="6350" cap="flat" cmpd="sng" algn="ctr">
                            <a:solidFill>
                              <a:sysClr val="windowText" lastClr="000000"/>
                            </a:solidFill>
                            <a:prstDash val="solid"/>
                            <a:miter lim="800000"/>
                          </a:ln>
                          <a:effectLst/>
                        </wps:spPr>
                        <wps:bodyPr/>
                      </wps:wsp>
                      <wps:wsp>
                        <wps:cNvPr id="144" name="ZoneTexte 63"/>
                        <wps:cNvSpPr txBox="1"/>
                        <wps:spPr>
                          <a:xfrm>
                            <a:off x="-79760" y="1279163"/>
                            <a:ext cx="720600" cy="223864"/>
                          </a:xfrm>
                          <a:prstGeom prst="rect">
                            <a:avLst/>
                          </a:prstGeom>
                          <a:grpFill/>
                          <a:ln>
                            <a:noFill/>
                          </a:ln>
                        </wps:spPr>
                        <wps:txbx>
                          <w:txbxContent>
                            <w:p w14:paraId="4ED3B68E" w14:textId="77777777" w:rsidR="007F6101" w:rsidRPr="007F6101" w:rsidRDefault="007F6101" w:rsidP="007F6101">
                              <w:pPr>
                                <w:pStyle w:val="SingleTxtGR"/>
                                <w:tabs>
                                  <w:tab w:val="clear" w:pos="1701"/>
                                </w:tabs>
                                <w:spacing w:after="0" w:line="240" w:lineRule="auto"/>
                                <w:ind w:left="0" w:right="0"/>
                                <w:jc w:val="left"/>
                                <w:rPr>
                                  <w:sz w:val="18"/>
                                  <w:szCs w:val="18"/>
                                  <w:lang w:val="fr-CH"/>
                                </w:rPr>
                              </w:pPr>
                              <w:r w:rsidRPr="00680148">
                                <w:rPr>
                                  <w:sz w:val="18"/>
                                  <w:szCs w:val="18"/>
                                </w:rPr>
                                <w:t>50</w:t>
                              </w:r>
                              <w:r w:rsidRPr="00680148">
                                <w:rPr>
                                  <w:rFonts w:hint="eastAsia"/>
                                  <w:sz w:val="18"/>
                                  <w:szCs w:val="18"/>
                                </w:rPr>
                                <w:t xml:space="preserve"> </w:t>
                              </w:r>
                              <w:r>
                                <w:rPr>
                                  <w:sz w:val="18"/>
                                  <w:szCs w:val="18"/>
                                  <w:lang w:val="fr-CH"/>
                                </w:rPr>
                                <w:t>fois</w:t>
                              </w:r>
                            </w:p>
                          </w:txbxContent>
                        </wps:txbx>
                        <wps:bodyPr wrap="square" rtlCol="0">
                          <a:spAutoFit/>
                        </wps:bodyPr>
                      </wps:wsp>
                    </wpg:wgp>
                  </a:graphicData>
                </a:graphic>
              </wp:inline>
            </w:drawing>
          </mc:Choice>
          <mc:Fallback>
            <w:pict>
              <v:group w14:anchorId="34996D86" id="Group 11" o:spid="_x0000_s1026" style="width:264.6pt;height:255.3pt;mso-position-horizontal-relative:char;mso-position-vertical-relative:line" coordorigin="-797,191" coordsize="33687,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">
                <v:shapetype id="_x0000_t109" coordsize="21600,21600" o:spt="109" path="m,l,21600r21600,l21600,xe">
                  <v:stroke joinstyle="miter"/>
                  <v:path gradientshapeok="t" o:connecttype="rect"/>
                </v:shapetype>
                <v:shape id="Organigramme : Processus 32" o:spid="_x0000_s1027" type="#_x0000_t109" style="position:absolute;left:13531;top:191;width:12725;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" filled="f" strokecolor="windowText" strokeweight="1pt">
                  <v:textbox>
                    <w:txbxContent>
                      <w:p w14:paraId="65F79BA2" w14:textId="77777777" w:rsidR="007F6101" w:rsidRPr="007F6101" w:rsidRDefault="007F6101" w:rsidP="007F6101">
                        <w:pPr>
                          <w:pStyle w:val="SingleTxtGR"/>
                          <w:tabs>
                            <w:tab w:val="clear" w:pos="1701"/>
                          </w:tabs>
                          <w:spacing w:after="0" w:line="240" w:lineRule="auto"/>
                          <w:ind w:left="0" w:right="0"/>
                          <w:jc w:val="center"/>
                          <w:rPr>
                            <w:sz w:val="18"/>
                            <w:szCs w:val="18"/>
                            <w:lang w:val="fr-CH"/>
                          </w:rPr>
                        </w:pPr>
                        <w:r>
                          <w:rPr>
                            <w:sz w:val="18"/>
                            <w:szCs w:val="18"/>
                            <w:lang w:val="fr-CH"/>
                          </w:rPr>
                          <w:t>Début de l’essai</w:t>
                        </w:r>
                      </w:p>
                    </w:txbxContent>
                  </v:textbox>
                </v:shape>
                <v:shape id="Organigramme : Processus 33" o:spid="_x0000_s1028" type="#_x0000_t109" style="position:absolute;left:9205;top:4163;width:21446;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" filled="f" strokecolor="windowText" strokeweight="1pt">
                  <v:textbox>
                    <w:txbxContent>
                      <w:p w14:paraId="011B32D9" w14:textId="77777777" w:rsidR="007F6101" w:rsidRPr="007F6101" w:rsidRDefault="007F6101"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Choix d’un nouvel échantillon </w:t>
                        </w:r>
                        <w:r>
                          <w:rPr>
                            <w:sz w:val="18"/>
                            <w:szCs w:val="18"/>
                            <w:lang w:val="fr-CH"/>
                          </w:rPr>
                          <w:br/>
                          <w:t xml:space="preserve">de </w:t>
                        </w:r>
                        <w:r>
                          <w:rPr>
                            <w:sz w:val="18"/>
                            <w:szCs w:val="18"/>
                            <w:lang w:val="fr-CH"/>
                          </w:rPr>
                          <w:t>canister</w:t>
                        </w:r>
                      </w:p>
                    </w:txbxContent>
                  </v:textbox>
                </v:shape>
                <v:shape id="Organigramme : Processus 34" o:spid="_x0000_s1029" type="#_x0000_t109" style="position:absolute;left:6989;top:9764;width:25893;height: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" filled="f" strokecolor="windowText" strokeweight="1pt">
                  <v:textbox>
                    <w:txbxContent>
                      <w:p w14:paraId="7336AA0E" w14:textId="77777777" w:rsidR="007F6101" w:rsidRPr="007F6101" w:rsidRDefault="007F6101"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5.1.1 Vieillissement par exposition </w:t>
                        </w:r>
                        <w:r>
                          <w:rPr>
                            <w:sz w:val="18"/>
                            <w:szCs w:val="18"/>
                            <w:lang w:val="fr-CH"/>
                          </w:rPr>
                          <w:br/>
                          <w:t>à des cycles de température</w:t>
                        </w:r>
                      </w:p>
                    </w:txbxContent>
                  </v:textbox>
                </v:shape>
                <v:shape id="Organigramme : Processus 35" o:spid="_x0000_s1030" type="#_x0000_t109" style="position:absolute;left:6966;top:19019;width:25923;height:6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" filled="f" strokecolor="windowText" strokeweight="1pt">
                  <v:textbox>
                    <w:txbxContent>
                      <w:p w14:paraId="55400186" w14:textId="77777777" w:rsidR="007F6101" w:rsidRPr="00C02EF1" w:rsidRDefault="00C02EF1"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5.1.2 Vieillissement par exposition </w:t>
                        </w:r>
                        <w:r>
                          <w:rPr>
                            <w:sz w:val="18"/>
                            <w:szCs w:val="18"/>
                            <w:lang w:val="fr-CH"/>
                          </w:rPr>
                          <w:br/>
                          <w:t>aux vibrations</w:t>
                        </w:r>
                      </w:p>
                    </w:txbxContent>
                  </v:textbox>
                </v:shape>
                <v:shape id="Organigramme : Processus 42" o:spid="_x0000_s1031"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" filled="f" strokecolor="windowText" strokeweight="1pt">
                  <v:textbox>
                    <w:txbxContent>
                      <w:p w14:paraId="4951D483" w14:textId="77777777" w:rsidR="007F6101" w:rsidRPr="00C02EF1" w:rsidRDefault="00C02EF1"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5.1.3 Vieillissement par exposition </w:t>
                        </w:r>
                        <w:r>
                          <w:rPr>
                            <w:sz w:val="18"/>
                            <w:szCs w:val="18"/>
                            <w:lang w:val="fr-CH"/>
                          </w:rPr>
                          <w:br/>
                          <w:t xml:space="preserve">aux vapeurs de carburant </w:t>
                        </w:r>
                        <w:r>
                          <w:rPr>
                            <w:sz w:val="18"/>
                            <w:szCs w:val="18"/>
                            <w:lang w:val="fr-CH"/>
                          </w:rPr>
                          <w:br/>
                          <w:t>et détermination de la valeur BWC 300</w:t>
                        </w:r>
                      </w:p>
                    </w:txbxContent>
                  </v:textbox>
                </v:shape>
                <v:line id="Connecteur droit 45" o:spid="_x0000_s1032" style="position:absolute;visibility:visible;mso-wrap-style:square" from="19928,8640"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" strokecolor="windowText" strokeweight=".5pt">
                  <v:stroke joinstyle="miter"/>
                </v:line>
                <v:line id="Connecteur droit 46" o:spid="_x0000_s1033" style="position:absolute;flip:x;visibility:visible;mso-wrap-style:square" from="19928,16938" to="19935,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" strokecolor="windowText" strokeweight=".5pt">
                  <v:stroke joinstyle="miter"/>
                </v:line>
                <v:shapetype id="_x0000_t202" coordsize="21600,21600" o:spt="202" path="m,l,21600r21600,l21600,xe">
                  <v:stroke joinstyle="miter"/>
                  <v:path gradientshapeok="t" o:connecttype="rect"/>
                </v:shapetype>
                <v:shape id="ZoneTexte 61" o:spid="_x0000_s1034" type="#_x0000_t202" style="position:absolute;left:3987;top:9764;width:2610;height: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7095FD9F" w14:textId="77777777" w:rsidR="007F6101" w:rsidRPr="00BA7888" w:rsidRDefault="007F6101" w:rsidP="007F6101">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v:textbox>
                </v:shape>
                <v:line id="Connecteur droit 46" o:spid="_x0000_s1035" style="position:absolute;visibility:visible;mso-wrap-style:square" from="19928,25555" to="19935,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" strokecolor="windowText" strokeweight=".5pt">
                  <v:stroke joinstyle="miter"/>
                </v:line>
                <v:shape id="ZoneTexte 63" o:spid="_x0000_s1036" type="#_x0000_t202" style="position:absolute;left:-797;top:12791;width:720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4ED3B68E" w14:textId="77777777" w:rsidR="007F6101" w:rsidRPr="007F6101" w:rsidRDefault="007F6101" w:rsidP="007F6101">
                        <w:pPr>
                          <w:pStyle w:val="SingleTxtGR"/>
                          <w:tabs>
                            <w:tab w:val="clear" w:pos="1701"/>
                          </w:tabs>
                          <w:spacing w:after="0" w:line="240" w:lineRule="auto"/>
                          <w:ind w:left="0" w:right="0"/>
                          <w:jc w:val="left"/>
                          <w:rPr>
                            <w:sz w:val="18"/>
                            <w:szCs w:val="18"/>
                            <w:lang w:val="fr-CH"/>
                          </w:rPr>
                        </w:pPr>
                        <w:r w:rsidRPr="00680148">
                          <w:rPr>
                            <w:sz w:val="18"/>
                            <w:szCs w:val="18"/>
                          </w:rPr>
                          <w:t>50</w:t>
                        </w:r>
                        <w:r w:rsidRPr="00680148">
                          <w:rPr>
                            <w:rFonts w:hint="eastAsia"/>
                            <w:sz w:val="18"/>
                            <w:szCs w:val="18"/>
                          </w:rPr>
                          <w:t xml:space="preserve"> </w:t>
                        </w:r>
                        <w:r>
                          <w:rPr>
                            <w:sz w:val="18"/>
                            <w:szCs w:val="18"/>
                            <w:lang w:val="fr-CH"/>
                          </w:rPr>
                          <w:t>fois</w:t>
                        </w:r>
                      </w:p>
                    </w:txbxContent>
                  </v:textbox>
                </v:shape>
                <w10:anchorlock/>
              </v:group>
            </w:pict>
          </mc:Fallback>
        </mc:AlternateContent>
      </w:r>
    </w:p>
    <w:p w14:paraId="6A9B7169" w14:textId="77777777" w:rsidR="00FC359D" w:rsidRPr="004156C2" w:rsidRDefault="00FC359D" w:rsidP="00FC359D">
      <w:pPr>
        <w:pStyle w:val="SingleTxtG"/>
        <w:keepNext/>
        <w:keepLines/>
        <w:ind w:left="2268" w:hanging="1134"/>
        <w:rPr>
          <w:lang w:val="fr-FR"/>
        </w:rPr>
      </w:pPr>
      <w:r w:rsidRPr="004156C2">
        <w:rPr>
          <w:lang w:val="fr-FR"/>
        </w:rPr>
        <w:lastRenderedPageBreak/>
        <w:t>5.1.1</w:t>
      </w:r>
      <w:r w:rsidRPr="004156C2">
        <w:rPr>
          <w:lang w:val="fr-FR"/>
        </w:rPr>
        <w:tab/>
      </w:r>
      <w:r w:rsidRPr="004156C2">
        <w:t>Vieillissement</w:t>
      </w:r>
      <w:r w:rsidRPr="004156C2">
        <w:rPr>
          <w:lang w:val="fr-FR"/>
        </w:rPr>
        <w:t xml:space="preserve"> par exposition à des cycles de température</w:t>
      </w:r>
    </w:p>
    <w:p w14:paraId="685AC500" w14:textId="77777777" w:rsidR="00FC359D" w:rsidRPr="004156C2" w:rsidRDefault="00FC359D" w:rsidP="00FC359D">
      <w:pPr>
        <w:pStyle w:val="SingleTxtG"/>
        <w:keepNext/>
        <w:ind w:left="2268"/>
        <w:rPr>
          <w:lang w:val="fr-FR"/>
        </w:rPr>
      </w:pPr>
      <w:r w:rsidRPr="004156C2">
        <w:rPr>
          <w:lang w:val="fr-FR"/>
        </w:rPr>
        <w:t xml:space="preserve">Le </w:t>
      </w:r>
      <w:proofErr w:type="spellStart"/>
      <w:r w:rsidRPr="004156C2">
        <w:rPr>
          <w:lang w:val="fr-FR"/>
        </w:rPr>
        <w:t>canister</w:t>
      </w:r>
      <w:proofErr w:type="spellEnd"/>
      <w:r w:rsidRPr="004156C2">
        <w:rPr>
          <w:lang w:val="fr-FR"/>
        </w:rPr>
        <w:t xml:space="preserve"> doit être soumis à des cycles de température variant entre -15 °C et 60 °C dans une enceinte à température réglée avec un temps de stabilisation de 30 mn à -15 °C et 60 °C. Chaque cycle doit durer 210 mn (voir la figure A1/2).</w:t>
      </w:r>
    </w:p>
    <w:p w14:paraId="7D447480" w14:textId="77777777" w:rsidR="00FC359D" w:rsidRPr="004156C2" w:rsidRDefault="00FC359D" w:rsidP="00FC359D">
      <w:pPr>
        <w:pStyle w:val="SingleTxtG"/>
        <w:ind w:left="2268"/>
        <w:rPr>
          <w:lang w:val="fr-FR"/>
        </w:rPr>
      </w:pPr>
      <w:r w:rsidRPr="004156C2">
        <w:rPr>
          <w:lang w:val="fr-FR"/>
        </w:rPr>
        <w:t xml:space="preserve">Le gradient de température doit être aussi proche que possible de 1 °C/mn. Aucun </w:t>
      </w:r>
      <w:r>
        <w:rPr>
          <w:lang w:val="fr-FR"/>
        </w:rPr>
        <w:t>flux</w:t>
      </w:r>
      <w:r w:rsidRPr="004156C2">
        <w:rPr>
          <w:lang w:val="fr-FR"/>
        </w:rPr>
        <w:t xml:space="preserve"> d’air forcé ne doit traverser le </w:t>
      </w:r>
      <w:proofErr w:type="spellStart"/>
      <w:r w:rsidRPr="004156C2">
        <w:rPr>
          <w:lang w:val="fr-FR"/>
        </w:rPr>
        <w:t>canister</w:t>
      </w:r>
      <w:proofErr w:type="spellEnd"/>
      <w:r w:rsidRPr="004156C2">
        <w:rPr>
          <w:lang w:val="fr-FR"/>
        </w:rPr>
        <w:t>.</w:t>
      </w:r>
    </w:p>
    <w:p w14:paraId="46365B18" w14:textId="77777777" w:rsidR="00FC359D" w:rsidRPr="004156C2" w:rsidRDefault="00FC359D" w:rsidP="00FC359D">
      <w:pPr>
        <w:pStyle w:val="SingleTxtG"/>
        <w:ind w:left="2268"/>
        <w:rPr>
          <w:lang w:val="fr-FR"/>
        </w:rPr>
      </w:pPr>
      <w:r w:rsidRPr="004156C2">
        <w:rPr>
          <w:lang w:val="fr-FR"/>
        </w:rPr>
        <w:t>Le cycle doit être répété 50 fois de suite. Au total, la durée de cette procédure est de 175 h.</w:t>
      </w:r>
    </w:p>
    <w:p w14:paraId="2E5186A8" w14:textId="77777777" w:rsidR="00FC359D" w:rsidRPr="00FB1B73" w:rsidRDefault="00FC359D" w:rsidP="00FC359D">
      <w:pPr>
        <w:pStyle w:val="Heading1"/>
        <w:spacing w:after="120"/>
        <w:rPr>
          <w:b/>
          <w:lang w:val="fr-FR"/>
        </w:rPr>
      </w:pPr>
      <w:r w:rsidRPr="004156C2">
        <w:rPr>
          <w:lang w:val="fr-FR"/>
        </w:rPr>
        <w:t>Figure A1/2</w:t>
      </w:r>
      <w:r w:rsidR="0086395D">
        <w:rPr>
          <w:lang w:val="fr-FR"/>
        </w:rPr>
        <w:t xml:space="preserve"> </w:t>
      </w:r>
      <w:r w:rsidRPr="004156C2">
        <w:rPr>
          <w:lang w:val="fr-FR"/>
        </w:rPr>
        <w:br/>
      </w:r>
      <w:r w:rsidRPr="00FB1B73">
        <w:rPr>
          <w:b/>
          <w:lang w:val="fr-FR"/>
        </w:rPr>
        <w:t>Cycle de conditionnement en température</w:t>
      </w:r>
    </w:p>
    <w:p w14:paraId="08A793D5" w14:textId="77777777" w:rsidR="00FC359D" w:rsidRPr="004156C2" w:rsidRDefault="00FC359D" w:rsidP="00FC359D">
      <w:pPr>
        <w:kinsoku/>
        <w:overflowPunct/>
        <w:autoSpaceDE/>
        <w:autoSpaceDN/>
        <w:adjustRightInd/>
        <w:snapToGrid/>
        <w:spacing w:after="240"/>
        <w:ind w:left="1134" w:right="1134"/>
        <w:jc w:val="both"/>
        <w:rPr>
          <w:rFonts w:eastAsia="MS Mincho"/>
          <w:lang w:val="fr-FR"/>
        </w:rPr>
      </w:pPr>
      <w:r w:rsidRPr="004156C2">
        <w:rPr>
          <w:rFonts w:eastAsia="MS Mincho"/>
          <w:noProof/>
          <w:lang w:val="fr-FR" w:eastAsia="fr-FR"/>
        </w:rPr>
        <mc:AlternateContent>
          <mc:Choice Requires="wps">
            <w:drawing>
              <wp:anchor distT="0" distB="0" distL="114300" distR="114300" simplePos="0" relativeHeight="251655168" behindDoc="0" locked="0" layoutInCell="1" allowOverlap="1" wp14:anchorId="3FA83BFD" wp14:editId="1EB53B41">
                <wp:simplePos x="0" y="0"/>
                <wp:positionH relativeFrom="column">
                  <wp:posOffset>2285204</wp:posOffset>
                </wp:positionH>
                <wp:positionV relativeFrom="paragraph">
                  <wp:posOffset>23495</wp:posOffset>
                </wp:positionV>
                <wp:extent cx="1962150" cy="139065"/>
                <wp:effectExtent l="0" t="0" r="0" b="13335"/>
                <wp:wrapNone/>
                <wp:docPr id="54" name="Zone de texte 54"/>
                <wp:cNvGraphicFramePr/>
                <a:graphic xmlns:a="http://schemas.openxmlformats.org/drawingml/2006/main">
                  <a:graphicData uri="http://schemas.microsoft.com/office/word/2010/wordprocessingShape">
                    <wps:wsp>
                      <wps:cNvSpPr txBox="1"/>
                      <wps:spPr>
                        <a:xfrm>
                          <a:off x="0" y="0"/>
                          <a:ext cx="1962150" cy="139065"/>
                        </a:xfrm>
                        <a:prstGeom prst="rect">
                          <a:avLst/>
                        </a:prstGeom>
                        <a:noFill/>
                        <a:ln w="6350">
                          <a:noFill/>
                        </a:ln>
                        <a:effectLst/>
                      </wps:spPr>
                      <wps:txbx>
                        <w:txbxContent>
                          <w:p w14:paraId="1896D40D" w14:textId="77777777" w:rsidR="007F6101" w:rsidRPr="00501550" w:rsidRDefault="007F6101" w:rsidP="00FC359D">
                            <w:pPr>
                              <w:spacing w:line="200" w:lineRule="exact"/>
                              <w:rPr>
                                <w:sz w:val="16"/>
                                <w:szCs w:val="16"/>
                              </w:rPr>
                            </w:pPr>
                            <w:r w:rsidRPr="00501550">
                              <w:rPr>
                                <w:sz w:val="16"/>
                                <w:szCs w:val="16"/>
                              </w:rPr>
                              <w:t>Température (°C) en fonction du temps (mn)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83BFD" id="Zone de texte 54" o:spid="_x0000_s1037" type="#_x0000_t202" style="position:absolute;left:0;text-align:left;margin-left:179.95pt;margin-top:1.85pt;width:154.5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" filled="f" stroked="f" strokeweight=".5pt">
                <v:textbox inset="0,0,0,0">
                  <w:txbxContent>
                    <w:p w14:paraId="1896D40D" w14:textId="77777777" w:rsidR="007F6101" w:rsidRPr="00501550" w:rsidRDefault="007F6101" w:rsidP="00FC359D">
                      <w:pPr>
                        <w:spacing w:line="200" w:lineRule="exact"/>
                        <w:rPr>
                          <w:sz w:val="16"/>
                          <w:szCs w:val="16"/>
                        </w:rPr>
                      </w:pPr>
                      <w:r w:rsidRPr="00501550">
                        <w:rPr>
                          <w:sz w:val="16"/>
                          <w:szCs w:val="16"/>
                        </w:rPr>
                        <w:t>Température (°C) en fonction du temps (mn)</w:t>
                      </w:r>
                    </w:p>
                  </w:txbxContent>
                </v:textbox>
              </v:shape>
            </w:pict>
          </mc:Fallback>
        </mc:AlternateContent>
      </w:r>
      <w:r w:rsidRPr="004156C2">
        <w:rPr>
          <w:rFonts w:eastAsia="MS Mincho"/>
          <w:noProof/>
          <w:lang w:val="fr-FR" w:eastAsia="fr-FR"/>
        </w:rPr>
        <w:drawing>
          <wp:inline distT="0" distB="0" distL="0" distR="0" wp14:anchorId="367FE076" wp14:editId="29AEFC44">
            <wp:extent cx="4753484" cy="2907716"/>
            <wp:effectExtent l="0" t="0" r="9525"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2463" cy="2925443"/>
                    </a:xfrm>
                    <a:prstGeom prst="rect">
                      <a:avLst/>
                    </a:prstGeom>
                    <a:noFill/>
                    <a:ln>
                      <a:noFill/>
                    </a:ln>
                  </pic:spPr>
                </pic:pic>
              </a:graphicData>
            </a:graphic>
          </wp:inline>
        </w:drawing>
      </w:r>
    </w:p>
    <w:p w14:paraId="1FDEF9B8" w14:textId="77777777" w:rsidR="00FC359D" w:rsidRPr="004156C2" w:rsidRDefault="00FC359D" w:rsidP="00FC359D">
      <w:pPr>
        <w:pStyle w:val="SingleTxtG"/>
        <w:ind w:left="2268" w:hanging="1134"/>
        <w:rPr>
          <w:rFonts w:eastAsia="MS Mincho"/>
          <w:lang w:val="fr-FR"/>
        </w:rPr>
      </w:pPr>
      <w:r w:rsidRPr="004156C2">
        <w:rPr>
          <w:rFonts w:eastAsia="MS Mincho"/>
          <w:lang w:val="fr-FR"/>
        </w:rPr>
        <w:t>5.1.2</w:t>
      </w:r>
      <w:r w:rsidRPr="004156C2">
        <w:rPr>
          <w:rFonts w:eastAsia="MS Mincho"/>
          <w:lang w:val="fr-FR"/>
        </w:rPr>
        <w:tab/>
        <w:t>Vieillissement par exposition aux vibrations</w:t>
      </w:r>
    </w:p>
    <w:p w14:paraId="481EC92E" w14:textId="77777777" w:rsidR="00FC359D" w:rsidRPr="004156C2" w:rsidRDefault="00FC359D" w:rsidP="00FC359D">
      <w:pPr>
        <w:pStyle w:val="SingleTxtG"/>
        <w:ind w:left="2268"/>
        <w:rPr>
          <w:rFonts w:eastAsia="MS Mincho"/>
          <w:lang w:val="fr-FR"/>
        </w:rPr>
      </w:pPr>
      <w:r w:rsidRPr="004156C2">
        <w:rPr>
          <w:rFonts w:eastAsia="MS Mincho"/>
          <w:lang w:val="fr-FR"/>
        </w:rPr>
        <w:t xml:space="preserve">Après avoir été conditionné en température, le </w:t>
      </w:r>
      <w:proofErr w:type="spellStart"/>
      <w:r w:rsidRPr="004156C2">
        <w:rPr>
          <w:rFonts w:eastAsia="MS Mincho"/>
          <w:lang w:val="fr-FR"/>
        </w:rPr>
        <w:t>canister</w:t>
      </w:r>
      <w:proofErr w:type="spellEnd"/>
      <w:r w:rsidRPr="004156C2">
        <w:rPr>
          <w:rFonts w:eastAsia="MS Mincho"/>
          <w:lang w:val="fr-FR"/>
        </w:rPr>
        <w:t xml:space="preserve">, monté selon son orientation sur le véhicule, doit être soumis à des vibrations verticales, à une accélération globale </w:t>
      </w:r>
      <w:proofErr w:type="spellStart"/>
      <w:r w:rsidRPr="004156C2">
        <w:rPr>
          <w:rFonts w:eastAsia="MS Mincho"/>
          <w:lang w:val="fr-FR"/>
        </w:rPr>
        <w:t>Grms</w:t>
      </w:r>
      <w:proofErr w:type="spellEnd"/>
      <w:r w:rsidRPr="004156C2">
        <w:rPr>
          <w:rFonts w:eastAsia="MS Mincho"/>
          <w:lang w:val="fr-FR"/>
        </w:rPr>
        <w:t> </w:t>
      </w:r>
      <w:r>
        <w:rPr>
          <w:rFonts w:eastAsia="MS Mincho"/>
          <w:lang w:val="fr-FR"/>
        </w:rPr>
        <w:t xml:space="preserve">(accélération quadratique moyenne) </w:t>
      </w:r>
      <w:r w:rsidRPr="004156C2">
        <w:rPr>
          <w:rFonts w:eastAsia="MS Mincho"/>
          <w:lang w:val="fr-FR"/>
        </w:rPr>
        <w:t>&gt; 1,5 m/s</w:t>
      </w:r>
      <w:r w:rsidRPr="004156C2">
        <w:rPr>
          <w:rFonts w:eastAsia="MS Mincho"/>
          <w:vertAlign w:val="superscript"/>
          <w:lang w:val="fr-FR"/>
        </w:rPr>
        <w:t>2</w:t>
      </w:r>
      <w:r w:rsidRPr="004156C2">
        <w:rPr>
          <w:rFonts w:eastAsia="MS Mincho"/>
          <w:lang w:val="fr-FR"/>
        </w:rPr>
        <w:t xml:space="preserve"> et une fréquence de 30 </w:t>
      </w:r>
      <w:r w:rsidRPr="004156C2">
        <w:rPr>
          <w:rFonts w:eastAsia="MS Mincho"/>
          <w:lang w:val="fr-FR"/>
        </w:rPr>
        <w:sym w:font="Symbol" w:char="F0B1"/>
      </w:r>
      <w:r w:rsidRPr="004156C2">
        <w:rPr>
          <w:rFonts w:eastAsia="MS Mincho"/>
          <w:lang w:val="fr-FR"/>
        </w:rPr>
        <w:t> 10 Hz. L’essai doit durer 12 h.</w:t>
      </w:r>
    </w:p>
    <w:p w14:paraId="6018D289" w14:textId="77777777" w:rsidR="00FC359D" w:rsidRPr="004156C2" w:rsidRDefault="00FC359D" w:rsidP="00FC359D">
      <w:pPr>
        <w:pStyle w:val="SingleTxtG"/>
        <w:ind w:left="2268" w:hanging="1134"/>
        <w:rPr>
          <w:rFonts w:eastAsia="MS Mincho"/>
          <w:lang w:val="fr-FR"/>
        </w:rPr>
      </w:pPr>
      <w:r w:rsidRPr="004156C2">
        <w:rPr>
          <w:rFonts w:eastAsia="MS Mincho"/>
          <w:lang w:val="fr-FR"/>
        </w:rPr>
        <w:t>5.1.3</w:t>
      </w:r>
      <w:r w:rsidRPr="004156C2">
        <w:rPr>
          <w:rFonts w:eastAsia="MS Mincho"/>
          <w:lang w:val="fr-FR"/>
        </w:rPr>
        <w:tab/>
        <w:t>Vieillissement par exposition aux vapeurs de carburant</w:t>
      </w:r>
      <w:r>
        <w:rPr>
          <w:rFonts w:eastAsia="MS Mincho"/>
          <w:lang w:val="fr-FR"/>
        </w:rPr>
        <w:t xml:space="preserve"> et détermination de la valeur BWC 300</w:t>
      </w:r>
    </w:p>
    <w:p w14:paraId="3351B008" w14:textId="77777777" w:rsidR="00FC359D" w:rsidRPr="004156C2" w:rsidRDefault="00FC359D" w:rsidP="00FC359D">
      <w:pPr>
        <w:pStyle w:val="SingleTxtG"/>
        <w:ind w:left="2268" w:hanging="1134"/>
        <w:rPr>
          <w:rFonts w:eastAsia="MS Mincho"/>
          <w:lang w:val="fr-FR"/>
        </w:rPr>
      </w:pPr>
      <w:r w:rsidRPr="004156C2">
        <w:rPr>
          <w:rFonts w:eastAsia="MS Mincho"/>
          <w:lang w:val="fr-FR"/>
        </w:rPr>
        <w:t>5.1.3.1</w:t>
      </w:r>
      <w:r w:rsidRPr="004156C2">
        <w:rPr>
          <w:rFonts w:eastAsia="MS Mincho"/>
          <w:lang w:val="fr-FR"/>
        </w:rPr>
        <w:tab/>
        <w:t>Cette étape consiste en une succession de charges à la vapeur de carburant et de purges à l’air du laboratoire.</w:t>
      </w:r>
    </w:p>
    <w:p w14:paraId="5FDAE9B6" w14:textId="77777777" w:rsidR="00312EE0" w:rsidRPr="004156C2" w:rsidRDefault="00FC359D" w:rsidP="00312EE0">
      <w:pPr>
        <w:pStyle w:val="SingleTxtG"/>
        <w:ind w:left="2268" w:hanging="1134"/>
        <w:rPr>
          <w:rFonts w:eastAsia="MS Mincho"/>
          <w:lang w:val="fr-FR"/>
        </w:rPr>
      </w:pPr>
      <w:r w:rsidRPr="004156C2">
        <w:rPr>
          <w:rFonts w:eastAsia="MS Mincho"/>
          <w:lang w:val="fr-FR"/>
        </w:rPr>
        <w:t>5.1.3.1.1</w:t>
      </w:r>
      <w:r w:rsidRPr="004156C2">
        <w:rPr>
          <w:rFonts w:eastAsia="MS Mincho"/>
          <w:lang w:val="fr-FR"/>
        </w:rPr>
        <w:tab/>
        <w:t>Après le vieillissement</w:t>
      </w:r>
      <w:r w:rsidR="00312EE0">
        <w:rPr>
          <w:rFonts w:eastAsia="MS Mincho"/>
          <w:lang w:val="fr-FR"/>
        </w:rPr>
        <w:t xml:space="preserve"> </w:t>
      </w:r>
      <w:r w:rsidR="00312EE0" w:rsidRPr="004156C2">
        <w:rPr>
          <w:rFonts w:eastAsia="MS Mincho"/>
          <w:lang w:val="fr-FR"/>
        </w:rPr>
        <w:t xml:space="preserve">thermique et le vieillissement par exposition aux vibrations, le </w:t>
      </w:r>
      <w:proofErr w:type="spellStart"/>
      <w:r w:rsidR="00312EE0" w:rsidRPr="004156C2">
        <w:rPr>
          <w:rFonts w:eastAsia="MS Mincho"/>
          <w:lang w:val="fr-FR"/>
        </w:rPr>
        <w:t>canister</w:t>
      </w:r>
      <w:proofErr w:type="spellEnd"/>
      <w:r w:rsidR="00312EE0" w:rsidRPr="004156C2">
        <w:rPr>
          <w:rFonts w:eastAsia="MS Mincho"/>
          <w:lang w:val="fr-FR"/>
        </w:rPr>
        <w:t xml:space="preserve"> doit subir un vieillissement supplémentaire avec un mélange constitué d’un carburant du march</w:t>
      </w:r>
      <w:r w:rsidR="00312EE0">
        <w:rPr>
          <w:rFonts w:eastAsia="MS Mincho"/>
          <w:lang w:val="fr-FR"/>
        </w:rPr>
        <w:t>é, comme indiqué au paragraphe </w:t>
      </w:r>
      <w:r w:rsidR="00312EE0" w:rsidRPr="004156C2">
        <w:rPr>
          <w:rFonts w:eastAsia="MS Mincho"/>
          <w:lang w:val="fr-FR"/>
        </w:rPr>
        <w:t>5.1.3.1.1.1 de la présente annexe, et d’azote ou d’air avec un volume de vapeur de 50 </w:t>
      </w:r>
      <w:r w:rsidR="00312EE0" w:rsidRPr="004156C2">
        <w:rPr>
          <w:rFonts w:eastAsia="MS Mincho"/>
          <w:lang w:val="fr-FR"/>
        </w:rPr>
        <w:sym w:font="Symbol" w:char="F0B1"/>
      </w:r>
      <w:r w:rsidR="00312EE0" w:rsidRPr="004156C2">
        <w:rPr>
          <w:rFonts w:eastAsia="MS Mincho"/>
          <w:lang w:val="fr-FR"/>
        </w:rPr>
        <w:t> 15 %. Le débit de remplissage en vapeur de carburant doit être de 60 </w:t>
      </w:r>
      <w:r w:rsidR="00312EE0" w:rsidRPr="004156C2">
        <w:rPr>
          <w:rFonts w:eastAsia="MS Mincho"/>
          <w:lang w:val="fr-FR"/>
        </w:rPr>
        <w:sym w:font="Symbol" w:char="F0B1"/>
      </w:r>
      <w:r w:rsidR="00312EE0" w:rsidRPr="004156C2">
        <w:rPr>
          <w:rFonts w:eastAsia="MS Mincho"/>
          <w:lang w:val="fr-FR"/>
        </w:rPr>
        <w:t> 20 g/h.</w:t>
      </w:r>
    </w:p>
    <w:p w14:paraId="6C44DDE8" w14:textId="77777777" w:rsidR="00312EE0" w:rsidRPr="004156C2" w:rsidRDefault="00312EE0" w:rsidP="00312EE0">
      <w:pPr>
        <w:pStyle w:val="SingleTxtG"/>
        <w:ind w:left="2268" w:hanging="1134"/>
        <w:rPr>
          <w:rFonts w:eastAsia="MS Mincho"/>
          <w:lang w:val="fr-FR"/>
        </w:rPr>
      </w:pPr>
      <w:r w:rsidRPr="00260421">
        <w:rPr>
          <w:lang w:val="fr-FR"/>
        </w:rPr>
        <w:tab/>
        <w:t xml:space="preserve">Le </w:t>
      </w:r>
      <w:proofErr w:type="spellStart"/>
      <w:r w:rsidRPr="00260421">
        <w:rPr>
          <w:lang w:val="fr-FR"/>
        </w:rPr>
        <w:t>canister</w:t>
      </w:r>
      <w:proofErr w:type="spellEnd"/>
      <w:r w:rsidRPr="00260421">
        <w:rPr>
          <w:lang w:val="fr-FR"/>
        </w:rPr>
        <w:t xml:space="preserve"> doit être chargé jusqu’à atteindre une percée de 2 g. À titre de variante, on considère que la charge est complète lorsque le niveau de concentration en hydrocarbures à la sortie de l’évent atteint 3 000 ppm.</w:t>
      </w:r>
    </w:p>
    <w:p w14:paraId="2901F19D" w14:textId="77777777" w:rsidR="00312EE0" w:rsidRPr="004156C2" w:rsidRDefault="00312EE0" w:rsidP="00312EE0">
      <w:pPr>
        <w:pStyle w:val="SingleTxtG"/>
        <w:keepNext/>
        <w:ind w:left="2268" w:hanging="1134"/>
        <w:rPr>
          <w:rFonts w:eastAsia="MS Mincho"/>
          <w:lang w:val="fr-FR"/>
        </w:rPr>
      </w:pPr>
      <w:r w:rsidRPr="00260421">
        <w:rPr>
          <w:lang w:val="fr-FR"/>
        </w:rPr>
        <w:t>5.1.3.1.</w:t>
      </w:r>
      <w:r>
        <w:rPr>
          <w:lang w:val="fr-FR"/>
        </w:rPr>
        <w:t>1.1</w:t>
      </w:r>
      <w:r w:rsidRPr="004156C2">
        <w:rPr>
          <w:rFonts w:eastAsia="MS Mincho"/>
          <w:lang w:val="fr-FR"/>
        </w:rPr>
        <w:tab/>
        <w:t>Le carburant du commerce utilisé pour cet essai doit satisfaire aux mêmes spécifications qu’un carburant de référence quant à :</w:t>
      </w:r>
    </w:p>
    <w:p w14:paraId="4A9ECFE7" w14:textId="77777777" w:rsidR="00312EE0" w:rsidRPr="004156C2" w:rsidRDefault="00312EE0" w:rsidP="00312EE0">
      <w:pPr>
        <w:pStyle w:val="SingleTxtG"/>
        <w:ind w:left="2835" w:hanging="567"/>
        <w:rPr>
          <w:lang w:val="fr-FR"/>
        </w:rPr>
      </w:pPr>
      <w:r w:rsidRPr="004156C2">
        <w:rPr>
          <w:lang w:val="fr-FR"/>
        </w:rPr>
        <w:t>a)</w:t>
      </w:r>
      <w:r w:rsidRPr="004156C2">
        <w:rPr>
          <w:lang w:val="fr-FR"/>
        </w:rPr>
        <w:tab/>
        <w:t>La densité à 15 °C ;</w:t>
      </w:r>
    </w:p>
    <w:p w14:paraId="499AAFC7" w14:textId="77777777" w:rsidR="00312EE0" w:rsidRPr="004156C2" w:rsidRDefault="00312EE0" w:rsidP="00312EE0">
      <w:pPr>
        <w:pStyle w:val="SingleTxtG"/>
        <w:ind w:left="2835" w:hanging="567"/>
        <w:rPr>
          <w:lang w:val="fr-FR"/>
        </w:rPr>
      </w:pPr>
      <w:r w:rsidRPr="004156C2">
        <w:rPr>
          <w:lang w:val="fr-FR"/>
        </w:rPr>
        <w:t>b)</w:t>
      </w:r>
      <w:r w:rsidRPr="004156C2">
        <w:rPr>
          <w:lang w:val="fr-FR"/>
        </w:rPr>
        <w:tab/>
        <w:t>La pression de vapeur ;</w:t>
      </w:r>
    </w:p>
    <w:p w14:paraId="4E563D7C" w14:textId="77777777" w:rsidR="00312EE0" w:rsidRPr="004156C2" w:rsidRDefault="00312EE0" w:rsidP="00312EE0">
      <w:pPr>
        <w:pStyle w:val="SingleTxtG"/>
        <w:ind w:left="2835" w:hanging="567"/>
        <w:rPr>
          <w:lang w:val="fr-FR"/>
        </w:rPr>
      </w:pPr>
      <w:r w:rsidRPr="004156C2">
        <w:rPr>
          <w:lang w:val="fr-FR"/>
        </w:rPr>
        <w:lastRenderedPageBreak/>
        <w:t>c)</w:t>
      </w:r>
      <w:r w:rsidRPr="004156C2">
        <w:rPr>
          <w:lang w:val="fr-FR"/>
        </w:rPr>
        <w:tab/>
        <w:t>Les températures de distillation (70</w:t>
      </w:r>
      <w:r>
        <w:rPr>
          <w:lang w:val="fr-FR"/>
        </w:rPr>
        <w:t> °</w:t>
      </w:r>
      <w:r w:rsidRPr="004156C2">
        <w:rPr>
          <w:lang w:val="fr-FR"/>
        </w:rPr>
        <w:t>C, 100</w:t>
      </w:r>
      <w:r>
        <w:rPr>
          <w:lang w:val="fr-FR"/>
        </w:rPr>
        <w:t> °</w:t>
      </w:r>
      <w:r w:rsidRPr="004156C2">
        <w:rPr>
          <w:lang w:val="fr-FR"/>
        </w:rPr>
        <w:t>C</w:t>
      </w:r>
      <w:r>
        <w:rPr>
          <w:lang w:val="fr-FR"/>
        </w:rPr>
        <w:t xml:space="preserve"> et </w:t>
      </w:r>
      <w:r w:rsidRPr="004156C2">
        <w:rPr>
          <w:lang w:val="fr-FR"/>
        </w:rPr>
        <w:t>150</w:t>
      </w:r>
      <w:r>
        <w:rPr>
          <w:lang w:val="fr-FR"/>
        </w:rPr>
        <w:t> °</w:t>
      </w:r>
      <w:r w:rsidRPr="004156C2">
        <w:rPr>
          <w:lang w:val="fr-FR"/>
        </w:rPr>
        <w:t>C) ;</w:t>
      </w:r>
    </w:p>
    <w:p w14:paraId="5D818FDE" w14:textId="77777777" w:rsidR="00312EE0" w:rsidRPr="004156C2" w:rsidRDefault="00312EE0" w:rsidP="00312EE0">
      <w:pPr>
        <w:pStyle w:val="SingleTxtG"/>
        <w:ind w:left="2835" w:hanging="567"/>
        <w:rPr>
          <w:lang w:val="fr-FR"/>
        </w:rPr>
      </w:pPr>
      <w:r w:rsidRPr="004156C2">
        <w:rPr>
          <w:lang w:val="fr-FR"/>
        </w:rPr>
        <w:t>d)</w:t>
      </w:r>
      <w:r w:rsidRPr="004156C2">
        <w:rPr>
          <w:lang w:val="fr-FR"/>
        </w:rPr>
        <w:tab/>
        <w:t>L’analyse des hydrocarbures (oléfines, aromatiques</w:t>
      </w:r>
      <w:r>
        <w:rPr>
          <w:lang w:val="fr-FR"/>
        </w:rPr>
        <w:t xml:space="preserve"> et</w:t>
      </w:r>
      <w:r w:rsidRPr="004156C2">
        <w:rPr>
          <w:lang w:val="fr-FR"/>
        </w:rPr>
        <w:t xml:space="preserve"> benzène seulement) ;</w:t>
      </w:r>
    </w:p>
    <w:p w14:paraId="4E791EF9" w14:textId="77777777" w:rsidR="00312EE0" w:rsidRPr="004156C2" w:rsidRDefault="00312EE0" w:rsidP="00312EE0">
      <w:pPr>
        <w:pStyle w:val="SingleTxtG"/>
        <w:ind w:left="2835" w:hanging="567"/>
        <w:rPr>
          <w:rFonts w:eastAsia="MS Mincho"/>
          <w:lang w:val="fr-FR"/>
        </w:rPr>
      </w:pPr>
      <w:r w:rsidRPr="004156C2">
        <w:rPr>
          <w:rFonts w:eastAsia="MS Mincho"/>
          <w:lang w:val="fr-FR"/>
        </w:rPr>
        <w:t>e)</w:t>
      </w:r>
      <w:r w:rsidRPr="004156C2">
        <w:rPr>
          <w:rFonts w:eastAsia="MS Mincho"/>
          <w:lang w:val="fr-FR"/>
        </w:rPr>
        <w:tab/>
        <w:t>La teneur en oxygène ;</w:t>
      </w:r>
    </w:p>
    <w:p w14:paraId="17A622CE" w14:textId="77777777" w:rsidR="00312EE0" w:rsidRPr="004156C2" w:rsidRDefault="00312EE0" w:rsidP="00312EE0">
      <w:pPr>
        <w:pStyle w:val="SingleTxtG"/>
        <w:ind w:left="2835" w:hanging="567"/>
        <w:rPr>
          <w:rFonts w:eastAsia="MS Mincho"/>
          <w:lang w:val="fr-FR"/>
        </w:rPr>
      </w:pPr>
      <w:r w:rsidRPr="004156C2">
        <w:rPr>
          <w:rFonts w:eastAsia="MS Mincho"/>
          <w:lang w:val="fr-FR"/>
        </w:rPr>
        <w:t>f)</w:t>
      </w:r>
      <w:r w:rsidRPr="004156C2">
        <w:rPr>
          <w:rFonts w:eastAsia="MS Mincho"/>
          <w:lang w:val="fr-FR"/>
        </w:rPr>
        <w:tab/>
        <w:t>La teneur en éthanol.</w:t>
      </w:r>
    </w:p>
    <w:p w14:paraId="5B920556" w14:textId="77777777" w:rsidR="00312EE0" w:rsidRPr="0037133D" w:rsidRDefault="00312EE0" w:rsidP="00312EE0">
      <w:pPr>
        <w:pStyle w:val="SingleTxtG"/>
        <w:ind w:left="2268" w:hanging="1134"/>
        <w:rPr>
          <w:rFonts w:eastAsia="MS Mincho"/>
          <w:lang w:val="fr-FR"/>
        </w:rPr>
      </w:pPr>
      <w:r w:rsidRPr="004156C2">
        <w:rPr>
          <w:rFonts w:eastAsia="MS Mincho"/>
          <w:lang w:val="fr-FR"/>
        </w:rPr>
        <w:t>5.1.3.1.2</w:t>
      </w:r>
      <w:r w:rsidRPr="004156C2">
        <w:rPr>
          <w:rFonts w:eastAsia="MS Mincho"/>
          <w:lang w:val="fr-FR"/>
        </w:rPr>
        <w:tab/>
        <w:t>Entre 5 et 60 m</w:t>
      </w:r>
      <w:r>
        <w:rPr>
          <w:rFonts w:eastAsia="MS Mincho"/>
          <w:lang w:val="fr-FR"/>
        </w:rPr>
        <w:t>i</w:t>
      </w:r>
      <w:r w:rsidRPr="004156C2">
        <w:rPr>
          <w:rFonts w:eastAsia="MS Mincho"/>
          <w:lang w:val="fr-FR"/>
        </w:rPr>
        <w:t xml:space="preserve">n après la charge, le </w:t>
      </w:r>
      <w:proofErr w:type="spellStart"/>
      <w:r w:rsidRPr="004156C2">
        <w:rPr>
          <w:rFonts w:eastAsia="MS Mincho"/>
          <w:lang w:val="fr-FR"/>
        </w:rPr>
        <w:t>canister</w:t>
      </w:r>
      <w:proofErr w:type="spellEnd"/>
      <w:r w:rsidRPr="004156C2">
        <w:rPr>
          <w:rFonts w:eastAsia="MS Mincho"/>
          <w:lang w:val="fr-FR"/>
        </w:rPr>
        <w:t xml:space="preserve"> doit être purgé à 25 </w:t>
      </w:r>
      <w:r w:rsidRPr="004156C2">
        <w:rPr>
          <w:rFonts w:eastAsia="MS Mincho"/>
          <w:lang w:val="fr-FR"/>
        </w:rPr>
        <w:sym w:font="Symbol" w:char="F0B1"/>
      </w:r>
      <w:r w:rsidR="0086395D">
        <w:rPr>
          <w:rFonts w:eastAsia="MS Mincho"/>
          <w:lang w:val="fr-FR"/>
        </w:rPr>
        <w:t xml:space="preserve"> </w:t>
      </w:r>
      <w:r w:rsidRPr="004156C2">
        <w:rPr>
          <w:rFonts w:eastAsia="MS Mincho"/>
          <w:lang w:val="fr-FR"/>
        </w:rPr>
        <w:t xml:space="preserve">5 l/mn avec </w:t>
      </w:r>
      <w:r w:rsidRPr="0037133D">
        <w:rPr>
          <w:rFonts w:eastAsia="MS Mincho"/>
          <w:lang w:val="fr-FR"/>
        </w:rPr>
        <w:t>de l’air du laboratoire jusqu’à atteindre 300 échanges volumiques.</w:t>
      </w:r>
    </w:p>
    <w:p w14:paraId="0BE39F8B" w14:textId="77777777" w:rsidR="00312EE0" w:rsidRPr="0037133D" w:rsidRDefault="00312EE0" w:rsidP="00312EE0">
      <w:pPr>
        <w:pStyle w:val="SingleTxtG"/>
        <w:ind w:left="2268" w:hanging="1134"/>
        <w:rPr>
          <w:rFonts w:eastAsia="MS Mincho"/>
          <w:lang w:val="fr-FR"/>
        </w:rPr>
      </w:pPr>
      <w:r w:rsidRPr="0037133D">
        <w:rPr>
          <w:rFonts w:eastAsia="MS Mincho"/>
          <w:lang w:val="fr-FR"/>
        </w:rPr>
        <w:t>5.1.3.1.3</w:t>
      </w:r>
      <w:r w:rsidRPr="0037133D">
        <w:rPr>
          <w:rFonts w:eastAsia="MS Mincho"/>
          <w:lang w:val="fr-FR"/>
        </w:rPr>
        <w:tab/>
      </w:r>
      <w:r w:rsidRPr="0037133D">
        <w:rPr>
          <w:lang w:val="fr-FR"/>
        </w:rPr>
        <w:t xml:space="preserve">Les opérations décrites aux paragraphes 5.1.3.1.1 et 5.1.3.1.2 de la présente annexe doivent être répétées 300 fois, après quoi le </w:t>
      </w:r>
      <w:proofErr w:type="spellStart"/>
      <w:r w:rsidRPr="0037133D">
        <w:rPr>
          <w:lang w:val="fr-FR"/>
        </w:rPr>
        <w:t>canister</w:t>
      </w:r>
      <w:proofErr w:type="spellEnd"/>
      <w:r w:rsidRPr="0037133D">
        <w:rPr>
          <w:lang w:val="fr-FR"/>
        </w:rPr>
        <w:t xml:space="preserve"> est considéré comme stabilisé.</w:t>
      </w:r>
    </w:p>
    <w:p w14:paraId="366C4F2B"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lang w:val="fr-FR"/>
        </w:rPr>
        <w:t>5.1.3.1.4</w:t>
      </w:r>
      <w:r w:rsidRPr="004156C2">
        <w:rPr>
          <w:rFonts w:eastAsia="MS Mincho"/>
          <w:lang w:val="fr-FR"/>
        </w:rPr>
        <w:tab/>
      </w:r>
      <w:r w:rsidRPr="004156C2">
        <w:rPr>
          <w:rFonts w:eastAsia="MS Mincho"/>
          <w:szCs w:val="24"/>
          <w:lang w:val="fr-FR" w:eastAsia="ja-JP"/>
        </w:rPr>
        <w:t xml:space="preserve">La procédure à suivre pour mesurer la </w:t>
      </w:r>
      <w:r w:rsidRPr="004156C2">
        <w:rPr>
          <w:rFonts w:eastAsia="MS Mincho"/>
          <w:lang w:val="fr-FR"/>
        </w:rPr>
        <w:t>capacité de traitement du butane</w:t>
      </w:r>
      <w:r w:rsidRPr="004156C2">
        <w:rPr>
          <w:rFonts w:eastAsia="MS Mincho"/>
          <w:szCs w:val="24"/>
          <w:lang w:val="fr-FR" w:eastAsia="ja-JP"/>
        </w:rPr>
        <w:t xml:space="preserve"> (BWC) d’une </w:t>
      </w:r>
      <w:r w:rsidRPr="004156C2">
        <w:rPr>
          <w:rFonts w:eastAsia="MS Mincho"/>
          <w:lang w:val="fr-FR"/>
        </w:rPr>
        <w:t>famille de véhicules du point de vue des émissions par évaporation, telle que définie au paragraphe</w:t>
      </w:r>
      <w:r w:rsidRPr="004156C2">
        <w:rPr>
          <w:rFonts w:eastAsia="MS Mincho"/>
          <w:szCs w:val="24"/>
          <w:lang w:val="fr-FR" w:eastAsia="ja-JP"/>
        </w:rPr>
        <w:t xml:space="preserve"> 5.5 du présent RTM</w:t>
      </w:r>
      <w:r>
        <w:rPr>
          <w:rFonts w:eastAsia="MS Mincho"/>
          <w:szCs w:val="24"/>
          <w:lang w:val="fr-FR" w:eastAsia="ja-JP"/>
        </w:rPr>
        <w:t xml:space="preserve"> ONU</w:t>
      </w:r>
      <w:r w:rsidRPr="004156C2">
        <w:rPr>
          <w:rFonts w:eastAsia="MS Mincho"/>
          <w:szCs w:val="24"/>
          <w:lang w:val="fr-FR" w:eastAsia="ja-JP"/>
        </w:rPr>
        <w:t>, est la suivante :</w:t>
      </w:r>
    </w:p>
    <w:p w14:paraId="7425FCE2" w14:textId="77777777" w:rsidR="00312EE0" w:rsidRPr="004156C2" w:rsidRDefault="00312EE0" w:rsidP="00312EE0">
      <w:pPr>
        <w:pStyle w:val="SingleTxtG"/>
        <w:ind w:left="2835" w:hanging="567"/>
        <w:rPr>
          <w:rFonts w:eastAsia="MS Mincho"/>
          <w:szCs w:val="24"/>
          <w:lang w:val="fr-FR" w:eastAsia="ja-JP"/>
        </w:rPr>
      </w:pPr>
      <w:r w:rsidRPr="004156C2">
        <w:rPr>
          <w:rFonts w:eastAsia="MS Mincho"/>
          <w:szCs w:val="24"/>
          <w:lang w:val="fr-FR" w:eastAsia="ja-JP"/>
        </w:rPr>
        <w:t>a)</w:t>
      </w:r>
      <w:r w:rsidRPr="004156C2">
        <w:rPr>
          <w:rFonts w:eastAsia="MS Mincho"/>
          <w:szCs w:val="24"/>
          <w:lang w:val="fr-FR" w:eastAsia="ja-JP"/>
        </w:rPr>
        <w:tab/>
        <w:t xml:space="preserve">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stabilisé doit être chargé jusqu’à atteindre une percée de 2 g puis purgé, à 5 reprises au minimum. La charge doit être réalisée avec un mélange compos</w:t>
      </w:r>
      <w:r>
        <w:rPr>
          <w:rFonts w:eastAsia="MS Mincho"/>
          <w:szCs w:val="24"/>
          <w:lang w:val="fr-FR" w:eastAsia="ja-JP"/>
        </w:rPr>
        <w:t>é</w:t>
      </w:r>
      <w:r w:rsidRPr="004156C2">
        <w:rPr>
          <w:rFonts w:eastAsia="MS Mincho"/>
          <w:szCs w:val="24"/>
          <w:lang w:val="fr-FR" w:eastAsia="ja-JP"/>
        </w:rPr>
        <w:t xml:space="preserve"> à 50 % de butane et à 50 % d’azote (en volume), à un débit de 40</w:t>
      </w:r>
      <w:r>
        <w:rPr>
          <w:rFonts w:eastAsia="MS Mincho"/>
          <w:szCs w:val="24"/>
          <w:lang w:val="fr-FR" w:eastAsia="ja-JP"/>
        </w:rPr>
        <w:t> </w:t>
      </w:r>
      <w:r w:rsidRPr="004156C2">
        <w:rPr>
          <w:rFonts w:eastAsia="MS Mincho"/>
          <w:szCs w:val="24"/>
          <w:lang w:val="fr-FR" w:eastAsia="ja-JP"/>
        </w:rPr>
        <w:t>g de butane par heure</w:t>
      </w:r>
      <w:r>
        <w:rPr>
          <w:rFonts w:eastAsia="MS Mincho"/>
          <w:szCs w:val="24"/>
          <w:lang w:val="fr-FR" w:eastAsia="ja-JP"/>
        </w:rPr>
        <w:t> ;</w:t>
      </w:r>
    </w:p>
    <w:p w14:paraId="70636941" w14:textId="77777777" w:rsidR="00312EE0" w:rsidRPr="004156C2" w:rsidRDefault="00312EE0" w:rsidP="00312EE0">
      <w:pPr>
        <w:pStyle w:val="SingleTxtG"/>
        <w:ind w:left="2835" w:hanging="567"/>
        <w:rPr>
          <w:rFonts w:eastAsia="MS Mincho"/>
          <w:szCs w:val="24"/>
          <w:lang w:val="fr-FR" w:eastAsia="ja-JP"/>
        </w:rPr>
      </w:pPr>
      <w:r w:rsidRPr="004156C2">
        <w:rPr>
          <w:rFonts w:eastAsia="MS Mincho"/>
          <w:szCs w:val="24"/>
          <w:lang w:val="fr-FR" w:eastAsia="ja-JP"/>
        </w:rPr>
        <w:t>b)</w:t>
      </w:r>
      <w:r w:rsidRPr="004156C2">
        <w:rPr>
          <w:rFonts w:eastAsia="MS Mincho"/>
          <w:szCs w:val="24"/>
          <w:lang w:val="fr-FR" w:eastAsia="ja-JP"/>
        </w:rPr>
        <w:tab/>
        <w:t>Les purges doivent être réali</w:t>
      </w:r>
      <w:r>
        <w:rPr>
          <w:rFonts w:eastAsia="MS Mincho"/>
          <w:szCs w:val="24"/>
          <w:lang w:val="fr-FR" w:eastAsia="ja-JP"/>
        </w:rPr>
        <w:t>sées conformément au paragraphe </w:t>
      </w:r>
      <w:r w:rsidRPr="004156C2">
        <w:rPr>
          <w:rFonts w:eastAsia="MS Mincho"/>
          <w:szCs w:val="24"/>
          <w:lang w:val="fr-FR" w:eastAsia="ja-JP"/>
        </w:rPr>
        <w:t>5.1.3.1.2 de la présente annexe</w:t>
      </w:r>
      <w:r>
        <w:rPr>
          <w:rFonts w:eastAsia="MS Mincho"/>
          <w:szCs w:val="24"/>
          <w:lang w:val="fr-FR" w:eastAsia="ja-JP"/>
        </w:rPr>
        <w:t> ;</w:t>
      </w:r>
    </w:p>
    <w:p w14:paraId="30C9C5E5" w14:textId="77777777" w:rsidR="00312EE0" w:rsidRPr="004156C2" w:rsidRDefault="00312EE0" w:rsidP="00312EE0">
      <w:pPr>
        <w:pStyle w:val="SingleTxtG"/>
        <w:ind w:left="2835" w:hanging="567"/>
        <w:rPr>
          <w:rFonts w:eastAsia="MS Mincho"/>
          <w:szCs w:val="24"/>
          <w:lang w:val="fr-FR" w:eastAsia="ja-JP"/>
        </w:rPr>
      </w:pPr>
      <w:r w:rsidRPr="004156C2">
        <w:rPr>
          <w:rFonts w:eastAsia="MS Mincho"/>
          <w:szCs w:val="24"/>
          <w:lang w:val="fr-FR" w:eastAsia="ja-JP"/>
        </w:rPr>
        <w:t>c)</w:t>
      </w:r>
      <w:r w:rsidRPr="004156C2">
        <w:rPr>
          <w:rFonts w:eastAsia="MS Mincho"/>
          <w:szCs w:val="24"/>
          <w:lang w:val="fr-FR" w:eastAsia="ja-JP"/>
        </w:rPr>
        <w:tab/>
        <w:t>La BWC doit être calculée après chaque charge</w:t>
      </w:r>
      <w:r>
        <w:rPr>
          <w:rFonts w:eastAsia="MS Mincho"/>
          <w:szCs w:val="24"/>
          <w:lang w:val="fr-FR" w:eastAsia="ja-JP"/>
        </w:rPr>
        <w:t> ;</w:t>
      </w:r>
    </w:p>
    <w:p w14:paraId="47B9AF98" w14:textId="77777777" w:rsidR="00312EE0" w:rsidRPr="004156C2" w:rsidRDefault="00312EE0" w:rsidP="00312EE0">
      <w:pPr>
        <w:pStyle w:val="SingleTxtG"/>
        <w:ind w:left="2835" w:hanging="567"/>
        <w:rPr>
          <w:rFonts w:eastAsia="MS Mincho"/>
          <w:szCs w:val="24"/>
          <w:lang w:val="fr-FR" w:eastAsia="ja-JP"/>
        </w:rPr>
      </w:pPr>
      <w:r w:rsidRPr="004156C2">
        <w:rPr>
          <w:rFonts w:eastAsia="MS Mincho"/>
          <w:szCs w:val="24"/>
          <w:lang w:val="fr-FR" w:eastAsia="ja-JP"/>
        </w:rPr>
        <w:t>d)</w:t>
      </w:r>
      <w:r w:rsidRPr="004156C2">
        <w:rPr>
          <w:rFonts w:eastAsia="MS Mincho"/>
          <w:szCs w:val="24"/>
          <w:lang w:val="fr-FR" w:eastAsia="ja-JP"/>
        </w:rPr>
        <w:tab/>
        <w:t xml:space="preserve">La valeur BWC300 est égale à la moyenne des 5 dernières BWC calculées. </w:t>
      </w:r>
    </w:p>
    <w:p w14:paraId="3992260C" w14:textId="77777777" w:rsidR="00312EE0" w:rsidRPr="004156C2" w:rsidRDefault="00312EE0" w:rsidP="00312EE0">
      <w:pPr>
        <w:pStyle w:val="SingleTxtG"/>
        <w:ind w:left="2268" w:hanging="1134"/>
        <w:rPr>
          <w:rFonts w:eastAsia="MS Mincho"/>
          <w:lang w:val="fr-FR"/>
        </w:rPr>
      </w:pPr>
      <w:r w:rsidRPr="004156C2">
        <w:rPr>
          <w:rFonts w:eastAsia="MS Mincho"/>
          <w:lang w:val="fr-FR"/>
        </w:rPr>
        <w:t>5.1.3.2</w:t>
      </w:r>
      <w:r w:rsidRPr="004156C2">
        <w:rPr>
          <w:rFonts w:eastAsia="MS Mincho"/>
          <w:lang w:val="fr-FR"/>
        </w:rPr>
        <w:tab/>
        <w:t xml:space="preserve">Si </w:t>
      </w:r>
      <w:r>
        <w:rPr>
          <w:rFonts w:eastAsia="MS Mincho"/>
          <w:lang w:val="fr-FR"/>
        </w:rPr>
        <w:t>le</w:t>
      </w:r>
      <w:r w:rsidRPr="004156C2">
        <w:rPr>
          <w:rFonts w:eastAsia="MS Mincho"/>
          <w:lang w:val="fr-FR"/>
        </w:rPr>
        <w:t xml:space="preserve"> </w:t>
      </w:r>
      <w:proofErr w:type="spellStart"/>
      <w:r w:rsidRPr="004156C2">
        <w:rPr>
          <w:rFonts w:eastAsia="MS Mincho"/>
          <w:lang w:val="fr-FR"/>
        </w:rPr>
        <w:t>canister</w:t>
      </w:r>
      <w:proofErr w:type="spellEnd"/>
      <w:r w:rsidRPr="004156C2">
        <w:rPr>
          <w:rFonts w:eastAsia="MS Mincho"/>
          <w:lang w:val="fr-FR"/>
        </w:rPr>
        <w:t xml:space="preserve"> vieilli est mis à disposition par un fournisseur, le constructeur </w:t>
      </w:r>
      <w:r>
        <w:rPr>
          <w:rFonts w:eastAsia="MS Mincho"/>
          <w:lang w:val="fr-FR"/>
        </w:rPr>
        <w:t xml:space="preserve">du véhicule </w:t>
      </w:r>
      <w:r w:rsidRPr="004156C2">
        <w:rPr>
          <w:rFonts w:eastAsia="MS Mincho"/>
          <w:lang w:val="fr-FR"/>
        </w:rPr>
        <w:t>doit informer préalablement l’autorité compétente de la date des opérations de vieillissement, afin de permettre la présence d’un témoin à toute partie du processus.</w:t>
      </w:r>
    </w:p>
    <w:p w14:paraId="36CA6D4E" w14:textId="77777777" w:rsidR="00312EE0" w:rsidRPr="004156C2" w:rsidRDefault="00312EE0" w:rsidP="00312EE0">
      <w:pPr>
        <w:pStyle w:val="SingleTxtG"/>
        <w:ind w:left="2268" w:hanging="1134"/>
        <w:rPr>
          <w:rFonts w:eastAsia="MS Mincho"/>
          <w:lang w:val="fr-FR"/>
        </w:rPr>
      </w:pPr>
      <w:r w:rsidRPr="004156C2">
        <w:rPr>
          <w:rFonts w:eastAsia="MS Mincho"/>
          <w:lang w:val="fr-FR"/>
        </w:rPr>
        <w:t>5.1.3.3</w:t>
      </w:r>
      <w:r w:rsidRPr="004156C2">
        <w:rPr>
          <w:rFonts w:eastAsia="MS Mincho"/>
          <w:lang w:val="fr-FR"/>
        </w:rPr>
        <w:tab/>
      </w:r>
      <w:r w:rsidRPr="004156C2">
        <w:rPr>
          <w:rFonts w:eastAsia="MS Mincho"/>
          <w:lang w:val="fr-FR"/>
        </w:rPr>
        <w:tab/>
        <w:t>Le constructeur présente à l’autorité compétente un rapport d’essai comprenant au moins les informations suivantes :</w:t>
      </w:r>
    </w:p>
    <w:p w14:paraId="0ED0261A" w14:textId="77777777" w:rsidR="00312EE0" w:rsidRPr="004156C2" w:rsidRDefault="00312EE0" w:rsidP="00312EE0">
      <w:pPr>
        <w:pStyle w:val="SingleTxtG"/>
        <w:ind w:left="2835" w:hanging="567"/>
        <w:rPr>
          <w:rFonts w:eastAsia="MS Mincho"/>
          <w:lang w:val="fr-FR"/>
        </w:rPr>
      </w:pPr>
      <w:r w:rsidRPr="004156C2">
        <w:rPr>
          <w:rFonts w:eastAsia="MS Mincho"/>
          <w:lang w:val="fr-FR"/>
        </w:rPr>
        <w:t>a)</w:t>
      </w:r>
      <w:r w:rsidRPr="004156C2">
        <w:rPr>
          <w:rFonts w:eastAsia="MS Mincho"/>
          <w:lang w:val="fr-FR"/>
        </w:rPr>
        <w:tab/>
        <w:t>Type de charbon actif ;</w:t>
      </w:r>
    </w:p>
    <w:p w14:paraId="625261F9" w14:textId="77777777" w:rsidR="00312EE0" w:rsidRPr="004156C2" w:rsidRDefault="00312EE0" w:rsidP="00312EE0">
      <w:pPr>
        <w:pStyle w:val="SingleTxtG"/>
        <w:ind w:left="2835" w:hanging="567"/>
        <w:rPr>
          <w:rFonts w:eastAsia="MS Mincho"/>
          <w:lang w:val="fr-FR"/>
        </w:rPr>
      </w:pPr>
      <w:r w:rsidRPr="004156C2">
        <w:rPr>
          <w:rFonts w:eastAsia="MS Mincho"/>
          <w:lang w:val="fr-FR"/>
        </w:rPr>
        <w:t>b)</w:t>
      </w:r>
      <w:r w:rsidRPr="004156C2">
        <w:rPr>
          <w:rFonts w:eastAsia="MS Mincho"/>
          <w:lang w:val="fr-FR"/>
        </w:rPr>
        <w:tab/>
        <w:t>Vitesse de mise en charge ;</w:t>
      </w:r>
    </w:p>
    <w:p w14:paraId="0D8585F2" w14:textId="77777777" w:rsidR="00312EE0" w:rsidRPr="004156C2" w:rsidRDefault="00312EE0" w:rsidP="00312EE0">
      <w:pPr>
        <w:pStyle w:val="SingleTxtG"/>
        <w:ind w:left="2835" w:hanging="567"/>
        <w:rPr>
          <w:rFonts w:eastAsia="MS Mincho"/>
          <w:lang w:val="fr-FR"/>
        </w:rPr>
      </w:pPr>
      <w:r w:rsidRPr="004156C2">
        <w:rPr>
          <w:rFonts w:eastAsia="MS Mincho"/>
          <w:lang w:val="fr-FR"/>
        </w:rPr>
        <w:t>c)</w:t>
      </w:r>
      <w:r w:rsidRPr="004156C2">
        <w:rPr>
          <w:rFonts w:eastAsia="MS Mincho"/>
          <w:lang w:val="fr-FR"/>
        </w:rPr>
        <w:tab/>
        <w:t>Spécifications du carburant.</w:t>
      </w:r>
    </w:p>
    <w:p w14:paraId="56704B63" w14:textId="77777777" w:rsidR="00312EE0" w:rsidRPr="004156C2" w:rsidRDefault="00312EE0" w:rsidP="00312EE0">
      <w:pPr>
        <w:pStyle w:val="SingleTxtG"/>
        <w:ind w:left="2268" w:hanging="1134"/>
        <w:rPr>
          <w:rFonts w:eastAsia="MS Mincho"/>
          <w:lang w:val="fr-FR"/>
        </w:rPr>
      </w:pPr>
      <w:r w:rsidRPr="004156C2">
        <w:rPr>
          <w:rFonts w:eastAsia="MS Mincho"/>
          <w:lang w:val="fr-FR"/>
        </w:rPr>
        <w:t>5.2</w:t>
      </w:r>
      <w:r w:rsidRPr="004156C2">
        <w:rPr>
          <w:rFonts w:eastAsia="MS Mincho"/>
          <w:lang w:val="fr-FR"/>
        </w:rPr>
        <w:tab/>
        <w:t>Détermination du facteur de perméabilité (PF) du système de réservoir de carburant (fig. A1/3)</w:t>
      </w:r>
    </w:p>
    <w:p w14:paraId="2D08F0D4" w14:textId="77777777" w:rsidR="00312EE0" w:rsidRPr="004156C2" w:rsidRDefault="00312EE0" w:rsidP="00312EE0">
      <w:pPr>
        <w:pStyle w:val="Heading1"/>
        <w:spacing w:after="240"/>
        <w:rPr>
          <w:b/>
          <w:lang w:val="fr-FR"/>
        </w:rPr>
      </w:pPr>
      <w:r w:rsidRPr="004156C2">
        <w:rPr>
          <w:lang w:val="fr-FR"/>
        </w:rPr>
        <w:lastRenderedPageBreak/>
        <w:t>Figure A1/3</w:t>
      </w:r>
      <w:r w:rsidRPr="004156C2">
        <w:rPr>
          <w:lang w:val="fr-FR"/>
        </w:rPr>
        <w:br/>
      </w:r>
      <w:r w:rsidRPr="004156C2">
        <w:rPr>
          <w:b/>
          <w:lang w:val="fr-FR"/>
        </w:rPr>
        <w:t>Détermination du facteur de perméabilité</w:t>
      </w:r>
    </w:p>
    <w:p w14:paraId="4B0BC304" w14:textId="77777777" w:rsidR="00312EE0" w:rsidRPr="004156C2" w:rsidRDefault="00797FC4" w:rsidP="00312EE0">
      <w:pPr>
        <w:kinsoku/>
        <w:overflowPunct/>
        <w:autoSpaceDE/>
        <w:autoSpaceDN/>
        <w:adjustRightInd/>
        <w:snapToGrid/>
        <w:spacing w:after="120"/>
        <w:ind w:left="2268" w:right="1134" w:hanging="1134"/>
        <w:jc w:val="center"/>
        <w:rPr>
          <w:rFonts w:eastAsia="MS Mincho"/>
          <w:szCs w:val="24"/>
          <w:lang w:val="fr-FR" w:eastAsia="ja-JP"/>
        </w:rPr>
      </w:pPr>
      <w:r w:rsidRPr="004156C2">
        <w:rPr>
          <w:rFonts w:eastAsia="MS Mincho"/>
          <w:noProof/>
          <w:lang w:val="fr-FR" w:eastAsia="fr-FR"/>
        </w:rPr>
        <mc:AlternateContent>
          <mc:Choice Requires="wps">
            <w:drawing>
              <wp:anchor distT="0" distB="0" distL="114300" distR="114300" simplePos="0" relativeHeight="251662336" behindDoc="0" locked="0" layoutInCell="1" allowOverlap="1" wp14:anchorId="555D7E1A" wp14:editId="39107367">
                <wp:simplePos x="0" y="0"/>
                <wp:positionH relativeFrom="column">
                  <wp:posOffset>1995814</wp:posOffset>
                </wp:positionH>
                <wp:positionV relativeFrom="paragraph">
                  <wp:posOffset>5697950</wp:posOffset>
                </wp:positionV>
                <wp:extent cx="1774209" cy="40894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1774209" cy="408940"/>
                        </a:xfrm>
                        <a:prstGeom prst="rect">
                          <a:avLst/>
                        </a:prstGeom>
                        <a:noFill/>
                        <a:ln w="6350">
                          <a:noFill/>
                        </a:ln>
                        <a:effectLst/>
                      </wps:spPr>
                      <wps:txbx>
                        <w:txbxContent>
                          <w:p w14:paraId="73DDF6F6" w14:textId="77777777" w:rsidR="007F6101" w:rsidRPr="00AC7D3B" w:rsidRDefault="007F6101" w:rsidP="00312EE0">
                            <w:pPr>
                              <w:jc w:val="center"/>
                            </w:pPr>
                            <w:r w:rsidRPr="00C248F1">
                              <w:rPr>
                                <w:color w:val="000000"/>
                                <w:kern w:val="24"/>
                                <w:lang w:val="fr-FR"/>
                              </w:rPr>
                              <w:t xml:space="preserve">5.2.5 Facteur de perméabilité </w:t>
                            </w:r>
                            <w:r w:rsidRPr="00C248F1">
                              <w:rPr>
                                <w:color w:val="000000"/>
                                <w:kern w:val="24"/>
                                <w:lang w:val="fr-FR"/>
                              </w:rPr>
                              <w:br/>
                              <w:t xml:space="preserve">= </w:t>
                            </w:r>
                            <w:r w:rsidRPr="00C248F1">
                              <w:rPr>
                                <w:color w:val="000000"/>
                                <w:kern w:val="24"/>
                              </w:rPr>
                              <w:t>HC</w:t>
                            </w:r>
                            <w:r w:rsidRPr="00C248F1">
                              <w:rPr>
                                <w:color w:val="000000"/>
                                <w:kern w:val="24"/>
                                <w:position w:val="-5"/>
                                <w:vertAlign w:val="subscript"/>
                                <w:lang w:val="fr-FR"/>
                              </w:rPr>
                              <w:t>20w</w:t>
                            </w:r>
                            <w:r w:rsidRPr="00C248F1">
                              <w:rPr>
                                <w:color w:val="000000"/>
                                <w:kern w:val="24"/>
                                <w:lang w:val="fr-FR"/>
                              </w:rPr>
                              <w:t xml:space="preserve"> − HC</w:t>
                            </w:r>
                            <w:r w:rsidRPr="00C248F1">
                              <w:rPr>
                                <w:color w:val="000000"/>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5D7E1A" id="Zone de texte 4" o:spid="_x0000_s1038" type="#_x0000_t202" style="position:absolute;left:0;text-align:left;margin-left:157.15pt;margin-top:448.65pt;width:139.7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" filled="f" stroked="f" strokeweight=".5pt">
                <v:textbox style="mso-fit-shape-to-text:t" inset="0,0,0,0">
                  <w:txbxContent>
                    <w:p w14:paraId="73DDF6F6" w14:textId="77777777" w:rsidR="007F6101" w:rsidRPr="00AC7D3B" w:rsidRDefault="007F6101" w:rsidP="00312EE0">
                      <w:pPr>
                        <w:jc w:val="center"/>
                      </w:pPr>
                      <w:r w:rsidRPr="00C248F1">
                        <w:rPr>
                          <w:color w:val="000000"/>
                          <w:kern w:val="24"/>
                          <w:lang w:val="fr-FR"/>
                        </w:rPr>
                        <w:t xml:space="preserve">5.2.5 Facteur de perméabilité </w:t>
                      </w:r>
                      <w:r w:rsidRPr="00C248F1">
                        <w:rPr>
                          <w:color w:val="000000"/>
                          <w:kern w:val="24"/>
                          <w:lang w:val="fr-FR"/>
                        </w:rPr>
                        <w:br/>
                        <w:t xml:space="preserve">= </w:t>
                      </w:r>
                      <w:r w:rsidRPr="00C248F1">
                        <w:rPr>
                          <w:color w:val="000000"/>
                          <w:kern w:val="24"/>
                        </w:rPr>
                        <w:t>HC</w:t>
                      </w:r>
                      <w:r w:rsidRPr="00C248F1">
                        <w:rPr>
                          <w:color w:val="000000"/>
                          <w:kern w:val="24"/>
                          <w:position w:val="-5"/>
                          <w:vertAlign w:val="subscript"/>
                          <w:lang w:val="fr-FR"/>
                        </w:rPr>
                        <w:t>20w</w:t>
                      </w:r>
                      <w:r w:rsidRPr="00C248F1">
                        <w:rPr>
                          <w:color w:val="000000"/>
                          <w:kern w:val="24"/>
                          <w:lang w:val="fr-FR"/>
                        </w:rPr>
                        <w:t xml:space="preserve"> − HC</w:t>
                      </w:r>
                      <w:r w:rsidRPr="00C248F1">
                        <w:rPr>
                          <w:color w:val="000000"/>
                          <w:kern w:val="24"/>
                          <w:position w:val="-5"/>
                          <w:vertAlign w:val="subscript"/>
                          <w:lang w:val="fr-FR"/>
                        </w:rPr>
                        <w:t>3w</w:t>
                      </w:r>
                    </w:p>
                  </w:txbxContent>
                </v:textbox>
              </v:shape>
            </w:pict>
          </mc:Fallback>
        </mc:AlternateContent>
      </w:r>
      <w:r w:rsidR="0086395D" w:rsidRPr="004156C2">
        <w:rPr>
          <w:rFonts w:eastAsia="MS Mincho"/>
          <w:noProof/>
          <w:lang w:val="fr-FR" w:eastAsia="fr-FR"/>
        </w:rPr>
        <mc:AlternateContent>
          <mc:Choice Requires="wps">
            <w:drawing>
              <wp:anchor distT="0" distB="0" distL="114300" distR="114300" simplePos="0" relativeHeight="251656192" behindDoc="0" locked="0" layoutInCell="1" allowOverlap="1" wp14:anchorId="66545FB1" wp14:editId="472800D2">
                <wp:simplePos x="0" y="0"/>
                <wp:positionH relativeFrom="column">
                  <wp:posOffset>1674495</wp:posOffset>
                </wp:positionH>
                <wp:positionV relativeFrom="paragraph">
                  <wp:posOffset>1778474</wp:posOffset>
                </wp:positionV>
                <wp:extent cx="2518012" cy="450376"/>
                <wp:effectExtent l="0" t="0" r="0" b="6985"/>
                <wp:wrapNone/>
                <wp:docPr id="230" name="Zone de texte 230"/>
                <wp:cNvGraphicFramePr/>
                <a:graphic xmlns:a="http://schemas.openxmlformats.org/drawingml/2006/main">
                  <a:graphicData uri="http://schemas.microsoft.com/office/word/2010/wordprocessingShape">
                    <wps:wsp>
                      <wps:cNvSpPr txBox="1"/>
                      <wps:spPr>
                        <a:xfrm>
                          <a:off x="0" y="0"/>
                          <a:ext cx="2518012" cy="450376"/>
                        </a:xfrm>
                        <a:prstGeom prst="rect">
                          <a:avLst/>
                        </a:prstGeom>
                        <a:noFill/>
                        <a:ln w="6350">
                          <a:noFill/>
                        </a:ln>
                        <a:effectLst/>
                      </wps:spPr>
                      <wps:txbx>
                        <w:txbxContent>
                          <w:p w14:paraId="690950B0" w14:textId="77777777" w:rsidR="007F6101" w:rsidRPr="00501550" w:rsidRDefault="007F6101" w:rsidP="00312EE0">
                            <w:pPr>
                              <w:spacing w:line="240" w:lineRule="auto"/>
                              <w:jc w:val="center"/>
                            </w:pPr>
                            <w:r w:rsidRPr="00C248F1">
                              <w:rPr>
                                <w:color w:val="000000"/>
                                <w:kern w:val="24"/>
                              </w:rPr>
                              <w:t xml:space="preserve">5.2.2 Vidange puis remplissage du réservoir </w:t>
                            </w:r>
                            <w:r w:rsidR="00797FC4">
                              <w:rPr>
                                <w:color w:val="000000"/>
                                <w:kern w:val="24"/>
                              </w:rPr>
                              <w:br/>
                            </w:r>
                            <w:r w:rsidRPr="00C248F1">
                              <w:rPr>
                                <w:color w:val="000000"/>
                                <w:kern w:val="24"/>
                              </w:rPr>
                              <w:t xml:space="preserve">à </w:t>
                            </w:r>
                            <w:r w:rsidRPr="00C248F1">
                              <w:rPr>
                                <w:rFonts w:hint="eastAsia"/>
                                <w:color w:val="000000"/>
                                <w:kern w:val="24"/>
                              </w:rPr>
                              <w:t>40</w:t>
                            </w:r>
                            <w:r w:rsidRPr="00C248F1">
                              <w:rPr>
                                <w:color w:val="000000"/>
                                <w:kern w:val="24"/>
                              </w:rPr>
                              <w:t xml:space="preserve"> % de sa </w:t>
                            </w:r>
                            <w:r w:rsidRPr="00C248F1">
                              <w:rPr>
                                <w:rFonts w:hint="eastAsia"/>
                                <w:color w:val="000000"/>
                                <w:kern w:val="24"/>
                              </w:rPr>
                              <w:t>c</w:t>
                            </w:r>
                            <w:r>
                              <w:rPr>
                                <w:color w:val="000000"/>
                                <w:kern w:val="24"/>
                              </w:rPr>
                              <w:t>ontenance</w:t>
                            </w:r>
                            <w:r w:rsidRPr="00C248F1">
                              <w:rPr>
                                <w:color w:val="000000"/>
                                <w:kern w:val="24"/>
                              </w:rPr>
                              <w:t xml:space="preserve"> nominale</w:t>
                            </w:r>
                            <w:r w:rsidRPr="00C248F1">
                              <w:rPr>
                                <w:rFonts w:hint="eastAsia"/>
                                <w:color w:val="000000"/>
                                <w:kern w:val="24"/>
                              </w:rPr>
                              <w:t xml:space="preserve"> </w:t>
                            </w:r>
                            <w:r w:rsidR="00797FC4">
                              <w:rPr>
                                <w:color w:val="000000"/>
                                <w:kern w:val="24"/>
                              </w:rPr>
                              <w:br/>
                            </w:r>
                            <w:r w:rsidRPr="00C248F1">
                              <w:rPr>
                                <w:color w:val="000000"/>
                                <w:kern w:val="24"/>
                              </w:rPr>
                              <w:t xml:space="preserve">avec le carburant de </w:t>
                            </w:r>
                            <w:r w:rsidRPr="00C248F1">
                              <w:rPr>
                                <w:rFonts w:hint="eastAsia"/>
                                <w:color w:val="000000"/>
                                <w:kern w:val="24"/>
                              </w:rPr>
                              <w:t>r</w:t>
                            </w:r>
                            <w:r w:rsidRPr="00C248F1">
                              <w:rPr>
                                <w:color w:val="000000"/>
                                <w:kern w:val="24"/>
                              </w:rPr>
                              <w:t>é</w:t>
                            </w:r>
                            <w:r w:rsidRPr="00C248F1">
                              <w:rPr>
                                <w:rFonts w:hint="eastAsia"/>
                                <w:color w:val="000000"/>
                                <w:kern w:val="24"/>
                              </w:rPr>
                              <w:t>f</w:t>
                            </w:r>
                            <w:r w:rsidRPr="00C248F1">
                              <w:rPr>
                                <w:color w:val="000000"/>
                                <w:kern w:val="24"/>
                              </w:rPr>
                              <w:t>é</w:t>
                            </w:r>
                            <w:r w:rsidRPr="00C248F1">
                              <w:rPr>
                                <w:rFonts w:hint="eastAsia"/>
                                <w:color w:val="000000"/>
                                <w:kern w:val="24"/>
                              </w:rPr>
                              <w:t>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5FB1" id="Zone de texte 230" o:spid="_x0000_s1039" type="#_x0000_t202" style="position:absolute;left:0;text-align:left;margin-left:131.85pt;margin-top:140.05pt;width:198.2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" filled="f" stroked="f" strokeweight=".5pt">
                <v:textbox inset="0,0,0,0">
                  <w:txbxContent>
                    <w:p w14:paraId="690950B0" w14:textId="77777777" w:rsidR="007F6101" w:rsidRPr="00501550" w:rsidRDefault="007F6101" w:rsidP="00312EE0">
                      <w:pPr>
                        <w:spacing w:line="240" w:lineRule="auto"/>
                        <w:jc w:val="center"/>
                      </w:pPr>
                      <w:r w:rsidRPr="00C248F1">
                        <w:rPr>
                          <w:color w:val="000000"/>
                          <w:kern w:val="24"/>
                        </w:rPr>
                        <w:t xml:space="preserve">5.2.2 Vidange puis remplissage du réservoir </w:t>
                      </w:r>
                      <w:r w:rsidR="00797FC4">
                        <w:rPr>
                          <w:color w:val="000000"/>
                          <w:kern w:val="24"/>
                        </w:rPr>
                        <w:br/>
                      </w:r>
                      <w:r w:rsidRPr="00C248F1">
                        <w:rPr>
                          <w:color w:val="000000"/>
                          <w:kern w:val="24"/>
                        </w:rPr>
                        <w:t xml:space="preserve">à </w:t>
                      </w:r>
                      <w:r w:rsidRPr="00C248F1">
                        <w:rPr>
                          <w:rFonts w:hint="eastAsia"/>
                          <w:color w:val="000000"/>
                          <w:kern w:val="24"/>
                        </w:rPr>
                        <w:t>40</w:t>
                      </w:r>
                      <w:r w:rsidRPr="00C248F1">
                        <w:rPr>
                          <w:color w:val="000000"/>
                          <w:kern w:val="24"/>
                        </w:rPr>
                        <w:t xml:space="preserve"> % de sa </w:t>
                      </w:r>
                      <w:r w:rsidRPr="00C248F1">
                        <w:rPr>
                          <w:rFonts w:hint="eastAsia"/>
                          <w:color w:val="000000"/>
                          <w:kern w:val="24"/>
                        </w:rPr>
                        <w:t>c</w:t>
                      </w:r>
                      <w:r>
                        <w:rPr>
                          <w:color w:val="000000"/>
                          <w:kern w:val="24"/>
                        </w:rPr>
                        <w:t>ontenance</w:t>
                      </w:r>
                      <w:r w:rsidRPr="00C248F1">
                        <w:rPr>
                          <w:color w:val="000000"/>
                          <w:kern w:val="24"/>
                        </w:rPr>
                        <w:t xml:space="preserve"> nominale</w:t>
                      </w:r>
                      <w:r w:rsidRPr="00C248F1">
                        <w:rPr>
                          <w:rFonts w:hint="eastAsia"/>
                          <w:color w:val="000000"/>
                          <w:kern w:val="24"/>
                        </w:rPr>
                        <w:t xml:space="preserve"> </w:t>
                      </w:r>
                      <w:r w:rsidR="00797FC4">
                        <w:rPr>
                          <w:color w:val="000000"/>
                          <w:kern w:val="24"/>
                        </w:rPr>
                        <w:br/>
                      </w:r>
                      <w:r w:rsidRPr="00C248F1">
                        <w:rPr>
                          <w:color w:val="000000"/>
                          <w:kern w:val="24"/>
                        </w:rPr>
                        <w:t xml:space="preserve">avec le carburant de </w:t>
                      </w:r>
                      <w:r w:rsidRPr="00C248F1">
                        <w:rPr>
                          <w:rFonts w:hint="eastAsia"/>
                          <w:color w:val="000000"/>
                          <w:kern w:val="24"/>
                        </w:rPr>
                        <w:t>r</w:t>
                      </w:r>
                      <w:r w:rsidRPr="00C248F1">
                        <w:rPr>
                          <w:color w:val="000000"/>
                          <w:kern w:val="24"/>
                        </w:rPr>
                        <w:t>é</w:t>
                      </w:r>
                      <w:r w:rsidRPr="00C248F1">
                        <w:rPr>
                          <w:rFonts w:hint="eastAsia"/>
                          <w:color w:val="000000"/>
                          <w:kern w:val="24"/>
                        </w:rPr>
                        <w:t>f</w:t>
                      </w:r>
                      <w:r w:rsidRPr="00C248F1">
                        <w:rPr>
                          <w:color w:val="000000"/>
                          <w:kern w:val="24"/>
                        </w:rPr>
                        <w:t>é</w:t>
                      </w:r>
                      <w:r w:rsidRPr="00C248F1">
                        <w:rPr>
                          <w:rFonts w:hint="eastAsia"/>
                          <w:color w:val="000000"/>
                          <w:kern w:val="24"/>
                        </w:rPr>
                        <w:t>rence</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61312" behindDoc="0" locked="0" layoutInCell="1" allowOverlap="1" wp14:anchorId="074AFECF" wp14:editId="64B4604A">
                <wp:simplePos x="0" y="0"/>
                <wp:positionH relativeFrom="column">
                  <wp:posOffset>1435268</wp:posOffset>
                </wp:positionH>
                <wp:positionV relativeFrom="paragraph">
                  <wp:posOffset>4732829</wp:posOffset>
                </wp:positionV>
                <wp:extent cx="2924070" cy="548005"/>
                <wp:effectExtent l="0" t="0" r="10160" b="6350"/>
                <wp:wrapNone/>
                <wp:docPr id="5" name="Zone de texte 5"/>
                <wp:cNvGraphicFramePr/>
                <a:graphic xmlns:a="http://schemas.openxmlformats.org/drawingml/2006/main">
                  <a:graphicData uri="http://schemas.microsoft.com/office/word/2010/wordprocessingShape">
                    <wps:wsp>
                      <wps:cNvSpPr txBox="1"/>
                      <wps:spPr>
                        <a:xfrm>
                          <a:off x="0" y="0"/>
                          <a:ext cx="2924070" cy="548005"/>
                        </a:xfrm>
                        <a:prstGeom prst="rect">
                          <a:avLst/>
                        </a:prstGeom>
                        <a:noFill/>
                        <a:ln w="6350">
                          <a:noFill/>
                        </a:ln>
                        <a:effectLst/>
                      </wps:spPr>
                      <wps:txbx>
                        <w:txbxContent>
                          <w:p w14:paraId="4165CAA7" w14:textId="77777777" w:rsidR="007F6101" w:rsidRPr="00501550" w:rsidRDefault="007F6101" w:rsidP="00312EE0">
                            <w:pPr>
                              <w:spacing w:line="240" w:lineRule="exact"/>
                              <w:jc w:val="center"/>
                            </w:pPr>
                            <w:r w:rsidRPr="00C248F1">
                              <w:rPr>
                                <w:color w:val="000000"/>
                                <w:kern w:val="24"/>
                              </w:rPr>
                              <w:t xml:space="preserve">5.2.4 Mesure des HC dans les mêmes conditions que lors du </w:t>
                            </w:r>
                            <w:r>
                              <w:rPr>
                                <w:color w:val="000000"/>
                                <w:kern w:val="24"/>
                              </w:rPr>
                              <w:t xml:space="preserve">premier </w:t>
                            </w:r>
                            <w:r w:rsidRPr="00C248F1">
                              <w:rPr>
                                <w:color w:val="000000"/>
                                <w:kern w:val="24"/>
                              </w:rPr>
                              <w:t>jour de l’essai diurne d’émissions :</w:t>
                            </w:r>
                          </w:p>
                          <w:p w14:paraId="791C46ED" w14:textId="77777777" w:rsidR="007F6101" w:rsidRPr="00AC7D3B" w:rsidRDefault="007F6101" w:rsidP="00312EE0">
                            <w:pPr>
                              <w:jc w:val="center"/>
                            </w:pPr>
                            <w:r w:rsidRPr="00C248F1">
                              <w:rPr>
                                <w:color w:val="000000"/>
                                <w:kern w:val="24"/>
                                <w:lang w:val="fr-FR"/>
                              </w:rPr>
                              <w:t>HC</w:t>
                            </w:r>
                            <w:r w:rsidRPr="00C248F1">
                              <w:rPr>
                                <w:color w:val="000000"/>
                                <w:kern w:val="24"/>
                                <w:position w:val="-5"/>
                                <w:vertAlign w:val="subscript"/>
                                <w:lang w:val="fr-FR"/>
                              </w:rPr>
                              <w:t>20w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4AFECF" id="Zone de texte 5" o:spid="_x0000_s1040" type="#_x0000_t202" style="position:absolute;left:0;text-align:left;margin-left:113pt;margin-top:372.65pt;width:230.25pt;height: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" filled="f" stroked="f" strokeweight=".5pt">
                <v:textbox style="mso-fit-shape-to-text:t" inset="0,0,0,0">
                  <w:txbxContent>
                    <w:p w14:paraId="4165CAA7" w14:textId="77777777" w:rsidR="007F6101" w:rsidRPr="00501550" w:rsidRDefault="007F6101" w:rsidP="00312EE0">
                      <w:pPr>
                        <w:spacing w:line="240" w:lineRule="exact"/>
                        <w:jc w:val="center"/>
                      </w:pPr>
                      <w:r w:rsidRPr="00C248F1">
                        <w:rPr>
                          <w:color w:val="000000"/>
                          <w:kern w:val="24"/>
                        </w:rPr>
                        <w:t xml:space="preserve">5.2.4 Mesure des HC dans les mêmes conditions que lors du </w:t>
                      </w:r>
                      <w:r>
                        <w:rPr>
                          <w:color w:val="000000"/>
                          <w:kern w:val="24"/>
                        </w:rPr>
                        <w:t xml:space="preserve">premier </w:t>
                      </w:r>
                      <w:r w:rsidRPr="00C248F1">
                        <w:rPr>
                          <w:color w:val="000000"/>
                          <w:kern w:val="24"/>
                        </w:rPr>
                        <w:t>jour de l’essai diurne d’émissions :</w:t>
                      </w:r>
                    </w:p>
                    <w:p w14:paraId="791C46ED" w14:textId="77777777" w:rsidR="007F6101" w:rsidRPr="00AC7D3B" w:rsidRDefault="007F6101" w:rsidP="00312EE0">
                      <w:pPr>
                        <w:jc w:val="center"/>
                      </w:pPr>
                      <w:r w:rsidRPr="00C248F1">
                        <w:rPr>
                          <w:color w:val="000000"/>
                          <w:kern w:val="24"/>
                          <w:lang w:val="fr-FR"/>
                        </w:rPr>
                        <w:t>HC</w:t>
                      </w:r>
                      <w:r w:rsidRPr="00C248F1">
                        <w:rPr>
                          <w:color w:val="000000"/>
                          <w:kern w:val="24"/>
                          <w:position w:val="-5"/>
                          <w:vertAlign w:val="subscript"/>
                          <w:lang w:val="fr-FR"/>
                        </w:rPr>
                        <w:t>20w</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57216" behindDoc="0" locked="0" layoutInCell="1" allowOverlap="1" wp14:anchorId="0E13E34D" wp14:editId="76DED537">
                <wp:simplePos x="0" y="0"/>
                <wp:positionH relativeFrom="column">
                  <wp:posOffset>1553845</wp:posOffset>
                </wp:positionH>
                <wp:positionV relativeFrom="paragraph">
                  <wp:posOffset>2567249</wp:posOffset>
                </wp:positionV>
                <wp:extent cx="2689225" cy="527050"/>
                <wp:effectExtent l="0" t="0" r="0" b="6350"/>
                <wp:wrapNone/>
                <wp:docPr id="10" name="Zone de texte 10"/>
                <wp:cNvGraphicFramePr/>
                <a:graphic xmlns:a="http://schemas.openxmlformats.org/drawingml/2006/main">
                  <a:graphicData uri="http://schemas.microsoft.com/office/word/2010/wordprocessingShape">
                    <wps:wsp>
                      <wps:cNvSpPr txBox="1"/>
                      <wps:spPr>
                        <a:xfrm>
                          <a:off x="0" y="0"/>
                          <a:ext cx="2689225" cy="527050"/>
                        </a:xfrm>
                        <a:prstGeom prst="rect">
                          <a:avLst/>
                        </a:prstGeom>
                        <a:noFill/>
                        <a:ln w="6350">
                          <a:noFill/>
                        </a:ln>
                        <a:effectLst/>
                      </wps:spPr>
                      <wps:txbx>
                        <w:txbxContent>
                          <w:p w14:paraId="5D572691" w14:textId="77777777" w:rsidR="007F6101" w:rsidRPr="00501550" w:rsidRDefault="007F6101" w:rsidP="00312EE0">
                            <w:pPr>
                              <w:spacing w:line="240" w:lineRule="exact"/>
                              <w:jc w:val="center"/>
                            </w:pPr>
                            <w:r w:rsidRPr="00C248F1">
                              <w:rPr>
                                <w:color w:val="000000"/>
                                <w:kern w:val="24"/>
                              </w:rPr>
                              <w:t xml:space="preserve">5.2.2 Mesure des HC dans les mêmes conditions que </w:t>
                            </w:r>
                            <w:r w:rsidRPr="00C248F1">
                              <w:rPr>
                                <w:color w:val="000000"/>
                                <w:kern w:val="24"/>
                              </w:rPr>
                              <w:br/>
                              <w:t xml:space="preserve">lors du </w:t>
                            </w:r>
                            <w:r>
                              <w:rPr>
                                <w:color w:val="000000"/>
                                <w:kern w:val="24"/>
                              </w:rPr>
                              <w:t xml:space="preserve">premier </w:t>
                            </w:r>
                            <w:r w:rsidRPr="00C248F1">
                              <w:rPr>
                                <w:color w:val="000000"/>
                                <w:kern w:val="24"/>
                              </w:rPr>
                              <w:t>jour de l’essai diurne d’émissions :</w:t>
                            </w:r>
                          </w:p>
                          <w:p w14:paraId="736F73F8" w14:textId="77777777" w:rsidR="007F6101" w:rsidRPr="00AC7D3B" w:rsidRDefault="007F6101" w:rsidP="00312EE0">
                            <w:pPr>
                              <w:jc w:val="center"/>
                            </w:pPr>
                            <w:r w:rsidRPr="00C248F1">
                              <w:rPr>
                                <w:color w:val="000000"/>
                                <w:kern w:val="24"/>
                                <w:lang w:val="fr-FR"/>
                              </w:rPr>
                              <w:t>HC</w:t>
                            </w:r>
                            <w:r w:rsidRPr="00C248F1">
                              <w:rPr>
                                <w:color w:val="000000"/>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3E34D" id="Zone de texte 10" o:spid="_x0000_s1041" type="#_x0000_t202" style="position:absolute;left:0;text-align:left;margin-left:122.35pt;margin-top:202.15pt;width:211.7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" filled="f" stroked="f" strokeweight=".5pt">
                <v:textbox inset="0,0,0,0">
                  <w:txbxContent>
                    <w:p w14:paraId="5D572691" w14:textId="77777777" w:rsidR="007F6101" w:rsidRPr="00501550" w:rsidRDefault="007F6101" w:rsidP="00312EE0">
                      <w:pPr>
                        <w:spacing w:line="240" w:lineRule="exact"/>
                        <w:jc w:val="center"/>
                      </w:pPr>
                      <w:r w:rsidRPr="00C248F1">
                        <w:rPr>
                          <w:color w:val="000000"/>
                          <w:kern w:val="24"/>
                        </w:rPr>
                        <w:t xml:space="preserve">5.2.2 Mesure des HC dans les mêmes conditions que </w:t>
                      </w:r>
                      <w:r w:rsidRPr="00C248F1">
                        <w:rPr>
                          <w:color w:val="000000"/>
                          <w:kern w:val="24"/>
                        </w:rPr>
                        <w:br/>
                        <w:t xml:space="preserve">lors du </w:t>
                      </w:r>
                      <w:r>
                        <w:rPr>
                          <w:color w:val="000000"/>
                          <w:kern w:val="24"/>
                        </w:rPr>
                        <w:t xml:space="preserve">premier </w:t>
                      </w:r>
                      <w:r w:rsidRPr="00C248F1">
                        <w:rPr>
                          <w:color w:val="000000"/>
                          <w:kern w:val="24"/>
                        </w:rPr>
                        <w:t>jour de l’essai diurne d’émissions :</w:t>
                      </w:r>
                    </w:p>
                    <w:p w14:paraId="736F73F8" w14:textId="77777777" w:rsidR="007F6101" w:rsidRPr="00AC7D3B" w:rsidRDefault="007F6101" w:rsidP="00312EE0">
                      <w:pPr>
                        <w:jc w:val="center"/>
                      </w:pPr>
                      <w:r w:rsidRPr="00C248F1">
                        <w:rPr>
                          <w:color w:val="000000"/>
                          <w:kern w:val="24"/>
                          <w:lang w:val="fr-FR"/>
                        </w:rPr>
                        <w:t>HC</w:t>
                      </w:r>
                      <w:r w:rsidRPr="00C248F1">
                        <w:rPr>
                          <w:color w:val="000000"/>
                          <w:kern w:val="24"/>
                          <w:position w:val="-5"/>
                          <w:vertAlign w:val="subscript"/>
                          <w:lang w:val="fr-FR"/>
                        </w:rPr>
                        <w:t>3w</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54144" behindDoc="0" locked="0" layoutInCell="1" allowOverlap="1" wp14:anchorId="285ECCB9" wp14:editId="5DA6931E">
                <wp:simplePos x="0" y="0"/>
                <wp:positionH relativeFrom="column">
                  <wp:posOffset>1613535</wp:posOffset>
                </wp:positionH>
                <wp:positionV relativeFrom="paragraph">
                  <wp:posOffset>1304234</wp:posOffset>
                </wp:positionV>
                <wp:extent cx="2617470" cy="183515"/>
                <wp:effectExtent l="0" t="0" r="11430" b="12700"/>
                <wp:wrapNone/>
                <wp:docPr id="226" name="Zone de texte 226"/>
                <wp:cNvGraphicFramePr/>
                <a:graphic xmlns:a="http://schemas.openxmlformats.org/drawingml/2006/main">
                  <a:graphicData uri="http://schemas.microsoft.com/office/word/2010/wordprocessingShape">
                    <wps:wsp>
                      <wps:cNvSpPr txBox="1"/>
                      <wps:spPr>
                        <a:xfrm>
                          <a:off x="0" y="0"/>
                          <a:ext cx="2617470" cy="183515"/>
                        </a:xfrm>
                        <a:prstGeom prst="rect">
                          <a:avLst/>
                        </a:prstGeom>
                        <a:noFill/>
                        <a:ln w="6350">
                          <a:noFill/>
                        </a:ln>
                        <a:effectLst/>
                      </wps:spPr>
                      <wps:txbx>
                        <w:txbxContent>
                          <w:p w14:paraId="2696BB1E" w14:textId="77777777" w:rsidR="007F6101" w:rsidRPr="00501550" w:rsidRDefault="007F6101" w:rsidP="00312EE0">
                            <w:pPr>
                              <w:spacing w:line="240" w:lineRule="exact"/>
                              <w:jc w:val="center"/>
                            </w:pPr>
                            <w:r w:rsidRPr="00C248F1">
                              <w:rPr>
                                <w:color w:val="000000"/>
                                <w:kern w:val="24"/>
                              </w:rPr>
                              <w:t>5.2.1 Stabilisation pendant 3 semaines à 40 </w:t>
                            </w:r>
                            <w:r>
                              <w:rPr>
                                <w:color w:val="000000"/>
                                <w:kern w:val="24"/>
                              </w:rPr>
                              <w:sym w:font="Symbol" w:char="F0B1"/>
                            </w:r>
                            <w:r>
                              <w:rPr>
                                <w:color w:val="000000"/>
                                <w:kern w:val="24"/>
                              </w:rPr>
                              <w:t xml:space="preserve"> </w:t>
                            </w:r>
                            <w:r w:rsidRPr="00501550">
                              <w:rPr>
                                <w:color w:val="000000"/>
                                <w:kern w:val="24"/>
                              </w:rPr>
                              <w:t>2</w:t>
                            </w:r>
                            <w:r w:rsidRPr="00C248F1">
                              <w:rPr>
                                <w:color w:val="000000"/>
                                <w:kern w:val="24"/>
                              </w:rPr>
                              <w:t>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5ECCB9" id="Zone de texte 226" o:spid="_x0000_s1042" type="#_x0000_t202" style="position:absolute;left:0;text-align:left;margin-left:127.05pt;margin-top:102.7pt;width:206.1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" filled="f" stroked="f" strokeweight=".5pt">
                <v:textbox style="mso-fit-shape-to-text:t" inset="0,0,0,0">
                  <w:txbxContent>
                    <w:p w14:paraId="2696BB1E" w14:textId="77777777" w:rsidR="007F6101" w:rsidRPr="00501550" w:rsidRDefault="007F6101" w:rsidP="00312EE0">
                      <w:pPr>
                        <w:spacing w:line="240" w:lineRule="exact"/>
                        <w:jc w:val="center"/>
                      </w:pPr>
                      <w:r w:rsidRPr="00C248F1">
                        <w:rPr>
                          <w:color w:val="000000"/>
                          <w:kern w:val="24"/>
                        </w:rPr>
                        <w:t>5.2.1 Stabilisation pendant 3 semaines à 40 </w:t>
                      </w:r>
                      <w:r>
                        <w:rPr>
                          <w:color w:val="000000"/>
                          <w:kern w:val="24"/>
                        </w:rPr>
                        <w:sym w:font="Symbol" w:char="F0B1"/>
                      </w:r>
                      <w:r>
                        <w:rPr>
                          <w:color w:val="000000"/>
                          <w:kern w:val="24"/>
                        </w:rPr>
                        <w:t xml:space="preserve"> </w:t>
                      </w:r>
                      <w:r w:rsidRPr="00501550">
                        <w:rPr>
                          <w:color w:val="000000"/>
                          <w:kern w:val="24"/>
                        </w:rPr>
                        <w:t>2</w:t>
                      </w:r>
                      <w:r w:rsidRPr="00C248F1">
                        <w:rPr>
                          <w:color w:val="000000"/>
                          <w:kern w:val="24"/>
                        </w:rPr>
                        <w:t> °C</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53120" behindDoc="0" locked="0" layoutInCell="1" allowOverlap="1" wp14:anchorId="5EAB936E" wp14:editId="5A66D4B7">
                <wp:simplePos x="0" y="0"/>
                <wp:positionH relativeFrom="column">
                  <wp:posOffset>1569776</wp:posOffset>
                </wp:positionH>
                <wp:positionV relativeFrom="paragraph">
                  <wp:posOffset>517525</wp:posOffset>
                </wp:positionV>
                <wp:extent cx="2687934" cy="411982"/>
                <wp:effectExtent l="0" t="0" r="0" b="7620"/>
                <wp:wrapNone/>
                <wp:docPr id="228" name="Zone de texte 228"/>
                <wp:cNvGraphicFramePr/>
                <a:graphic xmlns:a="http://schemas.openxmlformats.org/drawingml/2006/main">
                  <a:graphicData uri="http://schemas.microsoft.com/office/word/2010/wordprocessingShape">
                    <wps:wsp>
                      <wps:cNvSpPr txBox="1"/>
                      <wps:spPr>
                        <a:xfrm>
                          <a:off x="0" y="0"/>
                          <a:ext cx="2687934" cy="411982"/>
                        </a:xfrm>
                        <a:prstGeom prst="rect">
                          <a:avLst/>
                        </a:prstGeom>
                        <a:noFill/>
                        <a:ln w="6350">
                          <a:noFill/>
                        </a:ln>
                        <a:effectLst/>
                      </wps:spPr>
                      <wps:txbx>
                        <w:txbxContent>
                          <w:p w14:paraId="18114755" w14:textId="77777777" w:rsidR="007F6101" w:rsidRPr="000D5103" w:rsidRDefault="007F6101" w:rsidP="00312EE0">
                            <w:pPr>
                              <w:spacing w:before="120" w:line="240" w:lineRule="exact"/>
                              <w:jc w:val="center"/>
                              <w:rPr>
                                <w:spacing w:val="-4"/>
                              </w:rPr>
                            </w:pPr>
                            <w:r w:rsidRPr="000D5103">
                              <w:rPr>
                                <w:color w:val="000000"/>
                                <w:spacing w:val="-4"/>
                                <w:kern w:val="24"/>
                              </w:rPr>
                              <w:t>5.2.1 Remplissage du réservoir à 40</w:t>
                            </w:r>
                            <w:r w:rsidRPr="000D5103">
                              <w:rPr>
                                <w:rFonts w:hint="eastAsia"/>
                                <w:color w:val="000000"/>
                                <w:spacing w:val="-4"/>
                                <w:kern w:val="24"/>
                              </w:rPr>
                              <w:t xml:space="preserve"> </w:t>
                            </w:r>
                            <w:r w:rsidRPr="000D5103">
                              <w:rPr>
                                <w:color w:val="000000"/>
                                <w:spacing w:val="-4"/>
                                <w:kern w:val="24"/>
                              </w:rPr>
                              <w:sym w:font="Symbol" w:char="F0B1"/>
                            </w:r>
                            <w:r>
                              <w:rPr>
                                <w:color w:val="000000"/>
                                <w:spacing w:val="-4"/>
                                <w:kern w:val="24"/>
                              </w:rPr>
                              <w:t xml:space="preserve"> </w:t>
                            </w:r>
                            <w:r w:rsidRPr="000D5103">
                              <w:rPr>
                                <w:rFonts w:hint="eastAsia"/>
                                <w:color w:val="000000"/>
                                <w:spacing w:val="-4"/>
                                <w:kern w:val="24"/>
                              </w:rPr>
                              <w:t>2</w:t>
                            </w:r>
                            <w:r w:rsidRPr="000D5103">
                              <w:rPr>
                                <w:color w:val="000000"/>
                                <w:spacing w:val="-4"/>
                                <w:kern w:val="24"/>
                              </w:rPr>
                              <w:t> % de sa contenance nominale 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936E" id="Zone de texte 228" o:spid="_x0000_s1043" type="#_x0000_t202" style="position:absolute;left:0;text-align:left;margin-left:123.6pt;margin-top:40.75pt;width:211.65pt;height:3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" filled="f" stroked="f" strokeweight=".5pt">
                <v:textbox inset="0,0,0,0">
                  <w:txbxContent>
                    <w:p w14:paraId="18114755" w14:textId="77777777" w:rsidR="007F6101" w:rsidRPr="000D5103" w:rsidRDefault="007F6101" w:rsidP="00312EE0">
                      <w:pPr>
                        <w:spacing w:before="120" w:line="240" w:lineRule="exact"/>
                        <w:jc w:val="center"/>
                        <w:rPr>
                          <w:spacing w:val="-4"/>
                        </w:rPr>
                      </w:pPr>
                      <w:r w:rsidRPr="000D5103">
                        <w:rPr>
                          <w:color w:val="000000"/>
                          <w:spacing w:val="-4"/>
                          <w:kern w:val="24"/>
                        </w:rPr>
                        <w:t>5.2.1 Remplissage du réservoir à 40</w:t>
                      </w:r>
                      <w:r w:rsidRPr="000D5103">
                        <w:rPr>
                          <w:rFonts w:hint="eastAsia"/>
                          <w:color w:val="000000"/>
                          <w:spacing w:val="-4"/>
                          <w:kern w:val="24"/>
                        </w:rPr>
                        <w:t xml:space="preserve"> </w:t>
                      </w:r>
                      <w:r w:rsidRPr="000D5103">
                        <w:rPr>
                          <w:color w:val="000000"/>
                          <w:spacing w:val="-4"/>
                          <w:kern w:val="24"/>
                        </w:rPr>
                        <w:sym w:font="Symbol" w:char="F0B1"/>
                      </w:r>
                      <w:r>
                        <w:rPr>
                          <w:color w:val="000000"/>
                          <w:spacing w:val="-4"/>
                          <w:kern w:val="24"/>
                        </w:rPr>
                        <w:t xml:space="preserve"> </w:t>
                      </w:r>
                      <w:r w:rsidRPr="000D5103">
                        <w:rPr>
                          <w:rFonts w:hint="eastAsia"/>
                          <w:color w:val="000000"/>
                          <w:spacing w:val="-4"/>
                          <w:kern w:val="24"/>
                        </w:rPr>
                        <w:t>2</w:t>
                      </w:r>
                      <w:r w:rsidRPr="000D5103">
                        <w:rPr>
                          <w:color w:val="000000"/>
                          <w:spacing w:val="-4"/>
                          <w:kern w:val="24"/>
                        </w:rPr>
                        <w:t> % de sa contenance nominale avec le carburant de référence</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59264" behindDoc="0" locked="0" layoutInCell="1" allowOverlap="1" wp14:anchorId="7FEAB0E5" wp14:editId="35FB631F">
                <wp:simplePos x="0" y="0"/>
                <wp:positionH relativeFrom="column">
                  <wp:posOffset>1659890</wp:posOffset>
                </wp:positionH>
                <wp:positionV relativeFrom="paragraph">
                  <wp:posOffset>3908701</wp:posOffset>
                </wp:positionV>
                <wp:extent cx="2459182" cy="323372"/>
                <wp:effectExtent l="0" t="0" r="0" b="12700"/>
                <wp:wrapNone/>
                <wp:docPr id="229" name="Zone de texte 229"/>
                <wp:cNvGraphicFramePr/>
                <a:graphic xmlns:a="http://schemas.openxmlformats.org/drawingml/2006/main">
                  <a:graphicData uri="http://schemas.microsoft.com/office/word/2010/wordprocessingShape">
                    <wps:wsp>
                      <wps:cNvSpPr txBox="1"/>
                      <wps:spPr>
                        <a:xfrm>
                          <a:off x="0" y="0"/>
                          <a:ext cx="2459182" cy="323372"/>
                        </a:xfrm>
                        <a:prstGeom prst="rect">
                          <a:avLst/>
                        </a:prstGeom>
                        <a:noFill/>
                        <a:ln w="6350">
                          <a:noFill/>
                        </a:ln>
                        <a:effectLst/>
                      </wps:spPr>
                      <wps:txbx>
                        <w:txbxContent>
                          <w:p w14:paraId="5CD9825D" w14:textId="77777777" w:rsidR="007F6101" w:rsidRPr="00501550" w:rsidRDefault="007F6101" w:rsidP="00312EE0">
                            <w:pPr>
                              <w:spacing w:line="240" w:lineRule="exact"/>
                              <w:jc w:val="center"/>
                            </w:pPr>
                            <w:r w:rsidRPr="00C248F1">
                              <w:rPr>
                                <w:color w:val="000000"/>
                                <w:kern w:val="24"/>
                              </w:rPr>
                              <w:t>5.2.4 Vidange puis remplissage du réservoir à 40 % de sa c</w:t>
                            </w:r>
                            <w:r>
                              <w:rPr>
                                <w:color w:val="000000"/>
                                <w:kern w:val="24"/>
                              </w:rPr>
                              <w:t>ontenance</w:t>
                            </w:r>
                            <w:r w:rsidRPr="00C248F1">
                              <w:rPr>
                                <w:color w:val="000000"/>
                                <w:kern w:val="24"/>
                              </w:rPr>
                              <w:t xml:space="preserve"> nominale 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EAB0E5" id="Zone de texte 229" o:spid="_x0000_s1044" type="#_x0000_t202" style="position:absolute;left:0;text-align:left;margin-left:130.7pt;margin-top:307.75pt;width:193.6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" filled="f" stroked="f" strokeweight=".5pt">
                <v:textbox style="mso-fit-shape-to-text:t" inset="0,0,0,0">
                  <w:txbxContent>
                    <w:p w14:paraId="5CD9825D" w14:textId="77777777" w:rsidR="007F6101" w:rsidRPr="00501550" w:rsidRDefault="007F6101" w:rsidP="00312EE0">
                      <w:pPr>
                        <w:spacing w:line="240" w:lineRule="exact"/>
                        <w:jc w:val="center"/>
                      </w:pPr>
                      <w:r w:rsidRPr="00C248F1">
                        <w:rPr>
                          <w:color w:val="000000"/>
                          <w:kern w:val="24"/>
                        </w:rPr>
                        <w:t>5.2.4 Vidange puis remplissage du réservoir à 40 % de sa c</w:t>
                      </w:r>
                      <w:r>
                        <w:rPr>
                          <w:color w:val="000000"/>
                          <w:kern w:val="24"/>
                        </w:rPr>
                        <w:t>ontenance</w:t>
                      </w:r>
                      <w:r w:rsidRPr="00C248F1">
                        <w:rPr>
                          <w:color w:val="000000"/>
                          <w:kern w:val="24"/>
                        </w:rPr>
                        <w:t xml:space="preserve"> nominale avec le carburant de référence</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60288" behindDoc="0" locked="0" layoutInCell="1" allowOverlap="1" wp14:anchorId="5AB71D4C" wp14:editId="081672A8">
                <wp:simplePos x="0" y="0"/>
                <wp:positionH relativeFrom="column">
                  <wp:posOffset>1610995</wp:posOffset>
                </wp:positionH>
                <wp:positionV relativeFrom="paragraph">
                  <wp:posOffset>3352165</wp:posOffset>
                </wp:positionV>
                <wp:extent cx="2573811" cy="364763"/>
                <wp:effectExtent l="0" t="0" r="0" b="12700"/>
                <wp:wrapNone/>
                <wp:docPr id="231" name="Zone de texte 231"/>
                <wp:cNvGraphicFramePr/>
                <a:graphic xmlns:a="http://schemas.openxmlformats.org/drawingml/2006/main">
                  <a:graphicData uri="http://schemas.microsoft.com/office/word/2010/wordprocessingShape">
                    <wps:wsp>
                      <wps:cNvSpPr txBox="1"/>
                      <wps:spPr>
                        <a:xfrm>
                          <a:off x="0" y="0"/>
                          <a:ext cx="2573811" cy="364763"/>
                        </a:xfrm>
                        <a:prstGeom prst="rect">
                          <a:avLst/>
                        </a:prstGeom>
                        <a:noFill/>
                        <a:ln w="6350">
                          <a:noFill/>
                        </a:ln>
                        <a:effectLst/>
                      </wps:spPr>
                      <wps:txbx>
                        <w:txbxContent>
                          <w:p w14:paraId="58B52A1C" w14:textId="77777777" w:rsidR="007F6101" w:rsidRPr="00501550" w:rsidRDefault="007F6101" w:rsidP="00312EE0">
                            <w:pPr>
                              <w:spacing w:line="240" w:lineRule="exact"/>
                              <w:jc w:val="center"/>
                            </w:pPr>
                            <w:r w:rsidRPr="00C248F1">
                              <w:rPr>
                                <w:color w:val="000000"/>
                                <w:kern w:val="24"/>
                              </w:rPr>
                              <w:t>5.2.3 Stabilisation pendant les 17 semaines restantes à 40</w:t>
                            </w:r>
                            <w:r>
                              <w:rPr>
                                <w:color w:val="000000"/>
                                <w:kern w:val="24"/>
                              </w:rPr>
                              <w:t xml:space="preserve"> </w:t>
                            </w:r>
                            <w:r>
                              <w:rPr>
                                <w:color w:val="000000"/>
                                <w:kern w:val="24"/>
                              </w:rPr>
                              <w:sym w:font="Symbol" w:char="F0B1"/>
                            </w:r>
                            <w:r>
                              <w:rPr>
                                <w:color w:val="000000"/>
                                <w:kern w:val="24"/>
                              </w:rPr>
                              <w:t xml:space="preserve"> </w:t>
                            </w:r>
                            <w:r w:rsidRPr="00C248F1">
                              <w:rPr>
                                <w:color w:val="000000"/>
                                <w:kern w:val="24"/>
                              </w:rPr>
                              <w:t>2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71D4C" id="Zone de texte 231" o:spid="_x0000_s1045" type="#_x0000_t202" style="position:absolute;left:0;text-align:left;margin-left:126.85pt;margin-top:263.95pt;width:202.6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" filled="f" stroked="f" strokeweight=".5pt">
                <v:textbox style="mso-fit-shape-to-text:t" inset="0,0,0,0">
                  <w:txbxContent>
                    <w:p w14:paraId="58B52A1C" w14:textId="77777777" w:rsidR="007F6101" w:rsidRPr="00501550" w:rsidRDefault="007F6101" w:rsidP="00312EE0">
                      <w:pPr>
                        <w:spacing w:line="240" w:lineRule="exact"/>
                        <w:jc w:val="center"/>
                      </w:pPr>
                      <w:r w:rsidRPr="00C248F1">
                        <w:rPr>
                          <w:color w:val="000000"/>
                          <w:kern w:val="24"/>
                        </w:rPr>
                        <w:t>5.2.3 Stabilisation pendant les 17 semaines restantes à 40</w:t>
                      </w:r>
                      <w:r>
                        <w:rPr>
                          <w:color w:val="000000"/>
                          <w:kern w:val="24"/>
                        </w:rPr>
                        <w:t xml:space="preserve"> </w:t>
                      </w:r>
                      <w:r>
                        <w:rPr>
                          <w:color w:val="000000"/>
                          <w:kern w:val="24"/>
                        </w:rPr>
                        <w:sym w:font="Symbol" w:char="F0B1"/>
                      </w:r>
                      <w:r>
                        <w:rPr>
                          <w:color w:val="000000"/>
                          <w:kern w:val="24"/>
                        </w:rPr>
                        <w:t xml:space="preserve"> </w:t>
                      </w:r>
                      <w:r w:rsidRPr="00C248F1">
                        <w:rPr>
                          <w:color w:val="000000"/>
                          <w:kern w:val="24"/>
                        </w:rPr>
                        <w:t>2 °C</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58240" behindDoc="0" locked="0" layoutInCell="1" allowOverlap="1" wp14:anchorId="196B187A" wp14:editId="60395B11">
                <wp:simplePos x="0" y="0"/>
                <wp:positionH relativeFrom="column">
                  <wp:posOffset>2468245</wp:posOffset>
                </wp:positionH>
                <wp:positionV relativeFrom="paragraph">
                  <wp:posOffset>94615</wp:posOffset>
                </wp:positionV>
                <wp:extent cx="897397" cy="195514"/>
                <wp:effectExtent l="0" t="0" r="0" b="14605"/>
                <wp:wrapNone/>
                <wp:docPr id="232" name="Zone de texte 232"/>
                <wp:cNvGraphicFramePr/>
                <a:graphic xmlns:a="http://schemas.openxmlformats.org/drawingml/2006/main">
                  <a:graphicData uri="http://schemas.microsoft.com/office/word/2010/wordprocessingShape">
                    <wps:wsp>
                      <wps:cNvSpPr txBox="1"/>
                      <wps:spPr>
                        <a:xfrm>
                          <a:off x="0" y="0"/>
                          <a:ext cx="897397" cy="195514"/>
                        </a:xfrm>
                        <a:prstGeom prst="rect">
                          <a:avLst/>
                        </a:prstGeom>
                        <a:noFill/>
                        <a:ln w="6350">
                          <a:noFill/>
                        </a:ln>
                        <a:effectLst/>
                      </wps:spPr>
                      <wps:txbx>
                        <w:txbxContent>
                          <w:p w14:paraId="38C46708" w14:textId="77777777" w:rsidR="007F6101" w:rsidRPr="00AC7D3B" w:rsidRDefault="007F6101" w:rsidP="00312EE0">
                            <w:pPr>
                              <w:jc w:val="center"/>
                            </w:pPr>
                            <w:r w:rsidRPr="00AC7D3B">
                              <w:t>Début de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187A" id="Zone de texte 232" o:spid="_x0000_s1046" type="#_x0000_t202" style="position:absolute;left:0;text-align:left;margin-left:194.35pt;margin-top:7.45pt;width:70.6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" filled="f" stroked="f" strokeweight=".5pt">
                <v:textbox inset="0,0,0,0">
                  <w:txbxContent>
                    <w:p w14:paraId="38C46708" w14:textId="77777777" w:rsidR="007F6101" w:rsidRPr="00AC7D3B" w:rsidRDefault="007F6101" w:rsidP="00312EE0">
                      <w:pPr>
                        <w:jc w:val="center"/>
                      </w:pPr>
                      <w:r w:rsidRPr="00AC7D3B">
                        <w:t>Début de l’essai</w:t>
                      </w:r>
                    </w:p>
                  </w:txbxContent>
                </v:textbox>
              </v:shape>
            </w:pict>
          </mc:Fallback>
        </mc:AlternateContent>
      </w:r>
      <w:r w:rsidR="00312EE0" w:rsidRPr="004156C2">
        <w:rPr>
          <w:rFonts w:eastAsia="MS Mincho"/>
          <w:noProof/>
          <w:lang w:val="fr-FR" w:eastAsia="fr-FR"/>
        </w:rPr>
        <w:drawing>
          <wp:inline distT="0" distB="0" distL="0" distR="0" wp14:anchorId="7F762882" wp14:editId="72FCF112">
            <wp:extent cx="3343275" cy="6477000"/>
            <wp:effectExtent l="0" t="0" r="9525"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7099" b="5028"/>
                    <a:stretch/>
                  </pic:blipFill>
                  <pic:spPr bwMode="auto">
                    <a:xfrm>
                      <a:off x="0" y="0"/>
                      <a:ext cx="3344413" cy="6479205"/>
                    </a:xfrm>
                    <a:prstGeom prst="rect">
                      <a:avLst/>
                    </a:prstGeom>
                    <a:noFill/>
                    <a:ln>
                      <a:noFill/>
                    </a:ln>
                    <a:extLst>
                      <a:ext uri="{53640926-AAD7-44D8-BBD7-CCE9431645EC}">
                        <a14:shadowObscured xmlns:a14="http://schemas.microsoft.com/office/drawing/2010/main"/>
                      </a:ext>
                    </a:extLst>
                  </pic:spPr>
                </pic:pic>
              </a:graphicData>
            </a:graphic>
          </wp:inline>
        </w:drawing>
      </w:r>
    </w:p>
    <w:p w14:paraId="1D454DAB" w14:textId="77777777" w:rsidR="00312EE0" w:rsidRPr="004156C2" w:rsidRDefault="00312EE0" w:rsidP="00312EE0">
      <w:pPr>
        <w:pStyle w:val="SingleTxtG"/>
        <w:ind w:left="2268" w:hanging="1134"/>
        <w:rPr>
          <w:rFonts w:eastAsia="MS Mincho"/>
          <w:lang w:val="fr-FR"/>
        </w:rPr>
      </w:pPr>
      <w:r w:rsidRPr="004156C2">
        <w:rPr>
          <w:rFonts w:eastAsia="MS Mincho"/>
          <w:lang w:val="fr-FR"/>
        </w:rPr>
        <w:t>5.2.1</w:t>
      </w:r>
      <w:r w:rsidRPr="004156C2">
        <w:rPr>
          <w:rFonts w:eastAsia="MS Mincho"/>
          <w:lang w:val="fr-FR"/>
        </w:rPr>
        <w:tab/>
      </w:r>
      <w:r w:rsidRPr="004156C2">
        <w:rPr>
          <w:rFonts w:eastAsia="MS Mincho"/>
          <w:lang w:val="fr-FR" w:eastAsia="ja-JP"/>
        </w:rPr>
        <w:tab/>
      </w:r>
      <w:r w:rsidRPr="004156C2">
        <w:rPr>
          <w:rFonts w:eastAsia="MS Mincho"/>
          <w:szCs w:val="24"/>
          <w:lang w:val="fr-FR" w:eastAsia="ja-JP"/>
        </w:rPr>
        <w:t>Le système de réservoir de carburant représentatif d’une famille doit être sélectionné</w:t>
      </w:r>
      <w:r>
        <w:rPr>
          <w:rFonts w:eastAsia="MS Mincho"/>
          <w:szCs w:val="24"/>
          <w:lang w:val="fr-FR" w:eastAsia="ja-JP"/>
        </w:rPr>
        <w:t>,</w:t>
      </w:r>
      <w:r w:rsidRPr="004156C2">
        <w:rPr>
          <w:rFonts w:eastAsia="MS Mincho"/>
          <w:szCs w:val="24"/>
          <w:lang w:val="fr-FR" w:eastAsia="ja-JP"/>
        </w:rPr>
        <w:t xml:space="preserve"> monté sur un banc </w:t>
      </w:r>
      <w:r w:rsidRPr="004156C2">
        <w:rPr>
          <w:rFonts w:eastAsia="MS Mincho"/>
          <w:lang w:val="fr-FR"/>
        </w:rPr>
        <w:t>d’essai</w:t>
      </w:r>
      <w:r>
        <w:rPr>
          <w:rFonts w:eastAsia="MS Mincho"/>
          <w:lang w:val="fr-FR"/>
        </w:rPr>
        <w:t xml:space="preserve"> et orienté de la même façon que</w:t>
      </w:r>
      <w:r w:rsidRPr="004156C2">
        <w:rPr>
          <w:rFonts w:eastAsia="MS Mincho"/>
          <w:lang w:val="fr-FR"/>
        </w:rPr>
        <w:t xml:space="preserve"> sur le véhicule. Le réservoir doit être rempli de carburant de référence à une température de 18 </w:t>
      </w:r>
      <w:r w:rsidRPr="004156C2">
        <w:rPr>
          <w:rFonts w:eastAsia="MS Mincho"/>
          <w:lang w:val="fr-FR"/>
        </w:rPr>
        <w:sym w:font="Symbol" w:char="F0B1"/>
      </w:r>
      <w:r w:rsidRPr="004156C2">
        <w:rPr>
          <w:rFonts w:eastAsia="MS Mincho"/>
          <w:lang w:val="fr-FR"/>
        </w:rPr>
        <w:t xml:space="preserve"> 2 °C, à 40 </w:t>
      </w:r>
      <w:r w:rsidRPr="004156C2">
        <w:rPr>
          <w:rFonts w:eastAsia="MS Mincho"/>
          <w:lang w:val="fr-FR"/>
        </w:rPr>
        <w:sym w:font="Symbol" w:char="F0B1"/>
      </w:r>
      <w:r>
        <w:rPr>
          <w:rFonts w:eastAsia="MS Mincho"/>
          <w:lang w:val="fr-FR"/>
        </w:rPr>
        <w:t xml:space="preserve"> </w:t>
      </w:r>
      <w:r w:rsidRPr="004156C2">
        <w:rPr>
          <w:rFonts w:eastAsia="MS Mincho"/>
          <w:lang w:val="fr-FR"/>
        </w:rPr>
        <w:t>2 % de sa c</w:t>
      </w:r>
      <w:r>
        <w:rPr>
          <w:rFonts w:eastAsia="MS Mincho"/>
          <w:lang w:val="fr-FR"/>
        </w:rPr>
        <w:t xml:space="preserve">ontenance </w:t>
      </w:r>
      <w:r w:rsidRPr="004156C2">
        <w:rPr>
          <w:rFonts w:eastAsia="MS Mincho"/>
          <w:lang w:val="fr-FR"/>
        </w:rPr>
        <w:t>nominale. Le banc</w:t>
      </w:r>
      <w:r>
        <w:rPr>
          <w:rFonts w:eastAsia="MS Mincho"/>
          <w:lang w:val="fr-FR"/>
        </w:rPr>
        <w:t xml:space="preserve"> sur lequel est monté </w:t>
      </w:r>
      <w:r w:rsidRPr="004156C2">
        <w:rPr>
          <w:rFonts w:eastAsia="MS Mincho"/>
          <w:lang w:val="fr-FR"/>
        </w:rPr>
        <w:t>le système de réservoir de carburant doit être placé dans un local maintenu à une température de 40 </w:t>
      </w:r>
      <w:r w:rsidRPr="004156C2">
        <w:rPr>
          <w:rFonts w:eastAsia="MS Mincho"/>
          <w:lang w:val="fr-FR"/>
        </w:rPr>
        <w:sym w:font="Symbol" w:char="F0B1"/>
      </w:r>
      <w:r w:rsidRPr="004156C2">
        <w:rPr>
          <w:rFonts w:eastAsia="MS Mincho"/>
          <w:lang w:val="fr-FR"/>
        </w:rPr>
        <w:t> 2 °C pendant trois semaines.</w:t>
      </w:r>
    </w:p>
    <w:p w14:paraId="06C14B1A" w14:textId="77777777" w:rsidR="00312EE0" w:rsidRPr="004156C2" w:rsidRDefault="00312EE0" w:rsidP="00312EE0">
      <w:pPr>
        <w:pStyle w:val="SingleTxtG"/>
        <w:ind w:left="2268" w:hanging="1134"/>
        <w:rPr>
          <w:rFonts w:eastAsia="MS Mincho"/>
          <w:lang w:val="fr-FR"/>
        </w:rPr>
      </w:pPr>
      <w:r w:rsidRPr="004156C2">
        <w:rPr>
          <w:rFonts w:eastAsia="MS Mincho"/>
          <w:lang w:val="fr-FR"/>
        </w:rPr>
        <w:t>5.2.2</w:t>
      </w:r>
      <w:r w:rsidRPr="004156C2">
        <w:rPr>
          <w:rFonts w:eastAsia="MS Mincho"/>
          <w:lang w:val="fr-FR"/>
        </w:rPr>
        <w:tab/>
        <w:t>À la fin de la troisième semaine, le réservoir doit être vidangé, puis rempli de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14:paraId="406ADDD7" w14:textId="77777777" w:rsidR="00312EE0" w:rsidRPr="004156C2" w:rsidRDefault="00312EE0" w:rsidP="00312EE0">
      <w:pPr>
        <w:pStyle w:val="SingleTxtG"/>
        <w:ind w:left="2268"/>
        <w:rPr>
          <w:rFonts w:eastAsia="MS Mincho"/>
          <w:lang w:val="fr-FR"/>
        </w:rPr>
      </w:pPr>
      <w:r w:rsidRPr="004156C2">
        <w:rPr>
          <w:rFonts w:eastAsia="MS Mincho"/>
          <w:lang w:val="fr-FR"/>
        </w:rPr>
        <w:t>Dans un délai de 6 à 36 h, le banc</w:t>
      </w:r>
      <w:r>
        <w:rPr>
          <w:rFonts w:eastAsia="MS Mincho"/>
          <w:lang w:val="fr-FR"/>
        </w:rPr>
        <w:t xml:space="preserve"> sur lequel est monté</w:t>
      </w:r>
      <w:r w:rsidRPr="004156C2">
        <w:rPr>
          <w:rFonts w:eastAsia="MS Mincho"/>
          <w:lang w:val="fr-FR"/>
        </w:rPr>
        <w:t xml:space="preserve"> le système de réservoir de carburant doit être placé dans une enceinte. Pendant les six dernières heures de cette période, la température ambiante de celle-ci doit être de 20</w:t>
      </w:r>
      <w:r>
        <w:rPr>
          <w:rFonts w:eastAsia="MS Mincho"/>
          <w:lang w:val="fr-FR"/>
        </w:rPr>
        <w:t xml:space="preserve"> </w:t>
      </w:r>
      <w:r w:rsidRPr="004156C2">
        <w:rPr>
          <w:rFonts w:eastAsia="MS Mincho"/>
          <w:lang w:val="fr-FR"/>
        </w:rPr>
        <w:sym w:font="Symbol" w:char="F0B1"/>
      </w:r>
      <w:r>
        <w:rPr>
          <w:rFonts w:eastAsia="MS Mincho"/>
          <w:lang w:val="fr-FR"/>
        </w:rPr>
        <w:t xml:space="preserve"> </w:t>
      </w:r>
      <w:r w:rsidRPr="004156C2">
        <w:rPr>
          <w:rFonts w:eastAsia="MS Mincho"/>
          <w:lang w:val="fr-FR"/>
        </w:rPr>
        <w:t xml:space="preserve">2 °C. </w:t>
      </w:r>
      <w:r w:rsidRPr="004156C2">
        <w:rPr>
          <w:rFonts w:eastAsia="MS Mincho"/>
          <w:lang w:val="fr-FR"/>
        </w:rPr>
        <w:lastRenderedPageBreak/>
        <w:t>Dans l’enceinte, un essai diurne doit être effectué pendant la première période de 24 h de la procédure décrite au paragraphe 6.5.</w:t>
      </w:r>
      <w:r>
        <w:rPr>
          <w:rFonts w:eastAsia="MS Mincho"/>
          <w:lang w:val="fr-FR"/>
        </w:rPr>
        <w:t>9</w:t>
      </w:r>
      <w:r w:rsidRPr="004156C2">
        <w:rPr>
          <w:rFonts w:eastAsia="MS Mincho"/>
          <w:lang w:val="fr-FR"/>
        </w:rPr>
        <w:t xml:space="preserve"> de la présente annexe. Les vapeurs de carburant présentes dans le réservoir doivent être évacuées vers l’extérieur de l’enceinte pour éliminer la possibilité que les émissions de ventilation du réservoir soient comptées comme pertes par perméation. Les émissions de HC doivent être mesurées et la valeur </w:t>
      </w:r>
      <w:r>
        <w:rPr>
          <w:rFonts w:eastAsia="MS Mincho"/>
          <w:lang w:val="fr-FR"/>
        </w:rPr>
        <w:t>obtenue</w:t>
      </w:r>
      <w:r w:rsidRPr="004156C2">
        <w:rPr>
          <w:rFonts w:eastAsia="MS Mincho"/>
          <w:lang w:val="fr-FR"/>
        </w:rPr>
        <w:t xml:space="preserve"> doit être enregistrée sous la référence </w:t>
      </w:r>
      <m:oMath>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w:r w:rsidRPr="004156C2">
        <w:rPr>
          <w:rFonts w:eastAsia="MS Mincho"/>
          <w:lang w:val="fr-FR"/>
        </w:rPr>
        <w:t>.</w:t>
      </w:r>
    </w:p>
    <w:p w14:paraId="5ECD6030" w14:textId="77777777" w:rsidR="00312EE0" w:rsidRPr="004156C2" w:rsidRDefault="00312EE0" w:rsidP="00312EE0">
      <w:pPr>
        <w:pStyle w:val="SingleTxtG"/>
        <w:ind w:left="2268" w:hanging="1134"/>
        <w:rPr>
          <w:rFonts w:eastAsia="MS Mincho"/>
          <w:lang w:val="fr-FR"/>
        </w:rPr>
      </w:pPr>
      <w:r w:rsidRPr="004156C2">
        <w:rPr>
          <w:rFonts w:eastAsia="MS Mincho"/>
          <w:lang w:val="fr-FR"/>
        </w:rPr>
        <w:t>5.2.3</w:t>
      </w:r>
      <w:r w:rsidRPr="004156C2">
        <w:rPr>
          <w:rFonts w:eastAsia="MS Mincho"/>
          <w:lang w:val="fr-FR"/>
        </w:rPr>
        <w:tab/>
        <w:t>Le banc</w:t>
      </w:r>
      <w:r>
        <w:rPr>
          <w:rFonts w:eastAsia="MS Mincho"/>
          <w:lang w:val="fr-FR"/>
        </w:rPr>
        <w:t xml:space="preserve"> sur lequel est monté </w:t>
      </w:r>
      <w:r w:rsidRPr="004156C2">
        <w:rPr>
          <w:rFonts w:eastAsia="MS Mincho"/>
          <w:lang w:val="fr-FR"/>
        </w:rPr>
        <w:t>le système de réservoir de carburant</w:t>
      </w:r>
      <w:r>
        <w:rPr>
          <w:rFonts w:eastAsia="MS Mincho"/>
          <w:lang w:val="fr-FR"/>
        </w:rPr>
        <w:t xml:space="preserve"> </w:t>
      </w:r>
      <w:r w:rsidRPr="004156C2">
        <w:rPr>
          <w:rFonts w:eastAsia="MS Mincho"/>
          <w:lang w:val="fr-FR"/>
        </w:rPr>
        <w:t>doit ensuite être replacé dans un local maintenu à une température de 40</w:t>
      </w:r>
      <w:r>
        <w:rPr>
          <w:rFonts w:eastAsia="MS Mincho"/>
          <w:lang w:val="fr-FR"/>
        </w:rPr>
        <w:t xml:space="preserve"> </w:t>
      </w:r>
      <w:r w:rsidRPr="004156C2">
        <w:rPr>
          <w:rFonts w:eastAsia="MS Mincho"/>
          <w:lang w:val="fr-FR"/>
        </w:rPr>
        <w:sym w:font="Symbol" w:char="F0B1"/>
      </w:r>
      <w:r w:rsidRPr="004156C2">
        <w:rPr>
          <w:rFonts w:eastAsia="MS Mincho"/>
          <w:lang w:val="fr-FR"/>
        </w:rPr>
        <w:t> 2 °C pendant les dix</w:t>
      </w:r>
      <w:r w:rsidRPr="004156C2">
        <w:rPr>
          <w:rFonts w:eastAsia="MS Mincho"/>
          <w:lang w:val="fr-FR"/>
        </w:rPr>
        <w:noBreakHyphen/>
        <w:t>sept semaines restantes.</w:t>
      </w:r>
    </w:p>
    <w:p w14:paraId="07EFFE89" w14:textId="77777777" w:rsidR="00312EE0" w:rsidRPr="004156C2" w:rsidRDefault="00312EE0" w:rsidP="00312EE0">
      <w:pPr>
        <w:pStyle w:val="SingleTxtG"/>
        <w:ind w:left="2268" w:hanging="1134"/>
        <w:rPr>
          <w:rFonts w:eastAsia="MS Mincho"/>
          <w:lang w:val="fr-FR"/>
        </w:rPr>
      </w:pPr>
      <w:r w:rsidRPr="004156C2">
        <w:rPr>
          <w:rFonts w:eastAsia="MS Mincho"/>
          <w:lang w:val="fr-FR"/>
        </w:rPr>
        <w:t>5.2.4</w:t>
      </w:r>
      <w:r w:rsidRPr="004156C2">
        <w:rPr>
          <w:rFonts w:eastAsia="MS Mincho"/>
          <w:lang w:val="fr-FR"/>
        </w:rPr>
        <w:tab/>
        <w:t>À la fin de la dix-septième semaine, le réservoir doit être vidangé, puis rempli de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14:paraId="1D04933B" w14:textId="77777777" w:rsidR="00312EE0" w:rsidRPr="004156C2" w:rsidRDefault="00312EE0" w:rsidP="00312EE0">
      <w:pPr>
        <w:pStyle w:val="SingleTxtG"/>
        <w:ind w:left="2268"/>
        <w:rPr>
          <w:rFonts w:eastAsia="MS Mincho"/>
          <w:lang w:val="fr-FR"/>
        </w:rPr>
      </w:pPr>
      <w:r w:rsidRPr="004156C2">
        <w:rPr>
          <w:rFonts w:eastAsia="MS Mincho"/>
          <w:lang w:val="fr-FR"/>
        </w:rPr>
        <w:tab/>
        <w:t>Dans un délai de 6 à 36 h, le banc</w:t>
      </w:r>
      <w:r>
        <w:rPr>
          <w:rFonts w:eastAsia="MS Mincho"/>
          <w:lang w:val="fr-FR"/>
        </w:rPr>
        <w:t xml:space="preserve"> sur lequel est monté</w:t>
      </w:r>
      <w:r w:rsidRPr="004156C2">
        <w:rPr>
          <w:rFonts w:eastAsia="MS Mincho"/>
          <w:lang w:val="fr-FR"/>
        </w:rPr>
        <w:t xml:space="preserve"> le système de réservoir de carburant doit être placé dans une enceinte. Pendant les six dernières heures de cette période, la température ambiante de celle-ci doit être de 20 </w:t>
      </w:r>
      <w:r w:rsidRPr="004156C2">
        <w:rPr>
          <w:rFonts w:eastAsia="MS Mincho"/>
          <w:lang w:val="fr-FR"/>
        </w:rPr>
        <w:sym w:font="Symbol" w:char="F0B1"/>
      </w:r>
      <w:r w:rsidRPr="004156C2">
        <w:rPr>
          <w:rFonts w:eastAsia="MS Mincho"/>
          <w:lang w:val="fr-FR"/>
        </w:rPr>
        <w:t> 2 °C. Dans l’enceinte, un essai diurne doit être effectué pendant la première période de 24 h de la procédure décrite au paragraphe 6.5.</w:t>
      </w:r>
      <w:r>
        <w:rPr>
          <w:rFonts w:eastAsia="MS Mincho"/>
          <w:lang w:val="fr-FR"/>
        </w:rPr>
        <w:t>9</w:t>
      </w:r>
      <w:r w:rsidRPr="004156C2">
        <w:rPr>
          <w:rFonts w:eastAsia="MS Mincho"/>
          <w:lang w:val="fr-FR"/>
        </w:rPr>
        <w:t xml:space="preserve"> de la présente annexe. Le système de réservoir de carburant doit être raccordé à un conduit d’évacuation vers l’extérieur de l’enceinte pour éliminer la possibilité que les émissions de ventilation du réservoir soient comptées comme pertes par perméation. Les émissions de HC doivent être mesurées et la valeur </w:t>
      </w:r>
      <w:r>
        <w:rPr>
          <w:rFonts w:eastAsia="MS Mincho"/>
          <w:lang w:val="fr-FR"/>
        </w:rPr>
        <w:t>obtenu</w:t>
      </w:r>
      <w:r w:rsidRPr="004156C2">
        <w:rPr>
          <w:rFonts w:eastAsia="MS Mincho"/>
          <w:lang w:val="fr-FR"/>
        </w:rPr>
        <w:t>e doit cette fois être enregistrée sous la référence HC</w:t>
      </w:r>
      <w:r w:rsidRPr="004156C2">
        <w:rPr>
          <w:rFonts w:eastAsia="MS Mincho"/>
          <w:vertAlign w:val="subscript"/>
          <w:lang w:val="fr-FR"/>
        </w:rPr>
        <w:t>20W</w:t>
      </w:r>
      <w:r w:rsidRPr="004156C2">
        <w:rPr>
          <w:rFonts w:eastAsia="MS Mincho"/>
          <w:lang w:val="fr-FR"/>
        </w:rPr>
        <w:t>.</w:t>
      </w:r>
    </w:p>
    <w:p w14:paraId="53910085" w14:textId="77777777" w:rsidR="00312EE0" w:rsidRPr="004156C2" w:rsidRDefault="00312EE0" w:rsidP="00312EE0">
      <w:pPr>
        <w:pStyle w:val="SingleTxtG"/>
        <w:ind w:left="2268" w:hanging="1134"/>
        <w:rPr>
          <w:rFonts w:eastAsia="MS Mincho"/>
          <w:lang w:val="fr-FR"/>
        </w:rPr>
      </w:pPr>
      <w:r w:rsidRPr="004156C2">
        <w:rPr>
          <w:rFonts w:eastAsia="MS Mincho"/>
          <w:lang w:val="fr-FR"/>
        </w:rPr>
        <w:t>5.2.5</w:t>
      </w:r>
      <w:r w:rsidRPr="004156C2">
        <w:rPr>
          <w:rFonts w:eastAsia="MS Mincho"/>
          <w:lang w:val="fr-FR"/>
        </w:rPr>
        <w:tab/>
        <w:t>Le facteur PF est égal à la différence entre HC</w:t>
      </w:r>
      <w:r w:rsidRPr="004156C2">
        <w:rPr>
          <w:rFonts w:eastAsia="MS Mincho"/>
          <w:vertAlign w:val="subscript"/>
          <w:lang w:val="fr-FR"/>
        </w:rPr>
        <w:t>20W</w:t>
      </w:r>
      <w:r w:rsidRPr="004156C2">
        <w:rPr>
          <w:rFonts w:eastAsia="MS Mincho"/>
          <w:lang w:val="fr-FR"/>
        </w:rPr>
        <w:t xml:space="preserve"> et HC</w:t>
      </w:r>
      <w:r w:rsidRPr="004156C2">
        <w:rPr>
          <w:rFonts w:eastAsia="MS Mincho"/>
          <w:vertAlign w:val="subscript"/>
          <w:lang w:val="fr-FR"/>
        </w:rPr>
        <w:t>3W</w:t>
      </w:r>
      <w:r w:rsidRPr="004156C2">
        <w:rPr>
          <w:rFonts w:eastAsia="MS Mincho"/>
          <w:lang w:val="fr-FR"/>
        </w:rPr>
        <w:t xml:space="preserve"> exprimée en g/24 h et calculée sur trois chiffres significatifs au moyen de l’équation suivante :</w:t>
      </w:r>
    </w:p>
    <w:p w14:paraId="7CCDD018" w14:textId="77777777" w:rsidR="00312EE0" w:rsidRPr="00DA43BD" w:rsidRDefault="00312EE0" w:rsidP="00312EE0">
      <w:pPr>
        <w:kinsoku/>
        <w:overflowPunct/>
        <w:autoSpaceDE/>
        <w:autoSpaceDN/>
        <w:adjustRightInd/>
        <w:snapToGrid/>
        <w:spacing w:after="120"/>
        <w:ind w:left="2268" w:right="1134"/>
        <w:jc w:val="center"/>
        <w:rPr>
          <w:rFonts w:eastAsia="MS Mincho"/>
          <w:lang w:val="fr-FR"/>
        </w:rPr>
      </w:pPr>
      <m:oMathPara>
        <m:oMathParaPr>
          <m:jc m:val="center"/>
        </m:oMathParaPr>
        <m:oMath>
          <m:r>
            <m:rPr>
              <m:sty m:val="p"/>
            </m:rPr>
            <w:rPr>
              <w:rFonts w:ascii="Cambria Math" w:eastAsia="MS Mincho" w:hAnsi="Cambria Math"/>
              <w:lang w:val="fr-FR"/>
            </w:rPr>
            <m:t>PF=</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20w</m:t>
              </m:r>
            </m:sub>
          </m:sSub>
          <m:r>
            <m:rPr>
              <m:sty m:val="p"/>
            </m:rPr>
            <w:rPr>
              <w:rFonts w:ascii="Cambria Math" w:eastAsia="MS Mincho" w:hAnsi="Cambria Math"/>
              <w:lang w:val="fr-FR"/>
            </w:rPr>
            <m:t xml:space="preserve">- </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m:oMathPara>
    </w:p>
    <w:p w14:paraId="7EB52A7E" w14:textId="77777777" w:rsidR="00312EE0" w:rsidRPr="004156C2" w:rsidRDefault="00312EE0" w:rsidP="00312EE0">
      <w:pPr>
        <w:pStyle w:val="SingleTxtG"/>
        <w:ind w:left="2268" w:hanging="1134"/>
        <w:rPr>
          <w:rFonts w:eastAsia="MS Mincho"/>
          <w:lang w:val="fr-FR"/>
        </w:rPr>
      </w:pPr>
      <w:r w:rsidRPr="004156C2">
        <w:rPr>
          <w:rFonts w:eastAsia="MS Mincho"/>
          <w:lang w:val="fr-FR"/>
        </w:rPr>
        <w:t>5.2.6</w:t>
      </w:r>
      <w:r w:rsidRPr="004156C2">
        <w:rPr>
          <w:rFonts w:eastAsia="MS Mincho"/>
          <w:lang w:val="fr-FR"/>
        </w:rPr>
        <w:tab/>
        <w:t>Si le facteur PF est déterminé par un fournisseur, le constructeur du véhicule informe préalablement l’autorité compétente de la date de la détermination pour permettre la présence d’un témoin dans les installations du fournisseur.</w:t>
      </w:r>
    </w:p>
    <w:p w14:paraId="072C14B2" w14:textId="77777777" w:rsidR="00312EE0" w:rsidRPr="004156C2" w:rsidRDefault="00312EE0" w:rsidP="00312EE0">
      <w:pPr>
        <w:pStyle w:val="SingleTxtG"/>
        <w:ind w:left="2268" w:hanging="1134"/>
        <w:rPr>
          <w:rFonts w:eastAsia="MS Mincho"/>
          <w:lang w:val="fr-FR"/>
        </w:rPr>
      </w:pPr>
      <w:r w:rsidRPr="004156C2">
        <w:rPr>
          <w:rFonts w:eastAsia="MS Mincho"/>
          <w:lang w:val="fr-FR"/>
        </w:rPr>
        <w:t>5.2.7</w:t>
      </w:r>
      <w:r w:rsidRPr="004156C2">
        <w:rPr>
          <w:rFonts w:eastAsia="MS Mincho"/>
          <w:lang w:val="fr-FR"/>
        </w:rPr>
        <w:tab/>
        <w:t>Le constructeur doit fournir à l’autorité compétente un rapport d’essai contenant au moins les éléments suivants :</w:t>
      </w:r>
    </w:p>
    <w:p w14:paraId="412299F3" w14:textId="77777777" w:rsidR="00312EE0" w:rsidRPr="004156C2" w:rsidRDefault="00312EE0" w:rsidP="00312EE0">
      <w:pPr>
        <w:pStyle w:val="SingleTxtG"/>
        <w:ind w:left="2835" w:hanging="567"/>
        <w:rPr>
          <w:lang w:val="fr-FR"/>
        </w:rPr>
      </w:pPr>
      <w:r w:rsidRPr="004156C2">
        <w:rPr>
          <w:lang w:val="fr-FR"/>
        </w:rPr>
        <w:t>a)</w:t>
      </w:r>
      <w:r w:rsidRPr="004156C2">
        <w:rPr>
          <w:lang w:val="fr-FR"/>
        </w:rPr>
        <w:tab/>
        <w:t>Une description complète du système de réservoir de carburant</w:t>
      </w:r>
      <w:r>
        <w:rPr>
          <w:lang w:val="fr-FR"/>
        </w:rPr>
        <w:t xml:space="preserve"> soumis à l’essai</w:t>
      </w:r>
      <w:r w:rsidRPr="004156C2">
        <w:rPr>
          <w:lang w:val="fr-FR"/>
        </w:rPr>
        <w:t>, y compris des informations sur le type de réservoir, le type de paroi (métallique, non métallique monocouche ou multicouche) et les types de matériaux utilisés pour le réservoir et les autres parties du système de réservoir ;</w:t>
      </w:r>
    </w:p>
    <w:p w14:paraId="6778DC56" w14:textId="77777777" w:rsidR="00312EE0" w:rsidRPr="004156C2" w:rsidRDefault="00312EE0" w:rsidP="00312EE0">
      <w:pPr>
        <w:pStyle w:val="SingleTxtG"/>
        <w:ind w:left="2835" w:hanging="567"/>
        <w:rPr>
          <w:lang w:val="fr-FR"/>
        </w:rPr>
      </w:pPr>
      <w:r w:rsidRPr="004156C2">
        <w:rPr>
          <w:lang w:val="fr-FR"/>
        </w:rPr>
        <w:t>b)</w:t>
      </w:r>
      <w:r w:rsidRPr="004156C2">
        <w:rPr>
          <w:lang w:val="fr-FR"/>
        </w:rPr>
        <w:tab/>
        <w:t>Les températures hebdomadaires moyennes auxquelles les phases de vieillissement ont été exécutées ;</w:t>
      </w:r>
    </w:p>
    <w:p w14:paraId="22A9C003" w14:textId="77777777" w:rsidR="00312EE0" w:rsidRPr="004156C2" w:rsidRDefault="00312EE0" w:rsidP="00312EE0">
      <w:pPr>
        <w:pStyle w:val="SingleTxtG"/>
        <w:ind w:left="2835" w:hanging="567"/>
        <w:rPr>
          <w:lang w:val="fr-FR"/>
        </w:rPr>
      </w:pPr>
      <w:r w:rsidRPr="004156C2">
        <w:rPr>
          <w:lang w:val="fr-FR"/>
        </w:rPr>
        <w:t>c)</w:t>
      </w:r>
      <w:r w:rsidRPr="004156C2">
        <w:rPr>
          <w:lang w:val="fr-FR"/>
        </w:rPr>
        <w:tab/>
        <w:t>Les émissions de HC mesurées à trois semaines (HC</w:t>
      </w:r>
      <w:r w:rsidRPr="00797FC4">
        <w:rPr>
          <w:vertAlign w:val="subscript"/>
          <w:lang w:val="fr-FR"/>
        </w:rPr>
        <w:t>3W</w:t>
      </w:r>
      <w:r w:rsidRPr="004156C2">
        <w:rPr>
          <w:lang w:val="fr-FR"/>
        </w:rPr>
        <w:t>) ;</w:t>
      </w:r>
    </w:p>
    <w:p w14:paraId="6537F4BA" w14:textId="77777777" w:rsidR="00312EE0" w:rsidRPr="004156C2" w:rsidRDefault="00312EE0" w:rsidP="00312EE0">
      <w:pPr>
        <w:pStyle w:val="SingleTxtG"/>
        <w:ind w:left="2835" w:hanging="567"/>
        <w:rPr>
          <w:lang w:val="fr-FR"/>
        </w:rPr>
      </w:pPr>
      <w:r w:rsidRPr="004156C2">
        <w:rPr>
          <w:lang w:val="fr-FR"/>
        </w:rPr>
        <w:t>d)</w:t>
      </w:r>
      <w:r w:rsidRPr="004156C2">
        <w:rPr>
          <w:lang w:val="fr-FR"/>
        </w:rPr>
        <w:tab/>
        <w:t>Les émissions de HC mesurées à 20 semaines (HC</w:t>
      </w:r>
      <w:r w:rsidRPr="004156C2">
        <w:rPr>
          <w:vertAlign w:val="subscript"/>
          <w:lang w:val="fr-FR"/>
        </w:rPr>
        <w:t>20W</w:t>
      </w:r>
      <w:r w:rsidRPr="004156C2">
        <w:rPr>
          <w:lang w:val="fr-FR"/>
        </w:rPr>
        <w:t>) ;</w:t>
      </w:r>
    </w:p>
    <w:p w14:paraId="2EB461E8" w14:textId="77777777" w:rsidR="00312EE0" w:rsidRPr="004156C2" w:rsidRDefault="00312EE0" w:rsidP="00312EE0">
      <w:pPr>
        <w:pStyle w:val="SingleTxtG"/>
        <w:ind w:left="2835" w:hanging="567"/>
        <w:rPr>
          <w:lang w:val="fr-FR"/>
        </w:rPr>
      </w:pPr>
      <w:r w:rsidRPr="004156C2">
        <w:rPr>
          <w:lang w:val="fr-FR"/>
        </w:rPr>
        <w:t>e)</w:t>
      </w:r>
      <w:r w:rsidRPr="004156C2">
        <w:rPr>
          <w:lang w:val="fr-FR"/>
        </w:rPr>
        <w:tab/>
        <w:t>Le facteur de perméabilité résultant (PF).</w:t>
      </w:r>
    </w:p>
    <w:p w14:paraId="591CCF0E" w14:textId="77777777" w:rsidR="00312EE0" w:rsidRPr="004156C2" w:rsidRDefault="00312EE0" w:rsidP="00312EE0">
      <w:pPr>
        <w:pStyle w:val="SingleTxtG"/>
        <w:ind w:left="2268" w:hanging="1134"/>
        <w:rPr>
          <w:rFonts w:eastAsia="MS Mincho"/>
          <w:lang w:val="fr-FR"/>
        </w:rPr>
      </w:pPr>
      <w:r>
        <w:rPr>
          <w:rFonts w:eastAsia="MS Mincho"/>
          <w:lang w:val="fr-FR"/>
        </w:rPr>
        <w:t>5</w:t>
      </w:r>
      <w:r w:rsidRPr="004156C2">
        <w:rPr>
          <w:rFonts w:eastAsia="MS Mincho"/>
          <w:lang w:val="fr-FR"/>
        </w:rPr>
        <w:t>.2.8</w:t>
      </w:r>
      <w:r w:rsidRPr="004156C2">
        <w:rPr>
          <w:rFonts w:eastAsia="MS Mincho"/>
          <w:spacing w:val="-1"/>
          <w:lang w:val="fr-FR"/>
        </w:rPr>
        <w:tab/>
        <w:t>Par dérogation aux paragraphes</w:t>
      </w:r>
      <w:r>
        <w:rPr>
          <w:rFonts w:eastAsia="MS Mincho"/>
          <w:spacing w:val="-1"/>
          <w:lang w:val="fr-FR"/>
        </w:rPr>
        <w:t> </w:t>
      </w:r>
      <w:r w:rsidRPr="004156C2">
        <w:rPr>
          <w:rFonts w:eastAsia="MS Mincho"/>
          <w:spacing w:val="-1"/>
          <w:lang w:val="fr-FR"/>
        </w:rPr>
        <w:t>5.2.1 à 5.2.7 de la présente annexe, un constructeur utilisant des réservoirs multicouches ou des réservoirs métalliques peut choisir d’appliquer un facteur de perméabilité assigné (APF) au lieu d’exécuter la</w:t>
      </w:r>
      <w:r>
        <w:rPr>
          <w:rFonts w:eastAsia="MS Mincho"/>
          <w:spacing w:val="-1"/>
          <w:lang w:val="fr-FR"/>
        </w:rPr>
        <w:t xml:space="preserve"> totalité de la</w:t>
      </w:r>
      <w:r w:rsidRPr="004156C2">
        <w:rPr>
          <w:rFonts w:eastAsia="MS Mincho"/>
          <w:spacing w:val="-1"/>
          <w:lang w:val="fr-FR"/>
        </w:rPr>
        <w:t xml:space="preserve"> procédure de mesure indiquée précédemment :</w:t>
      </w:r>
    </w:p>
    <w:p w14:paraId="41403AC1" w14:textId="77777777" w:rsidR="00312EE0" w:rsidRPr="004156C2" w:rsidRDefault="00312EE0" w:rsidP="00312EE0">
      <w:pPr>
        <w:spacing w:after="120"/>
        <w:ind w:left="2268" w:right="1134"/>
        <w:jc w:val="center"/>
        <w:rPr>
          <w:rFonts w:eastAsia="MS Mincho"/>
          <w:lang w:val="fr-FR"/>
        </w:rPr>
      </w:pPr>
      <w:r w:rsidRPr="004156C2">
        <w:rPr>
          <w:rFonts w:eastAsia="MS Mincho"/>
          <w:lang w:val="fr-FR"/>
        </w:rPr>
        <w:t>APF réservoir multicouche/métallique = 120 mg/24 h</w:t>
      </w:r>
    </w:p>
    <w:p w14:paraId="581AE2D1" w14:textId="77777777" w:rsidR="00312EE0" w:rsidRPr="004156C2" w:rsidRDefault="00312EE0" w:rsidP="00312EE0">
      <w:pPr>
        <w:pStyle w:val="SingleTxtG"/>
        <w:ind w:left="2268"/>
        <w:rPr>
          <w:rFonts w:eastAsia="MS Mincho"/>
          <w:lang w:val="fr-FR"/>
        </w:rPr>
      </w:pPr>
      <w:r>
        <w:rPr>
          <w:rFonts w:eastAsia="MS Mincho"/>
          <w:lang w:val="fr-FR"/>
        </w:rPr>
        <w:tab/>
      </w:r>
      <w:r w:rsidRPr="004156C2">
        <w:rPr>
          <w:rFonts w:eastAsia="MS Mincho"/>
          <w:lang w:val="fr-FR"/>
        </w:rPr>
        <w:t>Dans le cas où le constructeur choisit d’appliquer un facteur APF, il doit soumettre à l’autorité compétente une déclaration dans laquelle le type de réservoir est clairement</w:t>
      </w:r>
      <w:r>
        <w:rPr>
          <w:rFonts w:eastAsia="MS Mincho"/>
          <w:lang w:val="fr-FR"/>
        </w:rPr>
        <w:t xml:space="preserve"> précisé</w:t>
      </w:r>
      <w:r w:rsidRPr="004156C2">
        <w:rPr>
          <w:rFonts w:eastAsia="MS Mincho"/>
          <w:lang w:val="fr-FR"/>
        </w:rPr>
        <w:t>, ainsi qu’une déclaration des types de matériaux utilisés.</w:t>
      </w:r>
    </w:p>
    <w:p w14:paraId="1A7C4A90" w14:textId="77777777" w:rsidR="00312EE0" w:rsidRPr="004156C2" w:rsidRDefault="00312EE0" w:rsidP="00312EE0">
      <w:pPr>
        <w:pStyle w:val="SingleTxtG"/>
        <w:ind w:left="2268" w:hanging="1134"/>
        <w:rPr>
          <w:rFonts w:eastAsia="MS Mincho"/>
          <w:lang w:val="fr-FR"/>
        </w:rPr>
      </w:pPr>
      <w:r w:rsidRPr="004156C2">
        <w:rPr>
          <w:rFonts w:eastAsia="MS Mincho"/>
          <w:lang w:val="fr-FR"/>
        </w:rPr>
        <w:lastRenderedPageBreak/>
        <w:t>6</w:t>
      </w:r>
      <w:r>
        <w:rPr>
          <w:rFonts w:eastAsia="MS Mincho"/>
          <w:lang w:val="fr-FR"/>
        </w:rPr>
        <w:t>.</w:t>
      </w:r>
      <w:r w:rsidRPr="004156C2">
        <w:rPr>
          <w:rFonts w:eastAsia="MS Mincho"/>
          <w:lang w:val="fr-FR"/>
        </w:rPr>
        <w:tab/>
        <w:t>Procédure d’essai pour la mesure des pertes par accumulation de chaleur et des pertes diurnes</w:t>
      </w:r>
    </w:p>
    <w:p w14:paraId="2D453999" w14:textId="77777777" w:rsidR="00312EE0" w:rsidRPr="004156C2" w:rsidRDefault="00312EE0" w:rsidP="00312EE0">
      <w:pPr>
        <w:pStyle w:val="SingleTxtG"/>
        <w:ind w:left="2268" w:hanging="1134"/>
        <w:rPr>
          <w:rFonts w:eastAsia="MS Mincho"/>
          <w:lang w:val="fr-FR"/>
        </w:rPr>
      </w:pPr>
      <w:r w:rsidRPr="004156C2">
        <w:rPr>
          <w:rFonts w:eastAsia="MS Mincho"/>
          <w:lang w:val="fr-FR"/>
        </w:rPr>
        <w:t>6.1</w:t>
      </w:r>
      <w:r w:rsidRPr="004156C2">
        <w:rPr>
          <w:rFonts w:eastAsia="MS Mincho"/>
          <w:lang w:val="fr-FR"/>
        </w:rPr>
        <w:tab/>
        <w:t>Préparation du véhicule</w:t>
      </w:r>
    </w:p>
    <w:p w14:paraId="53BF80C4" w14:textId="77777777" w:rsidR="00312EE0" w:rsidRPr="004156C2" w:rsidRDefault="00312EE0" w:rsidP="00312EE0">
      <w:pPr>
        <w:pStyle w:val="SingleTxtG"/>
        <w:keepNext/>
        <w:ind w:left="2268"/>
        <w:rPr>
          <w:rFonts w:eastAsia="MS Mincho"/>
          <w:lang w:val="fr-FR"/>
        </w:rPr>
      </w:pPr>
      <w:r w:rsidRPr="004156C2">
        <w:rPr>
          <w:rFonts w:eastAsia="MS Mincho"/>
          <w:lang w:val="fr-FR"/>
        </w:rPr>
        <w:t xml:space="preserve">Le véhicule doit être préparé conformément aux paragraphes 5.1.1 et 5.1.2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xml:space="preserve"> 83 (série 07 d’amendements). À la demande du constructeur et avec l’approbation de l’autorité compétente, les sources d’émission ambiantes sans rapport avec le carburant (par exemple les peintures, les adhésifs, les matières plastiques, les conduites de carburant ou de vapeur, les pneumatiques et autres composants en caoutchouc ou en polymère) peuvent être ramenées </w:t>
      </w:r>
      <w:r>
        <w:rPr>
          <w:rFonts w:eastAsia="MS Mincho"/>
          <w:lang w:val="fr-FR"/>
        </w:rPr>
        <w:t>à leur</w:t>
      </w:r>
      <w:r w:rsidRPr="004156C2">
        <w:rPr>
          <w:rFonts w:eastAsia="MS Mincho"/>
          <w:lang w:val="fr-FR"/>
        </w:rPr>
        <w:t xml:space="preserve"> niveau ambiant habituel pour le véhicule avant l’essai (par exemple, étuvage des pneumatiques à une température supérieure ou égale à 50 °C pendant une durée appropriée, étuvage du véhicule, ou vidange du liquide de lave-glace).</w:t>
      </w:r>
    </w:p>
    <w:p w14:paraId="74BBC567" w14:textId="77777777" w:rsidR="00312EE0" w:rsidRPr="004156C2" w:rsidRDefault="00312EE0" w:rsidP="00312EE0">
      <w:pPr>
        <w:pStyle w:val="SingleTxtG"/>
        <w:ind w:left="2268"/>
        <w:rPr>
          <w:rFonts w:eastAsia="MS Mincho"/>
          <w:lang w:val="fr-FR"/>
        </w:rPr>
      </w:pPr>
      <w:r w:rsidRPr="004156C2">
        <w:rPr>
          <w:rFonts w:eastAsia="MS Mincho"/>
          <w:lang w:val="fr-FR"/>
        </w:rPr>
        <w:t xml:space="preserve">Dans le cas d’un système de réservoir de carburant étanche, les </w:t>
      </w:r>
      <w:proofErr w:type="spellStart"/>
      <w:r w:rsidRPr="004156C2">
        <w:rPr>
          <w:rFonts w:eastAsia="MS Mincho"/>
          <w:lang w:val="fr-FR"/>
        </w:rPr>
        <w:t>canisters</w:t>
      </w:r>
      <w:proofErr w:type="spellEnd"/>
      <w:r w:rsidRPr="004156C2">
        <w:rPr>
          <w:rFonts w:eastAsia="MS Mincho"/>
          <w:lang w:val="fr-FR"/>
        </w:rPr>
        <w:t xml:space="preserve"> du véhicule doivent être installés de manière qu’on puisse y accéder et les connecter ou les déconnecter facilement.</w:t>
      </w:r>
    </w:p>
    <w:p w14:paraId="6290F754"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6.2</w:t>
      </w:r>
      <w:r w:rsidRPr="004156C2">
        <w:rPr>
          <w:rFonts w:eastAsia="MS Mincho"/>
          <w:lang w:val="fr-FR"/>
        </w:rPr>
        <w:tab/>
        <w:t>Prescriptions relatives à la sélection du mode et aux changements de rapports</w:t>
      </w:r>
    </w:p>
    <w:p w14:paraId="6E6D358B" w14:textId="77777777" w:rsidR="00312EE0" w:rsidRPr="004156C2" w:rsidRDefault="00312EE0" w:rsidP="00312EE0">
      <w:pPr>
        <w:pStyle w:val="SingleTxtG"/>
        <w:keepNext/>
        <w:ind w:left="2268" w:hanging="1134"/>
        <w:rPr>
          <w:rFonts w:eastAsia="MS Mincho"/>
          <w:lang w:val="fr-FR" w:eastAsia="ja-JP"/>
        </w:rPr>
      </w:pPr>
      <w:r w:rsidRPr="004156C2">
        <w:rPr>
          <w:rFonts w:eastAsia="MS Mincho"/>
          <w:lang w:val="fr-FR"/>
        </w:rPr>
        <w:t>6.2.1</w:t>
      </w:r>
      <w:r w:rsidRPr="004156C2">
        <w:rPr>
          <w:rFonts w:eastAsia="MS Mincho"/>
          <w:lang w:val="fr-FR"/>
        </w:rPr>
        <w:tab/>
      </w:r>
      <w:r w:rsidRPr="004156C2">
        <w:rPr>
          <w:rFonts w:eastAsia="MS Mincho"/>
          <w:szCs w:val="24"/>
          <w:lang w:val="fr-FR" w:eastAsia="ja-JP"/>
        </w:rPr>
        <w:t>Pour les véhicules équipés d’une transmission manuelle, les</w:t>
      </w:r>
      <w:r w:rsidRPr="004156C2">
        <w:rPr>
          <w:rFonts w:eastAsia="MS Mincho"/>
          <w:lang w:val="fr-FR"/>
        </w:rPr>
        <w:t xml:space="preserve"> prescriptions relatives aux changements de rapports visées à l’annexe </w:t>
      </w:r>
      <w:r w:rsidRPr="004156C2">
        <w:rPr>
          <w:rFonts w:eastAsia="MS Mincho"/>
          <w:lang w:val="fr-FR" w:eastAsia="ja-JP"/>
        </w:rPr>
        <w:t xml:space="preserve">2 du RTM </w:t>
      </w:r>
      <w:r>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 xml:space="preserve"> s’appliquent.</w:t>
      </w:r>
    </w:p>
    <w:p w14:paraId="6EAC0224" w14:textId="77777777" w:rsidR="00312EE0" w:rsidRPr="004156C2" w:rsidRDefault="00312EE0" w:rsidP="00312EE0">
      <w:pPr>
        <w:pStyle w:val="SingleTxtG"/>
        <w:ind w:left="2268" w:hanging="1134"/>
        <w:rPr>
          <w:rFonts w:eastAsia="MS Mincho"/>
          <w:lang w:val="fr-FR" w:eastAsia="ja-JP"/>
        </w:rPr>
      </w:pPr>
      <w:r>
        <w:rPr>
          <w:rFonts w:eastAsia="MS Mincho"/>
          <w:lang w:val="fr-FR" w:eastAsia="ja-JP"/>
        </w:rPr>
        <w:t>6.2.2</w:t>
      </w:r>
      <w:r w:rsidRPr="004156C2">
        <w:rPr>
          <w:rFonts w:eastAsia="MS Mincho"/>
          <w:lang w:val="fr-FR" w:eastAsia="ja-JP"/>
        </w:rPr>
        <w:tab/>
      </w:r>
      <w:r w:rsidRPr="004156C2">
        <w:rPr>
          <w:rFonts w:eastAsia="MS Mincho"/>
          <w:lang w:val="fr-FR"/>
        </w:rPr>
        <w:t xml:space="preserve">Dans le cas des véhicules à moteur à combustion interne conventionnel, le mode doit être sélectionné conformément à l’annexe 6 </w:t>
      </w:r>
      <w:r w:rsidRPr="004156C2">
        <w:rPr>
          <w:rFonts w:eastAsia="MS Mincho"/>
          <w:lang w:val="fr-FR" w:eastAsia="ja-JP"/>
        </w:rPr>
        <w:t xml:space="preserve">du RTM </w:t>
      </w:r>
      <w:r>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w:t>
      </w:r>
    </w:p>
    <w:p w14:paraId="57DB079A" w14:textId="77777777" w:rsidR="00312EE0" w:rsidRPr="004156C2" w:rsidRDefault="00312EE0" w:rsidP="00312EE0">
      <w:pPr>
        <w:pStyle w:val="SingleTxtG"/>
        <w:ind w:left="2268" w:hanging="1134"/>
        <w:rPr>
          <w:rFonts w:eastAsia="MS Mincho"/>
          <w:lang w:val="fr-FR" w:eastAsia="ja-JP"/>
        </w:rPr>
      </w:pPr>
      <w:r>
        <w:rPr>
          <w:rFonts w:eastAsia="MS Mincho"/>
          <w:lang w:val="fr-FR" w:eastAsia="ja-JP"/>
        </w:rPr>
        <w:t>6.2.3</w:t>
      </w:r>
      <w:r w:rsidRPr="004156C2">
        <w:rPr>
          <w:rFonts w:eastAsia="MS Mincho"/>
          <w:lang w:val="fr-FR" w:eastAsia="ja-JP"/>
        </w:rPr>
        <w:tab/>
        <w:t xml:space="preserve">Dans le cas des VHE-NRE et des VHE-RE, le mode doit être sélectionné conformément à l’appendice </w:t>
      </w:r>
      <w:r w:rsidRPr="004156C2">
        <w:rPr>
          <w:rFonts w:eastAsia="MS Mincho"/>
          <w:lang w:val="fr-FR"/>
        </w:rPr>
        <w:t xml:space="preserve">6 de l’annexe </w:t>
      </w:r>
      <w:r w:rsidRPr="004156C2">
        <w:rPr>
          <w:rFonts w:eastAsia="MS Mincho"/>
          <w:lang w:val="fr-FR" w:eastAsia="ja-JP"/>
        </w:rPr>
        <w:t xml:space="preserve">8 du RTM </w:t>
      </w:r>
      <w:r>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w:t>
      </w:r>
    </w:p>
    <w:p w14:paraId="08BF87C6" w14:textId="77777777" w:rsidR="00312EE0" w:rsidRPr="004156C2" w:rsidRDefault="00312EE0" w:rsidP="00312EE0">
      <w:pPr>
        <w:pStyle w:val="SingleTxtG"/>
        <w:ind w:left="2268" w:hanging="1134"/>
        <w:rPr>
          <w:rFonts w:eastAsia="MS Mincho"/>
          <w:lang w:val="fr-FR" w:eastAsia="ja-JP"/>
        </w:rPr>
      </w:pPr>
      <w:r>
        <w:rPr>
          <w:rFonts w:eastAsia="MS Mincho"/>
          <w:lang w:val="fr-FR" w:eastAsia="ja-JP"/>
        </w:rPr>
        <w:t>6.2.4</w:t>
      </w:r>
      <w:r w:rsidRPr="004156C2">
        <w:rPr>
          <w:rFonts w:eastAsia="MS Mincho"/>
          <w:lang w:val="fr-FR" w:eastAsia="ja-JP"/>
        </w:rPr>
        <w:tab/>
        <w:t>À la demande de l’autorité compétente, le mode sélectionné peut être différent de celui visé aux paragraphes 6.2.2 et 6.2.3 de la présente annexe.</w:t>
      </w:r>
    </w:p>
    <w:p w14:paraId="36C86ED4" w14:textId="77777777" w:rsidR="00312EE0" w:rsidRPr="004156C2" w:rsidRDefault="00312EE0" w:rsidP="00312EE0">
      <w:pPr>
        <w:pStyle w:val="SingleTxtG"/>
        <w:keepNext/>
        <w:ind w:left="2268" w:hanging="1134"/>
        <w:rPr>
          <w:rFonts w:eastAsia="MS Mincho"/>
          <w:lang w:val="fr-FR" w:eastAsia="ja-JP"/>
        </w:rPr>
      </w:pPr>
      <w:r>
        <w:rPr>
          <w:rFonts w:eastAsia="MS Mincho"/>
          <w:lang w:val="fr-FR" w:eastAsia="ja-JP"/>
        </w:rPr>
        <w:t>6.3</w:t>
      </w:r>
      <w:r w:rsidRPr="004156C2">
        <w:rPr>
          <w:rFonts w:eastAsia="MS Mincho"/>
          <w:lang w:val="fr-FR" w:eastAsia="ja-JP"/>
        </w:rPr>
        <w:tab/>
        <w:t>Conditions d’essai</w:t>
      </w:r>
    </w:p>
    <w:p w14:paraId="425081D3" w14:textId="77777777" w:rsidR="00312EE0" w:rsidRPr="004156C2" w:rsidRDefault="00312EE0" w:rsidP="00312EE0">
      <w:pPr>
        <w:pStyle w:val="SingleTxtG"/>
        <w:keepNext/>
        <w:ind w:left="2268"/>
        <w:rPr>
          <w:rFonts w:eastAsia="MS Mincho"/>
          <w:lang w:val="fr-FR" w:eastAsia="ja-JP"/>
        </w:rPr>
      </w:pPr>
      <w:r w:rsidRPr="004156C2">
        <w:rPr>
          <w:rFonts w:eastAsia="MS Mincho"/>
          <w:lang w:val="fr-FR" w:eastAsia="ja-JP"/>
        </w:rPr>
        <w:t xml:space="preserve">Les essais décrits dans le présent RTM </w:t>
      </w:r>
      <w:r>
        <w:rPr>
          <w:rFonts w:eastAsia="MS Mincho"/>
          <w:lang w:val="fr-FR" w:eastAsia="ja-JP"/>
        </w:rPr>
        <w:t xml:space="preserve">ONU </w:t>
      </w:r>
      <w:r w:rsidRPr="004156C2">
        <w:rPr>
          <w:rFonts w:eastAsia="MS Mincho"/>
          <w:lang w:val="fr-FR" w:eastAsia="ja-JP"/>
        </w:rPr>
        <w:t>doivent être réalisés dans les conditions d’essais propres au véhicule H de la famille d’interpolation ayant la demande d’énergie sur le cycle la plus élevée parmi toutes les familles d’interpolation incluses dans la famille d’émissions par évaporation considérée.</w:t>
      </w:r>
    </w:p>
    <w:p w14:paraId="25914815" w14:textId="77777777" w:rsidR="00312EE0" w:rsidRPr="004156C2" w:rsidRDefault="00312EE0" w:rsidP="00312EE0">
      <w:pPr>
        <w:pStyle w:val="SingleTxtG"/>
        <w:ind w:left="2268"/>
        <w:rPr>
          <w:rFonts w:eastAsia="MS Mincho"/>
          <w:szCs w:val="24"/>
          <w:lang w:val="fr-FR" w:eastAsia="ja-JP"/>
        </w:rPr>
      </w:pPr>
      <w:r w:rsidRPr="004156C2">
        <w:rPr>
          <w:rFonts w:eastAsia="MS Mincho"/>
          <w:lang w:val="fr-FR" w:eastAsia="ja-JP"/>
        </w:rPr>
        <w:t xml:space="preserve">Par dérogation, à la demande de l’autorité compétente, l’essai peut être réalisé avec une autre demande d’énergie sur le cycle représentative d’un véhicule de la famille. </w:t>
      </w:r>
    </w:p>
    <w:p w14:paraId="51870B98" w14:textId="77777777" w:rsidR="00312EE0" w:rsidRPr="004156C2" w:rsidRDefault="00312EE0" w:rsidP="00312EE0">
      <w:pPr>
        <w:pStyle w:val="SingleTxtG"/>
        <w:keepNext/>
        <w:ind w:left="2268" w:hanging="1134"/>
        <w:rPr>
          <w:rFonts w:eastAsia="MS Mincho"/>
          <w:szCs w:val="24"/>
          <w:lang w:val="fr-FR" w:eastAsia="ja-JP"/>
        </w:rPr>
      </w:pPr>
      <w:r>
        <w:rPr>
          <w:rFonts w:eastAsia="MS Mincho"/>
          <w:szCs w:val="24"/>
          <w:lang w:val="fr-FR" w:eastAsia="ja-JP"/>
        </w:rPr>
        <w:t>6.4</w:t>
      </w:r>
      <w:r w:rsidRPr="004156C2">
        <w:rPr>
          <w:rFonts w:eastAsia="MS Mincho"/>
          <w:szCs w:val="24"/>
          <w:lang w:val="fr-FR" w:eastAsia="ja-JP"/>
        </w:rPr>
        <w:tab/>
        <w:t>Déroulement de la procédure d’essai</w:t>
      </w:r>
    </w:p>
    <w:p w14:paraId="44D4A860" w14:textId="77777777" w:rsidR="00312EE0" w:rsidRDefault="00312EE0" w:rsidP="00312EE0">
      <w:pPr>
        <w:pStyle w:val="SingleTxtG"/>
        <w:keepNext/>
        <w:ind w:left="2268"/>
        <w:rPr>
          <w:rFonts w:eastAsia="MS Mincho"/>
          <w:szCs w:val="24"/>
          <w:lang w:val="fr-FR" w:eastAsia="ja-JP"/>
        </w:rPr>
      </w:pPr>
      <w:r w:rsidRPr="00260421">
        <w:rPr>
          <w:szCs w:val="24"/>
          <w:lang w:val="fr-FR" w:eastAsia="ja-JP"/>
        </w:rPr>
        <w:t>La procédure d’essai pour les systèmes de réservoirs non étanches et étanches doit se dérouler conformément au diagramme reproduit à la figure A1/4.</w:t>
      </w:r>
    </w:p>
    <w:p w14:paraId="2D4C42C4" w14:textId="77777777" w:rsidR="00FC359D" w:rsidRDefault="00312EE0" w:rsidP="00190DE8">
      <w:pPr>
        <w:pStyle w:val="SingleTxtG"/>
        <w:keepNext/>
        <w:ind w:left="2268"/>
        <w:rPr>
          <w:rFonts w:eastAsia="MS Mincho"/>
          <w:spacing w:val="-2"/>
          <w:szCs w:val="24"/>
          <w:lang w:val="fr-FR" w:eastAsia="ja-JP"/>
        </w:rPr>
      </w:pPr>
      <w:r w:rsidRPr="00473BA7">
        <w:rPr>
          <w:rFonts w:eastAsia="MS Mincho"/>
          <w:spacing w:val="-2"/>
          <w:szCs w:val="24"/>
          <w:lang w:val="fr-FR" w:eastAsia="ja-JP"/>
        </w:rPr>
        <w:t>Les systèmes de réservoirs étanches peuvent être essayés selon deux méthodes. La première option consiste à soumettre le véhicule à l’essai en suivant une procédure unique et ininterrompue. La deuxième option, appelée procédure indépendante, consiste à soumettre le véhicule à l’essai en suivant deux procédures distinctes qui permettent de répéter l’essai au dynamomètre et les essais diurnes sans répéter l’essai de trop-plein de pertes liées à la dépressurisation du réservoir et la mesure des pertes liées à la dépressurisation.</w:t>
      </w:r>
    </w:p>
    <w:p w14:paraId="61AA3583" w14:textId="77777777" w:rsidR="00312EE0" w:rsidRDefault="00312EE0" w:rsidP="00312EE0">
      <w:pPr>
        <w:pStyle w:val="Heading1"/>
        <w:spacing w:after="120"/>
        <w:rPr>
          <w:lang w:val="fr-FR" w:eastAsia="ja-JP"/>
        </w:rPr>
      </w:pPr>
      <w:r>
        <w:rPr>
          <w:rFonts w:eastAsia="MS Mincho"/>
          <w:spacing w:val="-2"/>
          <w:szCs w:val="24"/>
          <w:lang w:val="fr-FR" w:eastAsia="ja-JP"/>
        </w:rPr>
        <w:br w:type="page"/>
      </w:r>
      <w:r w:rsidRPr="004156C2">
        <w:rPr>
          <w:lang w:val="fr-FR"/>
        </w:rPr>
        <w:lastRenderedPageBreak/>
        <w:t>Figure</w:t>
      </w:r>
      <w:r w:rsidRPr="004156C2">
        <w:rPr>
          <w:lang w:val="fr-FR" w:eastAsia="ja-JP"/>
        </w:rPr>
        <w:t xml:space="preserve"> </w:t>
      </w:r>
      <w:r w:rsidRPr="004156C2">
        <w:rPr>
          <w:lang w:val="fr-FR"/>
        </w:rPr>
        <w:t>A1/</w:t>
      </w:r>
      <w:r w:rsidRPr="004156C2">
        <w:rPr>
          <w:lang w:val="fr-FR" w:eastAsia="ja-JP"/>
        </w:rPr>
        <w:t>4</w:t>
      </w:r>
      <w:r w:rsidRPr="004156C2">
        <w:rPr>
          <w:lang w:val="fr-FR" w:eastAsia="ja-JP"/>
        </w:rPr>
        <w:br/>
      </w:r>
      <w:r w:rsidRPr="00312EE0">
        <w:rPr>
          <w:b/>
          <w:lang w:val="fr-FR" w:eastAsia="ja-JP"/>
        </w:rPr>
        <w:t>Déroulement de la procédure d’essai</w:t>
      </w:r>
    </w:p>
    <w:p w14:paraId="59D3DA66" w14:textId="77777777" w:rsidR="00312EE0" w:rsidRDefault="00312EE0" w:rsidP="00312EE0">
      <w:pPr>
        <w:pStyle w:val="SingleTxtG"/>
        <w:rPr>
          <w:lang w:val="fr-FR" w:eastAsia="ja-JP"/>
        </w:rPr>
      </w:pPr>
      <w:r>
        <w:rPr>
          <w:noProof/>
          <w:lang w:val="fr-FR" w:eastAsia="fr-FR"/>
        </w:rPr>
        <mc:AlternateContent>
          <mc:Choice Requires="wpg">
            <w:drawing>
              <wp:inline distT="0" distB="0" distL="0" distR="0" wp14:anchorId="6CB92477" wp14:editId="15B8DCD9">
                <wp:extent cx="5391303" cy="7549286"/>
                <wp:effectExtent l="0" t="0" r="19050" b="13970"/>
                <wp:docPr id="8" name="グループ化 16"/>
                <wp:cNvGraphicFramePr/>
                <a:graphic xmlns:a="http://schemas.openxmlformats.org/drawingml/2006/main">
                  <a:graphicData uri="http://schemas.microsoft.com/office/word/2010/wordprocessingGroup">
                    <wpg:wgp>
                      <wpg:cNvGrpSpPr/>
                      <wpg:grpSpPr>
                        <a:xfrm>
                          <a:off x="0" y="0"/>
                          <a:ext cx="5391303" cy="7549286"/>
                          <a:chOff x="-71088" y="1"/>
                          <a:chExt cx="5366171" cy="7545191"/>
                        </a:xfrm>
                      </wpg:grpSpPr>
                      <wps:wsp>
                        <wps:cNvPr id="9" name="Flussdiagramm: Prozess 7"/>
                        <wps:cNvSpPr/>
                        <wps:spPr>
                          <a:xfrm>
                            <a:off x="-71088" y="1"/>
                            <a:ext cx="2148362" cy="427301"/>
                          </a:xfrm>
                          <a:prstGeom prst="flowChartProcess">
                            <a:avLst/>
                          </a:prstGeom>
                          <a:noFill/>
                          <a:ln w="12700" cap="flat" cmpd="sng" algn="ctr">
                            <a:solidFill>
                              <a:srgbClr val="33434C"/>
                            </a:solidFill>
                            <a:prstDash val="solid"/>
                          </a:ln>
                          <a:effectLst/>
                        </wps:spPr>
                        <wps:txbx>
                          <w:txbxContent>
                            <w:p w14:paraId="70686AC3" w14:textId="77777777" w:rsidR="007F6101" w:rsidRPr="00E71DCE" w:rsidRDefault="007F6101"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E71DCE">
                                <w:rPr>
                                  <w:rFonts w:ascii="Times New Roman" w:eastAsia="Times New Roman" w:hAnsi="Times New Roman" w:cs="Times New Roman"/>
                                  <w:b/>
                                  <w:bCs/>
                                  <w:color w:val="000000"/>
                                  <w:kern w:val="24"/>
                                  <w:sz w:val="13"/>
                                  <w:szCs w:val="13"/>
                                  <w:lang w:val="fr-CH"/>
                                </w:rPr>
                                <w:t>Début pour : réservoirs non étanches, réservoirs étanches (procédure continue) et réservoirs étanches (procédure indépendante,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2" name="Flussdiagramm: Prozess 8"/>
                        <wps:cNvSpPr/>
                        <wps:spPr>
                          <a:xfrm>
                            <a:off x="8909" y="551430"/>
                            <a:ext cx="1788702" cy="182552"/>
                          </a:xfrm>
                          <a:prstGeom prst="flowChartProcess">
                            <a:avLst/>
                          </a:prstGeom>
                          <a:noFill/>
                          <a:ln w="9525" cap="flat" cmpd="sng" algn="ctr">
                            <a:solidFill>
                              <a:srgbClr val="33434C"/>
                            </a:solidFill>
                            <a:prstDash val="solid"/>
                          </a:ln>
                          <a:effectLst/>
                        </wps:spPr>
                        <wps:txbx>
                          <w:txbxContent>
                            <w:p w14:paraId="2B99EC6F" w14:textId="77777777" w:rsidR="007F6101" w:rsidRPr="00BA4E7A"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 xml:space="preserve">6.5.1 </w:t>
                              </w:r>
                              <w:r w:rsidRPr="00BA4E7A">
                                <w:rPr>
                                  <w:rFonts w:ascii="Times New Roman" w:eastAsia="Times New Roman" w:hAnsi="Times New Roman" w:cs="Times New Roman"/>
                                  <w:color w:val="000000" w:themeColor="text1"/>
                                  <w:kern w:val="24"/>
                                  <w:sz w:val="13"/>
                                  <w:szCs w:val="13"/>
                                  <w:lang w:val="fr-CH"/>
                                </w:rPr>
                                <w:t>Vidange du réservoir et remplissage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 name="Flussdiagramm: Prozess 9"/>
                        <wps:cNvSpPr/>
                        <wps:spPr>
                          <a:xfrm>
                            <a:off x="40908" y="1098557"/>
                            <a:ext cx="1727926" cy="182551"/>
                          </a:xfrm>
                          <a:prstGeom prst="flowChartProcess">
                            <a:avLst/>
                          </a:prstGeom>
                          <a:noFill/>
                          <a:ln w="9525" cap="flat" cmpd="sng" algn="ctr">
                            <a:solidFill>
                              <a:srgbClr val="33434C"/>
                            </a:solidFill>
                            <a:prstDash val="solid"/>
                          </a:ln>
                          <a:effectLst/>
                        </wps:spPr>
                        <wps:txbx>
                          <w:txbxContent>
                            <w:p w14:paraId="47B1FBA8" w14:textId="77777777" w:rsidR="007F6101" w:rsidRPr="002467FF" w:rsidRDefault="007F6101"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2467FF">
                                <w:rPr>
                                  <w:rFonts w:ascii="Times New Roman" w:eastAsia="Times New Roman" w:hAnsi="Times New Roman" w:cs="Times New Roman"/>
                                  <w:color w:val="000000" w:themeColor="text1"/>
                                  <w:kern w:val="24"/>
                                  <w:sz w:val="13"/>
                                  <w:szCs w:val="13"/>
                                  <w:lang w:val="fr-CH"/>
                                </w:rPr>
                                <w:t>6.5.2 Stabilisation pendant 6 à 36 h à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4" name="Flussdiagramm: Prozess 10"/>
                        <wps:cNvSpPr/>
                        <wps:spPr>
                          <a:xfrm>
                            <a:off x="115777" y="1367027"/>
                            <a:ext cx="1541974" cy="182552"/>
                          </a:xfrm>
                          <a:prstGeom prst="flowChartProcess">
                            <a:avLst/>
                          </a:prstGeom>
                          <a:noFill/>
                          <a:ln w="9525" cap="flat" cmpd="sng" algn="ctr">
                            <a:solidFill>
                              <a:srgbClr val="33434C"/>
                            </a:solidFill>
                            <a:prstDash val="solid"/>
                          </a:ln>
                          <a:effectLst/>
                        </wps:spPr>
                        <wps:txbx>
                          <w:txbxContent>
                            <w:p w14:paraId="107CD9E1" w14:textId="77777777" w:rsidR="007F6101" w:rsidRPr="00C64800"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600AB9">
                                <w:rPr>
                                  <w:rFonts w:ascii="Times New Roman" w:eastAsia="Times New Roman" w:hAnsi="Times New Roman" w:cs="Times New Roman"/>
                                  <w:color w:val="000000" w:themeColor="text1"/>
                                  <w:kern w:val="24"/>
                                  <w:sz w:val="13"/>
                                  <w:szCs w:val="13"/>
                                  <w:lang w:val="en-GB"/>
                                </w:rPr>
                                <w:t xml:space="preserve">6.5.3 </w:t>
                              </w:r>
                              <w:r w:rsidRPr="00C64800">
                                <w:rPr>
                                  <w:rFonts w:ascii="Times New Roman" w:eastAsia="Times New Roman" w:hAnsi="Times New Roman" w:cs="Times New Roman"/>
                                  <w:color w:val="000000" w:themeColor="text1"/>
                                  <w:kern w:val="24"/>
                                  <w:sz w:val="13"/>
                                  <w:szCs w:val="13"/>
                                  <w:lang w:val="fr-CH"/>
                                </w:rPr>
                                <w:t xml:space="preserve">Parcours de </w:t>
                              </w:r>
                              <w:r w:rsidRPr="00C64800">
                                <w:rPr>
                                  <w:rFonts w:ascii="Times New Roman" w:eastAsia="Times New Roman" w:hAnsi="Times New Roman" w:cs="Times New Roman"/>
                                  <w:color w:val="000000" w:themeColor="text1"/>
                                  <w:kern w:val="24"/>
                                  <w:sz w:val="13"/>
                                  <w:szCs w:val="13"/>
                                  <w:lang w:val="fr-CH"/>
                                </w:rPr>
                                <w:t>préconditionnement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666534C0"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E1347C">
                                <w:rPr>
                                  <w:rFonts w:ascii="Times New Roman" w:eastAsia="Times New Roman" w:hAnsi="Times New Roman" w:cs="Times New Roman"/>
                                  <w:b/>
                                  <w:bCs/>
                                  <w:color w:val="000000" w:themeColor="text1"/>
                                  <w:kern w:val="24"/>
                                  <w:sz w:val="13"/>
                                  <w:szCs w:val="13"/>
                                  <w:lang w:val="fr-CH"/>
                                </w:rPr>
                                <w:t xml:space="preserve">Début pour : réservoirs étanches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 xml:space="preserve">(procédure indépendante, accumulation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de chaleur et essais diurnes)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6" name="Flussdiagramm: Prozess 14"/>
                        <wps:cNvSpPr/>
                        <wps:spPr>
                          <a:xfrm>
                            <a:off x="1772227" y="2852176"/>
                            <a:ext cx="1704205" cy="1112580"/>
                          </a:xfrm>
                          <a:prstGeom prst="flowChartProcess">
                            <a:avLst/>
                          </a:prstGeom>
                          <a:noFill/>
                          <a:ln w="9525" cap="flat" cmpd="sng" algn="ctr">
                            <a:solidFill>
                              <a:srgbClr val="33434C"/>
                            </a:solidFill>
                            <a:prstDash val="solid"/>
                          </a:ln>
                          <a:effectLst/>
                        </wps:spPr>
                        <wps:txbx>
                          <w:txbxContent>
                            <w:p w14:paraId="136A9EDA"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6.6.1.3</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Stabilisation pendant 6 à 36 h à 20°C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7"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14:paraId="110B2877" w14:textId="77777777" w:rsidR="007F6101" w:rsidRPr="00542BFE" w:rsidRDefault="007F6101" w:rsidP="00312EE0">
                              <w:pPr>
                                <w:pStyle w:val="NormalWeb"/>
                                <w:spacing w:before="0" w:beforeAutospacing="0" w:after="0" w:afterAutospacing="0"/>
                                <w:jc w:val="center"/>
                                <w:rPr>
                                  <w:rFonts w:ascii="Times New Roman" w:hAnsi="Times New Roman" w:cs="Times New Roman"/>
                                  <w:sz w:val="13"/>
                                  <w:szCs w:val="13"/>
                                  <w:lang w:val="en-GB"/>
                                </w:rPr>
                              </w:pPr>
                              <w:r w:rsidRPr="00542BFE">
                                <w:rPr>
                                  <w:rFonts w:ascii="Times New Roman" w:eastAsia="Times New Roman" w:hAnsi="Times New Roman" w:cs="Times New Roman"/>
                                  <w:color w:val="000000" w:themeColor="text1"/>
                                  <w:kern w:val="24"/>
                                  <w:sz w:val="13"/>
                                  <w:szCs w:val="13"/>
                                  <w:lang w:val="en-GB"/>
                                </w:rPr>
                                <w:t>6.6.1.</w:t>
                              </w:r>
                              <w:r w:rsidRPr="00542BFE">
                                <w:rPr>
                                  <w:rFonts w:ascii="Times New Roman" w:eastAsia="MS Mincho" w:hAnsi="Times New Roman" w:cs="Times New Roman"/>
                                  <w:color w:val="000000" w:themeColor="text1"/>
                                  <w:kern w:val="24"/>
                                  <w:sz w:val="13"/>
                                  <w:szCs w:val="13"/>
                                  <w:lang w:val="en-GB"/>
                                </w:rPr>
                                <w:t>4</w:t>
                              </w:r>
                              <w:r w:rsidRPr="00542BFE">
                                <w:rPr>
                                  <w:rFonts w:ascii="Times New Roman" w:eastAsia="Times New Roman" w:hAnsi="Times New Roman" w:cs="Times New Roman"/>
                                  <w:color w:val="000000" w:themeColor="text1"/>
                                  <w:kern w:val="24"/>
                                  <w:sz w:val="13"/>
                                  <w:szCs w:val="13"/>
                                  <w:lang w:val="en-GB"/>
                                </w:rPr>
                                <w:t xml:space="preserve"> </w:t>
                              </w:r>
                              <w:r w:rsidRPr="00D33D8F">
                                <w:rPr>
                                  <w:rFonts w:ascii="Times New Roman" w:eastAsia="Times New Roman" w:hAnsi="Times New Roman" w:cs="Times New Roman"/>
                                  <w:color w:val="000000" w:themeColor="text1"/>
                                  <w:kern w:val="24"/>
                                  <w:sz w:val="13"/>
                                  <w:szCs w:val="13"/>
                                  <w:lang w:val="en-GB"/>
                                </w:rPr>
                                <w:t>Dépressurisation du réservoir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8"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75B3AAA9" w14:textId="77777777" w:rsidR="007F6101" w:rsidRPr="00C64800"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145E43">
                                <w:rPr>
                                  <w:rFonts w:ascii="Times New Roman" w:eastAsia="Times New Roman" w:hAnsi="Times New Roman" w:cs="Times New Roman"/>
                                  <w:color w:val="000000" w:themeColor="text1"/>
                                  <w:kern w:val="24"/>
                                  <w:sz w:val="13"/>
                                  <w:szCs w:val="13"/>
                                  <w:lang w:val="en-GB"/>
                                </w:rPr>
                                <w:t>6.5.</w:t>
                              </w:r>
                              <w:r w:rsidRPr="00C64800">
                                <w:rPr>
                                  <w:rFonts w:ascii="Times New Roman" w:eastAsia="MS Mincho" w:hAnsi="Times New Roman" w:cs="Times New Roman"/>
                                  <w:color w:val="000000" w:themeColor="text1"/>
                                  <w:kern w:val="24"/>
                                  <w:sz w:val="13"/>
                                  <w:szCs w:val="13"/>
                                  <w:lang w:val="fr-CH"/>
                                </w:rPr>
                                <w:t>6</w:t>
                              </w:r>
                              <w:r w:rsidRPr="00C64800">
                                <w:rPr>
                                  <w:rFonts w:ascii="Times New Roman" w:eastAsia="Times New Roman" w:hAnsi="Times New Roman" w:cs="Times New Roman"/>
                                  <w:color w:val="000000" w:themeColor="text1"/>
                                  <w:kern w:val="24"/>
                                  <w:sz w:val="13"/>
                                  <w:szCs w:val="13"/>
                                  <w:lang w:val="fr-CH"/>
                                </w:rPr>
                                <w:t xml:space="preserve"> Essai du dynamomètre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14:paraId="0D72DAA4" w14:textId="77777777" w:rsidR="007F6101" w:rsidRPr="00F90D81" w:rsidRDefault="007F6101" w:rsidP="00312EE0">
                              <w:pPr>
                                <w:pStyle w:val="NormalWeb"/>
                                <w:spacing w:before="40" w:beforeAutospacing="0"/>
                                <w:jc w:val="center"/>
                                <w:rPr>
                                  <w:rFonts w:ascii="Times New Roman" w:eastAsiaTheme="minorEastAsia" w:hAnsi="Times New Roman" w:cs="Times New Roman"/>
                                  <w:sz w:val="13"/>
                                  <w:szCs w:val="13"/>
                                  <w:lang w:val="fr-CH"/>
                                </w:rPr>
                              </w:pPr>
                              <w:r w:rsidRPr="00A21565">
                                <w:rPr>
                                  <w:rFonts w:ascii="Times New Roman" w:eastAsia="Times New Roman" w:hAnsi="Times New Roman" w:cs="Times New Roman"/>
                                  <w:kern w:val="24"/>
                                  <w:sz w:val="13"/>
                                  <w:szCs w:val="13"/>
                                  <w:lang w:val="fr-CH"/>
                                </w:rPr>
                                <w:t>Début de l’essai après accumulation de chaleur dans les 7 min suivant l’essai au dynamomètre et dans les 2 min suivant l’arrêt du moteur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 name="Flussdiagramm: Prozess 20"/>
                        <wps:cNvSpPr/>
                        <wps:spPr>
                          <a:xfrm>
                            <a:off x="3982" y="5798888"/>
                            <a:ext cx="1675283" cy="244173"/>
                          </a:xfrm>
                          <a:prstGeom prst="flowChartProcess">
                            <a:avLst/>
                          </a:prstGeom>
                          <a:noFill/>
                          <a:ln w="9525" cap="flat" cmpd="sng" algn="ctr">
                            <a:solidFill>
                              <a:srgbClr val="33434C"/>
                            </a:solidFill>
                            <a:prstDash val="solid"/>
                          </a:ln>
                          <a:effectLst/>
                        </wps:spPr>
                        <wps:txbx>
                          <w:txbxContent>
                            <w:p w14:paraId="02CF6268"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Essai après accumulation de chaleur : M</w:t>
                              </w:r>
                              <w:r w:rsidRPr="00A21565">
                                <w:rPr>
                                  <w:rFonts w:ascii="Times New Roman" w:eastAsia="Times New Roman" w:hAnsi="Times New Roman" w:cs="Times New Roman"/>
                                  <w:color w:val="000000" w:themeColor="text1"/>
                                  <w:kern w:val="24"/>
                                  <w:sz w:val="13"/>
                                  <w:szCs w:val="13"/>
                                  <w:vertAlign w:val="subscript"/>
                                  <w:lang w:val="fr-CH"/>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1"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14:paraId="1319A6E8"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 à 36 h à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2"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52081B06" w14:textId="77777777" w:rsidR="007F6101" w:rsidRPr="00145E43" w:rsidRDefault="007F6101"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sidRPr="00145E43">
                                <w:rPr>
                                  <w:rFonts w:ascii="Times New Roman" w:eastAsia="Times New Roman"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FR"/>
                                </w:rPr>
                                <w:t>1</w:t>
                              </w:r>
                              <w:r w:rsidRPr="00A21565">
                                <w:rPr>
                                  <w:rFonts w:ascii="Times New Roman" w:eastAsia="Times New Roman" w:hAnsi="Times New Roman" w:cs="Times New Roman"/>
                                  <w:color w:val="000000" w:themeColor="text1"/>
                                  <w:kern w:val="24"/>
                                  <w:sz w:val="13"/>
                                  <w:szCs w:val="13"/>
                                  <w:vertAlign w:val="superscript"/>
                                  <w:lang w:val="fr-FR"/>
                                </w:rPr>
                                <w:t>er</w:t>
                              </w:r>
                              <w:r w:rsidRPr="00A21565">
                                <w:rPr>
                                  <w:rFonts w:ascii="Times New Roman" w:eastAsia="Times New Roman" w:hAnsi="Times New Roman" w:cs="Times New Roman"/>
                                  <w:color w:val="000000" w:themeColor="text1"/>
                                  <w:kern w:val="24"/>
                                  <w:sz w:val="13"/>
                                  <w:szCs w:val="13"/>
                                  <w:lang w:val="fr-FR"/>
                                </w:rPr>
                                <w:t xml:space="preserve"> essai diurne : M</w:t>
                              </w:r>
                              <w:r w:rsidRPr="00A21565">
                                <w:rPr>
                                  <w:rFonts w:ascii="Times New Roman" w:eastAsia="Times New Roman" w:hAnsi="Times New Roman" w:cs="Times New Roman"/>
                                  <w:color w:val="000000" w:themeColor="text1"/>
                                  <w:kern w:val="24"/>
                                  <w:sz w:val="13"/>
                                  <w:szCs w:val="13"/>
                                  <w:vertAlign w:val="subscript"/>
                                  <w:lang w:val="fr-FR"/>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0481F15A" w14:textId="77777777" w:rsidR="007F6101" w:rsidRPr="00145E43" w:rsidRDefault="007F6101"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Pr>
                                  <w:rFonts w:ascii="Times New Roman" w:eastAsia="MS Mincho"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CH"/>
                                </w:rPr>
                                <w:t>2</w:t>
                              </w:r>
                              <w:r w:rsidRPr="00A21565">
                                <w:rPr>
                                  <w:rFonts w:ascii="Times New Roman" w:eastAsia="Times New Roman" w:hAnsi="Times New Roman" w:cs="Times New Roman"/>
                                  <w:color w:val="000000" w:themeColor="text1"/>
                                  <w:kern w:val="24"/>
                                  <w:sz w:val="13"/>
                                  <w:szCs w:val="13"/>
                                  <w:vertAlign w:val="superscript"/>
                                  <w:lang w:val="fr-CH"/>
                                </w:rPr>
                                <w:t>e</w:t>
                              </w:r>
                              <w:r w:rsidRPr="00A21565">
                                <w:rPr>
                                  <w:rFonts w:ascii="Times New Roman" w:eastAsia="Times New Roman" w:hAnsi="Times New Roman" w:cs="Times New Roman"/>
                                  <w:color w:val="000000" w:themeColor="text1"/>
                                  <w:kern w:val="24"/>
                                  <w:sz w:val="13"/>
                                  <w:szCs w:val="13"/>
                                  <w:lang w:val="fr-CH"/>
                                </w:rPr>
                                <w:t xml:space="preserve"> essai diurne</w:t>
                              </w:r>
                              <w:r w:rsidR="00242C31">
                                <w:rPr>
                                  <w:rFonts w:ascii="Times New Roman" w:eastAsia="Times New Roman" w:hAnsi="Times New Roman" w:cs="Times New Roman"/>
                                  <w:color w:val="000000" w:themeColor="text1"/>
                                  <w:kern w:val="24"/>
                                  <w:sz w:val="13"/>
                                  <w:szCs w:val="13"/>
                                  <w:lang w:val="fr-CH"/>
                                </w:rPr>
                                <w:t> </w:t>
                              </w:r>
                              <w:r w:rsidRPr="00A21565">
                                <w:rPr>
                                  <w:rFonts w:ascii="Times New Roman" w:eastAsia="Times New Roman" w:hAnsi="Times New Roman" w:cs="Times New Roman"/>
                                  <w:color w:val="000000" w:themeColor="text1"/>
                                  <w:kern w:val="24"/>
                                  <w:sz w:val="13"/>
                                  <w:szCs w:val="13"/>
                                  <w:lang w:val="fr-CH"/>
                                </w:rPr>
                                <w:t>: M</w:t>
                              </w:r>
                              <w:r w:rsidRPr="00A21565">
                                <w:rPr>
                                  <w:rFonts w:ascii="Times New Roman" w:eastAsia="Times New Roman" w:hAnsi="Times New Roman" w:cs="Times New Roman"/>
                                  <w:color w:val="000000" w:themeColor="text1"/>
                                  <w:kern w:val="24"/>
                                  <w:sz w:val="13"/>
                                  <w:szCs w:val="13"/>
                                  <w:vertAlign w:val="subscript"/>
                                  <w:lang w:val="fr-CH"/>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1F2E4CB6" w14:textId="77777777" w:rsidR="007F6101" w:rsidRPr="00145E43" w:rsidRDefault="007F6101"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 xml:space="preserve">7. </w:t>
                              </w:r>
                              <w:r w:rsidRPr="00145E43">
                                <w:rPr>
                                  <w:rFonts w:ascii="Times New Roman" w:eastAsia="Times New Roman" w:hAnsi="Times New Roman" w:cs="Times New Roman"/>
                                  <w:color w:val="000000" w:themeColor="text1"/>
                                  <w:kern w:val="24"/>
                                  <w:sz w:val="13"/>
                                  <w:szCs w:val="13"/>
                                  <w:lang w:val="en-GB"/>
                                </w:rPr>
                                <w:t>Calculs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4559B6C9" w14:textId="77777777" w:rsidR="007F6101" w:rsidRPr="00145E43" w:rsidRDefault="007F6101" w:rsidP="00312EE0">
                              <w:pPr>
                                <w:pStyle w:val="NormalWeb"/>
                                <w:spacing w:before="0" w:beforeAutospacing="0" w:after="0" w:afterAutospacing="0"/>
                                <w:jc w:val="center"/>
                                <w:rPr>
                                  <w:rFonts w:ascii="Times New Roman" w:hAnsi="Times New Roman" w:cs="Times New Roman"/>
                                  <w:sz w:val="13"/>
                                  <w:szCs w:val="13"/>
                                  <w:lang w:val="en-GB"/>
                                </w:rPr>
                              </w:pPr>
                              <w:r>
                                <w:rPr>
                                  <w:rFonts w:ascii="Times New Roman" w:eastAsia="Times New Roman" w:hAnsi="Times New Roman" w:cs="Times New Roman"/>
                                  <w:b/>
                                  <w:bCs/>
                                  <w:color w:val="000000" w:themeColor="text1"/>
                                  <w:kern w:val="24"/>
                                  <w:sz w:val="13"/>
                                  <w:szCs w:val="13"/>
                                  <w:lang w:val="en-GB"/>
                                </w:rPr>
                                <w:t>Fin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6" name="Flussdiagramm: Prozess 26"/>
                        <wps:cNvSpPr/>
                        <wps:spPr>
                          <a:xfrm>
                            <a:off x="1766190" y="2351087"/>
                            <a:ext cx="1710801" cy="182552"/>
                          </a:xfrm>
                          <a:prstGeom prst="flowChartProcess">
                            <a:avLst/>
                          </a:prstGeom>
                          <a:noFill/>
                          <a:ln w="9525" cap="flat" cmpd="sng" algn="ctr">
                            <a:solidFill>
                              <a:srgbClr val="33434C"/>
                            </a:solidFill>
                            <a:prstDash val="solid"/>
                          </a:ln>
                          <a:effectLst/>
                        </wps:spPr>
                        <wps:txbx>
                          <w:txbxContent>
                            <w:p w14:paraId="55C36C6F"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MS Mincho" w:hAnsi="Times New Roman" w:cs="Times New Roman"/>
                                  <w:color w:val="000000" w:themeColor="text1"/>
                                  <w:spacing w:val="-4"/>
                                  <w:kern w:val="24"/>
                                  <w:sz w:val="13"/>
                                  <w:szCs w:val="13"/>
                                  <w:lang w:val="fr-CH"/>
                                </w:rPr>
                                <w:t>6.6.1.2</w:t>
                              </w:r>
                              <w:r w:rsidRPr="008C7597">
                                <w:rPr>
                                  <w:rFonts w:ascii="Times New Roman" w:eastAsia="Times New Roman" w:hAnsi="Times New Roman" w:cs="Times New Roman"/>
                                  <w:color w:val="000000" w:themeColor="text1"/>
                                  <w:spacing w:val="-4"/>
                                  <w:kern w:val="24"/>
                                  <w:sz w:val="13"/>
                                  <w:szCs w:val="13"/>
                                  <w:lang w:val="fr-CH"/>
                                </w:rPr>
                                <w:t xml:space="preserve"> </w:t>
                              </w:r>
                              <w:r w:rsidRPr="00B013E9">
                                <w:rPr>
                                  <w:rFonts w:ascii="Times New Roman" w:eastAsia="Times New Roman" w:hAnsi="Times New Roman" w:cs="Times New Roman"/>
                                  <w:color w:val="000000" w:themeColor="text1"/>
                                  <w:spacing w:val="-4"/>
                                  <w:kern w:val="24"/>
                                  <w:sz w:val="13"/>
                                  <w:szCs w:val="13"/>
                                  <w:lang w:val="fr-CH"/>
                                </w:rPr>
                                <w:t>Vidange puis remplissage du réservoir à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7" name="Flussdiagramm: Prozess 28"/>
                        <wps:cNvSpPr/>
                        <wps:spPr>
                          <a:xfrm>
                            <a:off x="-35450" y="2947820"/>
                            <a:ext cx="1756938" cy="1065014"/>
                          </a:xfrm>
                          <a:prstGeom prst="flowChartProcess">
                            <a:avLst/>
                          </a:prstGeom>
                          <a:noFill/>
                          <a:ln w="9525" cap="flat" cmpd="sng" algn="ctr">
                            <a:solidFill>
                              <a:srgbClr val="33434C"/>
                            </a:solidFill>
                            <a:prstDash val="solid"/>
                          </a:ln>
                          <a:effectLst/>
                        </wps:spPr>
                        <wps:txbx>
                          <w:txbxContent>
                            <w:p w14:paraId="08D5587B" w14:textId="77777777" w:rsidR="007F6101" w:rsidRPr="006445A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6.5.</w:t>
                              </w:r>
                              <w:r w:rsidRPr="006445A7">
                                <w:rPr>
                                  <w:rFonts w:ascii="Times New Roman" w:eastAsia="MS Mincho" w:hAnsi="Times New Roman" w:cs="Times New Roman"/>
                                  <w:color w:val="000000" w:themeColor="text1"/>
                                  <w:kern w:val="24"/>
                                  <w:sz w:val="13"/>
                                  <w:szCs w:val="13"/>
                                  <w:lang w:val="fr-CH"/>
                                </w:rPr>
                                <w:t>5</w:t>
                              </w:r>
                              <w:r w:rsidRPr="006445A7">
                                <w:rPr>
                                  <w:rFonts w:ascii="Times New Roman" w:eastAsia="Times New Roman" w:hAnsi="Times New Roman" w:cs="Times New Roman"/>
                                  <w:color w:val="000000" w:themeColor="text1"/>
                                  <w:kern w:val="24"/>
                                  <w:sz w:val="13"/>
                                  <w:szCs w:val="13"/>
                                  <w:lang w:val="fr-CH"/>
                                </w:rPr>
                                <w:t xml:space="preserve"> Stabilisation pendant 12 à 36 h à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8"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14:paraId="2FF39108"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1.5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 xml:space="preserve">Charge du </w:t>
                              </w:r>
                              <w:r w:rsidRPr="00D33D8F">
                                <w:rPr>
                                  <w:rFonts w:ascii="Times New Roman" w:eastAsia="Times New Roman" w:hAnsi="Times New Roman" w:cs="Times New Roman"/>
                                  <w:color w:val="000000" w:themeColor="text1"/>
                                  <w:kern w:val="24"/>
                                  <w:sz w:val="13"/>
                                  <w:szCs w:val="13"/>
                                  <w:lang w:val="fr-CH"/>
                                </w:rPr>
                                <w:t xml:space="preserve">canister vieilli </w:t>
                              </w:r>
                              <w:r>
                                <w:rPr>
                                  <w:rFonts w:ascii="Times New Roman" w:eastAsia="Times New Roman" w:hAnsi="Times New Roman" w:cs="Times New Roman"/>
                                  <w:color w:val="000000" w:themeColor="text1"/>
                                  <w:kern w:val="24"/>
                                  <w:sz w:val="13"/>
                                  <w:szCs w:val="13"/>
                                  <w:lang w:val="fr-CH"/>
                                </w:rPr>
                                <w:br/>
                              </w:r>
                              <w:r w:rsidRPr="00D33D8F">
                                <w:rPr>
                                  <w:rFonts w:ascii="Times New Roman" w:eastAsia="Times New Roman" w:hAnsi="Times New Roman" w:cs="Times New Roman"/>
                                  <w:color w:val="000000" w:themeColor="text1"/>
                                  <w:kern w:val="24"/>
                                  <w:sz w:val="13"/>
                                  <w:szCs w:val="13"/>
                                  <w:lang w:val="fr-CH"/>
                                </w:rPr>
                                <w:t>jusqu’à une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9"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14:paraId="2919CB4E"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 xml:space="preserve">Purge du </w:t>
                              </w:r>
                              <w:r w:rsidRPr="00D33D8F">
                                <w:rPr>
                                  <w:rFonts w:ascii="Times New Roman" w:eastAsia="Times New Roman" w:hAnsi="Times New Roman" w:cs="Times New Roman"/>
                                  <w:color w:val="000000" w:themeColor="text1"/>
                                  <w:kern w:val="24"/>
                                  <w:sz w:val="13"/>
                                  <w:szCs w:val="13"/>
                                  <w:lang w:val="fr-CH"/>
                                </w:rPr>
                                <w:t>canister équivalant à 85 % de la consommation de carburant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30" name="Flussdiagramm: Prozess 34"/>
                        <wps:cNvSpPr/>
                        <wps:spPr>
                          <a:xfrm>
                            <a:off x="1805702" y="4033487"/>
                            <a:ext cx="1679191" cy="565662"/>
                          </a:xfrm>
                          <a:prstGeom prst="flowChartProcess">
                            <a:avLst/>
                          </a:prstGeom>
                          <a:noFill/>
                          <a:ln w="9525" cap="flat" cmpd="sng" algn="ctr">
                            <a:solidFill>
                              <a:srgbClr val="33434C"/>
                            </a:solidFill>
                            <a:prstDash val="solid"/>
                          </a:ln>
                          <a:effectLst/>
                        </wps:spPr>
                        <wps:txbx>
                          <w:txbxContent>
                            <w:p w14:paraId="5C2BD9EF"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MS Mincho" w:hAnsi="Times New Roman" w:cs="Times New Roman"/>
                                  <w:color w:val="000000" w:themeColor="text1"/>
                                  <w:kern w:val="24"/>
                                  <w:sz w:val="13"/>
                                  <w:szCs w:val="13"/>
                                  <w:lang w:val="fr-CH"/>
                                </w:rPr>
                                <w:t xml:space="preserve">Préparation du </w:t>
                              </w:r>
                              <w:r w:rsidRPr="00D33D8F">
                                <w:rPr>
                                  <w:rFonts w:ascii="Times New Roman" w:eastAsia="MS Mincho" w:hAnsi="Times New Roman" w:cs="Times New Roman"/>
                                  <w:color w:val="000000" w:themeColor="text1"/>
                                  <w:kern w:val="24"/>
                                  <w:sz w:val="13"/>
                                  <w:szCs w:val="13"/>
                                  <w:lang w:val="fr-CH"/>
                                </w:rPr>
                                <w:t xml:space="preserve">canister pour charge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 xml:space="preserve">par pertes liées à la dépressurisation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(cycle de température de 11 h)</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1" name="Flussdiagramm: Prozess 35"/>
                        <wps:cNvSpPr/>
                        <wps:spPr>
                          <a:xfrm>
                            <a:off x="1762174" y="5190925"/>
                            <a:ext cx="952289" cy="305216"/>
                          </a:xfrm>
                          <a:prstGeom prst="flowChartProcess">
                            <a:avLst/>
                          </a:prstGeom>
                          <a:noFill/>
                          <a:ln w="9525" cap="flat" cmpd="sng" algn="ctr">
                            <a:solidFill>
                              <a:srgbClr val="33434C"/>
                            </a:solidFill>
                            <a:prstDash val="solid"/>
                          </a:ln>
                          <a:effectLst/>
                        </wps:spPr>
                        <wps:txbx>
                          <w:txbxContent>
                            <w:p w14:paraId="5A19E9C6" w14:textId="77777777" w:rsidR="007F6101" w:rsidRPr="008C7597" w:rsidRDefault="007F6101" w:rsidP="00312EE0">
                              <w:pPr>
                                <w:pStyle w:val="NormalWeb"/>
                                <w:spacing w:before="0" w:beforeAutospacing="0" w:after="0" w:afterAutospacing="0" w:line="140" w:lineRule="exact"/>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par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4" name="Flussdiagramm: Prozess 36"/>
                        <wps:cNvSpPr/>
                        <wps:spPr>
                          <a:xfrm>
                            <a:off x="2761064" y="4718350"/>
                            <a:ext cx="644849" cy="769985"/>
                          </a:xfrm>
                          <a:prstGeom prst="flowChartProcess">
                            <a:avLst/>
                          </a:prstGeom>
                          <a:noFill/>
                          <a:ln w="9525" cap="flat" cmpd="sng" algn="ctr">
                            <a:solidFill>
                              <a:srgbClr val="33434C"/>
                            </a:solidFill>
                            <a:prstDash val="solid"/>
                          </a:ln>
                          <a:effectLst/>
                        </wps:spPr>
                        <wps:txbx>
                          <w:txbxContent>
                            <w:p w14:paraId="0069D139"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Mesure du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trop-plein de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5" name="Flussdiagramm: Prozess 37"/>
                        <wps:cNvSpPr/>
                        <wps:spPr>
                          <a:xfrm>
                            <a:off x="1761952" y="5629377"/>
                            <a:ext cx="2398627" cy="182551"/>
                          </a:xfrm>
                          <a:prstGeom prst="flowChartProcess">
                            <a:avLst/>
                          </a:prstGeom>
                          <a:noFill/>
                          <a:ln w="12700" cap="flat" cmpd="sng" algn="ctr">
                            <a:solidFill>
                              <a:srgbClr val="33434C"/>
                            </a:solidFill>
                            <a:prstDash val="solid"/>
                          </a:ln>
                          <a:effectLst/>
                        </wps:spPr>
                        <wps:txbx>
                          <w:txbxContent>
                            <w:p w14:paraId="7C446604"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A21565">
                                <w:rPr>
                                  <w:rFonts w:ascii="Times New Roman" w:eastAsia="Times New Roman" w:hAnsi="Times New Roman" w:cs="Times New Roman"/>
                                  <w:b/>
                                  <w:bCs/>
                                  <w:color w:val="000000" w:themeColor="text1"/>
                                  <w:kern w:val="24"/>
                                  <w:sz w:val="13"/>
                                  <w:szCs w:val="13"/>
                                  <w:lang w:val="fr-CH"/>
                                </w:rPr>
                                <w:t>Fin de l’essai indépendant de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7" name="Flussdiagramm: Prozess 38"/>
                        <wps:cNvSpPr/>
                        <wps:spPr>
                          <a:xfrm>
                            <a:off x="1763928" y="5901733"/>
                            <a:ext cx="1694855" cy="377846"/>
                          </a:xfrm>
                          <a:prstGeom prst="flowChartProcess">
                            <a:avLst/>
                          </a:prstGeom>
                          <a:noFill/>
                          <a:ln w="9525" cap="flat" cmpd="sng" algn="ctr">
                            <a:solidFill>
                              <a:srgbClr val="33434C"/>
                            </a:solidFill>
                            <a:prstDash val="solid"/>
                          </a:ln>
                          <a:effectLst/>
                        </wps:spPr>
                        <wps:txbx>
                          <w:txbxContent>
                            <w:p w14:paraId="20A054D4" w14:textId="77777777" w:rsidR="007F6101" w:rsidRPr="008C7597" w:rsidRDefault="007F6101" w:rsidP="00312EE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6.</w:t>
                              </w:r>
                              <w:r w:rsidRPr="008C7597">
                                <w:rPr>
                                  <w:rFonts w:ascii="Times New Roman" w:eastAsia="MS Mincho" w:hAnsi="Times New Roman" w:cs="Times New Roman"/>
                                  <w:color w:val="000000" w:themeColor="text1"/>
                                  <w:spacing w:val="-4"/>
                                  <w:kern w:val="24"/>
                                  <w:sz w:val="13"/>
                                  <w:szCs w:val="13"/>
                                  <w:lang w:val="fr-CH"/>
                                </w:rPr>
                                <w:t>6.1.9</w:t>
                              </w:r>
                              <w:r w:rsidRPr="008C7597">
                                <w:rPr>
                                  <w:rFonts w:ascii="Times New Roman" w:eastAsia="Times New Roman" w:hAnsi="Times New Roman" w:cs="Times New Roman"/>
                                  <w:color w:val="000000" w:themeColor="text1"/>
                                  <w:spacing w:val="-4"/>
                                  <w:kern w:val="24"/>
                                  <w:sz w:val="13"/>
                                  <w:szCs w:val="13"/>
                                  <w:lang w:val="fr-CH"/>
                                </w:rPr>
                                <w:t xml:space="preserve"> </w:t>
                              </w:r>
                              <w:r w:rsidRPr="00A21565">
                                <w:rPr>
                                  <w:rFonts w:ascii="Times New Roman" w:eastAsia="Times New Roman" w:hAnsi="Times New Roman" w:cs="Times New Roman"/>
                                  <w:color w:val="000000" w:themeColor="text1"/>
                                  <w:spacing w:val="-4"/>
                                  <w:kern w:val="24"/>
                                  <w:sz w:val="13"/>
                                  <w:szCs w:val="13"/>
                                  <w:lang w:val="fr-CH"/>
                                </w:rPr>
                                <w:t>Stabilisation pendant 6 à 36 h à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233"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4066EC9F"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du SRSEE du 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4"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08DFB9C1"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6.1.10</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 xml:space="preserve">Vidange puis remplissage </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du réservoir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5"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4E8CF3E2"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à 36 h à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6"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758A3C85"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12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Dépressurisation du réservoir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 xml:space="preserve">avec le </w:t>
                              </w:r>
                              <w:r w:rsidRPr="00A21565">
                                <w:rPr>
                                  <w:rFonts w:ascii="Times New Roman" w:eastAsia="MS Mincho" w:hAnsi="Times New Roman" w:cs="Times New Roman"/>
                                  <w:color w:val="000000" w:themeColor="text1"/>
                                  <w:kern w:val="24"/>
                                  <w:sz w:val="13"/>
                                  <w:szCs w:val="13"/>
                                  <w:lang w:val="fr-CH"/>
                                </w:rPr>
                                <w:t>canister déconnecté</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7" name="Flussdiagramm: Prozess 45"/>
                        <wps:cNvSpPr/>
                        <wps:spPr>
                          <a:xfrm>
                            <a:off x="3518682" y="551430"/>
                            <a:ext cx="1731211" cy="182552"/>
                          </a:xfrm>
                          <a:prstGeom prst="flowChartProcess">
                            <a:avLst/>
                          </a:prstGeom>
                          <a:noFill/>
                          <a:ln w="9525" cap="flat" cmpd="sng" algn="ctr">
                            <a:solidFill>
                              <a:srgbClr val="33434C"/>
                            </a:solidFill>
                            <a:prstDash val="solid"/>
                          </a:ln>
                          <a:effectLst/>
                        </wps:spPr>
                        <wps:txbx>
                          <w:txbxContent>
                            <w:p w14:paraId="72355508" w14:textId="77777777" w:rsidR="007F6101" w:rsidRPr="008C7597" w:rsidRDefault="007F6101" w:rsidP="00312EE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6.5.1 </w:t>
                              </w:r>
                              <w:r w:rsidRPr="00E1347C">
                                <w:rPr>
                                  <w:rFonts w:ascii="Times New Roman" w:eastAsia="Times New Roman" w:hAnsi="Times New Roman" w:cs="Times New Roman"/>
                                  <w:color w:val="000000" w:themeColor="text1"/>
                                  <w:spacing w:val="-4"/>
                                  <w:kern w:val="24"/>
                                  <w:sz w:val="13"/>
                                  <w:szCs w:val="13"/>
                                  <w:lang w:val="fr-CH"/>
                                </w:rPr>
                                <w:t>Vidange puis remplissage du réservoir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8" name="Flussdiagramm: Prozess 46"/>
                        <wps:cNvSpPr/>
                        <wps:spPr>
                          <a:xfrm>
                            <a:off x="3522794" y="1095331"/>
                            <a:ext cx="1735323" cy="182551"/>
                          </a:xfrm>
                          <a:prstGeom prst="flowChartProcess">
                            <a:avLst/>
                          </a:prstGeom>
                          <a:noFill/>
                          <a:ln w="9525" cap="flat" cmpd="sng" algn="ctr">
                            <a:solidFill>
                              <a:srgbClr val="33434C"/>
                            </a:solidFill>
                            <a:prstDash val="solid"/>
                          </a:ln>
                          <a:effectLst/>
                        </wps:spPr>
                        <wps:txbx>
                          <w:txbxContent>
                            <w:p w14:paraId="01FEE167"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6.5.2 </w:t>
                              </w:r>
                              <w:r w:rsidRPr="001E2DA7">
                                <w:rPr>
                                  <w:rFonts w:ascii="Times New Roman" w:eastAsia="Times New Roman" w:hAnsi="Times New Roman" w:cs="Times New Roman"/>
                                  <w:color w:val="000000" w:themeColor="text1"/>
                                  <w:spacing w:val="-4"/>
                                  <w:kern w:val="24"/>
                                  <w:sz w:val="13"/>
                                  <w:szCs w:val="13"/>
                                  <w:lang w:val="fr-CH"/>
                                </w:rPr>
                                <w:t>Stabilisation pendant 6 à 36 h à 23 °C</w:t>
                              </w:r>
                            </w:p>
                            <w:p w14:paraId="2A19DB07"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z w:val="13"/>
                                  <w:szCs w:val="13"/>
                                  <w:lang w:val="fr-CH"/>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9"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06DDD014" w14:textId="77777777" w:rsidR="007F6101" w:rsidRPr="004D1059" w:rsidRDefault="007F6101" w:rsidP="00312EE0">
                              <w:pPr>
                                <w:pStyle w:val="NormalWeb"/>
                                <w:spacing w:before="0" w:beforeAutospacing="0" w:after="0" w:afterAutospacing="0"/>
                                <w:jc w:val="center"/>
                                <w:rPr>
                                  <w:rFonts w:ascii="Times New Roman" w:hAnsi="Times New Roman" w:cs="Times New Roman"/>
                                  <w:noProof/>
                                  <w:sz w:val="13"/>
                                  <w:szCs w:val="13"/>
                                  <w:lang w:val="en-GB"/>
                                </w:rPr>
                              </w:pPr>
                              <w:r w:rsidRPr="004D1059">
                                <w:rPr>
                                  <w:rFonts w:ascii="Times New Roman" w:eastAsia="Times New Roman" w:hAnsi="Times New Roman" w:cs="Times New Roman"/>
                                  <w:color w:val="000000" w:themeColor="text1"/>
                                  <w:kern w:val="24"/>
                                  <w:sz w:val="13"/>
                                  <w:szCs w:val="13"/>
                                  <w:lang w:val="en-GB"/>
                                </w:rPr>
                                <w:t xml:space="preserve">6.5.3 </w:t>
                              </w:r>
                              <w:r w:rsidRPr="001E2DA7">
                                <w:rPr>
                                  <w:rFonts w:ascii="Times New Roman" w:eastAsia="Times New Roman" w:hAnsi="Times New Roman" w:cs="Times New Roman"/>
                                  <w:color w:val="000000" w:themeColor="text1"/>
                                  <w:kern w:val="24"/>
                                  <w:sz w:val="13"/>
                                  <w:szCs w:val="13"/>
                                  <w:lang w:val="en-GB"/>
                                </w:rPr>
                                <w:t>Parcours de préconditionnement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0" name="Flussdiagramm: Prozess 49"/>
                        <wps:cNvSpPr/>
                        <wps:spPr>
                          <a:xfrm>
                            <a:off x="3541640" y="2086585"/>
                            <a:ext cx="1753443" cy="2743754"/>
                          </a:xfrm>
                          <a:prstGeom prst="flowChartProcess">
                            <a:avLst/>
                          </a:prstGeom>
                          <a:noFill/>
                          <a:ln w="9525" cap="flat" cmpd="sng" algn="ctr">
                            <a:solidFill>
                              <a:srgbClr val="33434C"/>
                            </a:solidFill>
                            <a:prstDash val="solid"/>
                          </a:ln>
                          <a:effectLst/>
                        </wps:spPr>
                        <wps:txbx>
                          <w:txbxContent>
                            <w:p w14:paraId="1874C20E"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Stabilisation pendant 6 à 36 h à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41"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48D5DB48"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 xml:space="preserve">du SRSEE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du 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2"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6F47F323"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 xml:space="preserve">du </w:t>
                              </w:r>
                              <w:r w:rsidRPr="00B013E9">
                                <w:rPr>
                                  <w:rFonts w:ascii="Times New Roman" w:eastAsia="Times New Roman" w:hAnsi="Times New Roman" w:cs="Times New Roman"/>
                                  <w:color w:val="000000" w:themeColor="text1"/>
                                  <w:kern w:val="24"/>
                                  <w:sz w:val="13"/>
                                  <w:szCs w:val="13"/>
                                  <w:lang w:val="fr-CH"/>
                                </w:rPr>
                                <w:t>canister vieilli jusqu’à une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3"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14:paraId="717BF398"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Purge du </w:t>
                              </w:r>
                              <w:r w:rsidRPr="00B013E9">
                                <w:rPr>
                                  <w:rFonts w:ascii="Times New Roman" w:eastAsia="Times New Roman" w:hAnsi="Times New Roman" w:cs="Times New Roman"/>
                                  <w:color w:val="000000" w:themeColor="text1"/>
                                  <w:kern w:val="24"/>
                                  <w:sz w:val="13"/>
                                  <w:szCs w:val="13"/>
                                  <w:lang w:val="fr-CH"/>
                                </w:rPr>
                                <w:t xml:space="preserve">canister équivalant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 xml:space="preserve">à 85 % de la consommation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de carburant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4"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14:paraId="2FA43F77"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 xml:space="preserve">6.7.2.1.3 </w:t>
                              </w:r>
                              <w:r w:rsidRPr="00B013E9">
                                <w:rPr>
                                  <w:rFonts w:ascii="Times New Roman" w:eastAsia="Times New Roman" w:hAnsi="Times New Roman" w:cs="Times New Roman"/>
                                  <w:color w:val="000000" w:themeColor="text1"/>
                                  <w:kern w:val="24"/>
                                  <w:sz w:val="13"/>
                                  <w:szCs w:val="13"/>
                                  <w:lang w:val="fr-CH"/>
                                </w:rPr>
                                <w:t xml:space="preserve">Charge du </w:t>
                              </w:r>
                              <w:r w:rsidRPr="00B013E9">
                                <w:rPr>
                                  <w:rFonts w:ascii="Times New Roman" w:eastAsia="Times New Roman" w:hAnsi="Times New Roman" w:cs="Times New Roman"/>
                                  <w:color w:val="000000" w:themeColor="text1"/>
                                  <w:kern w:val="24"/>
                                  <w:sz w:val="13"/>
                                  <w:szCs w:val="13"/>
                                  <w:lang w:val="fr-CH"/>
                                </w:rPr>
                                <w:t>canister avec masse simulée des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5" name="Gewinkelte Verbindung 6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246"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47"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48"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249"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250" name="Gewinkelte Verbindung 75"/>
                        <wps:cNvCnPr/>
                        <wps:spPr>
                          <a:xfrm rot="5400000">
                            <a:off x="2427608"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1" name="Gewinkelte Verbindung 76"/>
                        <wps:cNvCnPr/>
                        <wps:spPr>
                          <a:xfrm rot="16200000" flipH="1">
                            <a:off x="2816182"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2"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3"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4"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255"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32"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33"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34" name="Gewinkelte Verbindung 94"/>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35"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36" name="Flussdiagramm: Prozess 29"/>
                        <wps:cNvSpPr/>
                        <wps:spPr>
                          <a:xfrm>
                            <a:off x="-60397" y="2443800"/>
                            <a:ext cx="1778322" cy="182552"/>
                          </a:xfrm>
                          <a:prstGeom prst="flowChartProcess">
                            <a:avLst/>
                          </a:prstGeom>
                          <a:noFill/>
                          <a:ln w="9525" cap="flat" cmpd="sng" algn="ctr">
                            <a:solidFill>
                              <a:srgbClr val="33434C"/>
                            </a:solidFill>
                            <a:prstDash val="solid"/>
                          </a:ln>
                          <a:effectLst/>
                        </wps:spPr>
                        <wps:txbx>
                          <w:txbxContent>
                            <w:p w14:paraId="2AD35A50" w14:textId="77777777" w:rsidR="007F6101" w:rsidRPr="00080CD2" w:rsidRDefault="007F6101" w:rsidP="00312EE0">
                              <w:pPr>
                                <w:pStyle w:val="NormalWeb"/>
                                <w:spacing w:before="0" w:beforeAutospacing="0" w:after="0" w:afterAutospacing="0"/>
                                <w:ind w:left="-113" w:right="-113"/>
                                <w:jc w:val="center"/>
                                <w:rPr>
                                  <w:rFonts w:ascii="Times New Roman" w:eastAsia="Times New Roman" w:hAnsi="Times New Roman" w:cs="Times New Roman"/>
                                  <w:color w:val="000000" w:themeColor="text1"/>
                                  <w:kern w:val="24"/>
                                  <w:sz w:val="13"/>
                                  <w:szCs w:val="13"/>
                                  <w:lang w:val="fr-CH"/>
                                </w:rPr>
                              </w:pPr>
                              <w:r w:rsidRPr="00080CD2">
                                <w:rPr>
                                  <w:rFonts w:ascii="Times New Roman" w:eastAsia="Times New Roman" w:hAnsi="Times New Roman" w:cs="Times New Roman"/>
                                  <w:color w:val="000000" w:themeColor="text1"/>
                                  <w:kern w:val="24"/>
                                  <w:sz w:val="13"/>
                                  <w:szCs w:val="13"/>
                                  <w:lang w:val="fr-CH"/>
                                </w:rPr>
                                <w:t>6.5.</w:t>
                              </w:r>
                              <w:r w:rsidRPr="00080CD2">
                                <w:rPr>
                                  <w:rFonts w:ascii="Times New Roman" w:eastAsia="MS Mincho" w:hAnsi="Times New Roman" w:cs="Times New Roman"/>
                                  <w:color w:val="000000" w:themeColor="text1"/>
                                  <w:kern w:val="24"/>
                                  <w:sz w:val="13"/>
                                  <w:szCs w:val="13"/>
                                  <w:lang w:val="fr-CH"/>
                                </w:rPr>
                                <w:t>4</w:t>
                              </w:r>
                              <w:r w:rsidRPr="00080CD2">
                                <w:rPr>
                                  <w:rFonts w:ascii="Times New Roman" w:eastAsia="Times New Roman" w:hAnsi="Times New Roman" w:cs="Times New Roman"/>
                                  <w:color w:val="000000" w:themeColor="text1"/>
                                  <w:kern w:val="24"/>
                                  <w:sz w:val="13"/>
                                  <w:szCs w:val="13"/>
                                  <w:lang w:val="fr-CH"/>
                                </w:rPr>
                                <w:t xml:space="preserve"> Vidange puis remplissage du réservoir à 40 %</w:t>
                              </w:r>
                            </w:p>
                            <w:p w14:paraId="093C7A4B" w14:textId="77777777" w:rsidR="007F6101" w:rsidRPr="00080CD2" w:rsidRDefault="007F6101" w:rsidP="00312EE0">
                              <w:pPr>
                                <w:pStyle w:val="NormalWeb"/>
                                <w:spacing w:before="0" w:beforeAutospacing="0" w:after="0" w:afterAutospacing="0"/>
                                <w:ind w:left="-113" w:right="-113"/>
                                <w:jc w:val="center"/>
                                <w:rPr>
                                  <w:rFonts w:ascii="Times New Roman" w:hAnsi="Times New Roman" w:cs="Times New Roman"/>
                                  <w:sz w:val="13"/>
                                  <w:szCs w:val="13"/>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7"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14:paraId="6F24EC90" w14:textId="77777777" w:rsidR="007F6101" w:rsidRPr="001252EC"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1252EC">
                                <w:rPr>
                                  <w:rFonts w:ascii="Times New Roman" w:eastAsia="Times New Roman" w:hAnsi="Times New Roman" w:cs="Times New Roman"/>
                                  <w:kern w:val="24"/>
                                  <w:sz w:val="13"/>
                                  <w:szCs w:val="13"/>
                                  <w:lang w:val="fr-CH"/>
                                </w:rPr>
                                <w:t>Début de la vidange et du remplissage dans l’heure</w:t>
                              </w:r>
                              <w:r>
                                <w:rPr>
                                  <w:rFonts w:ascii="Times New Roman" w:eastAsia="Times New Roman" w:hAnsi="Times New Roman" w:cs="Times New Roman"/>
                                  <w:kern w:val="24"/>
                                  <w:sz w:val="13"/>
                                  <w:szCs w:val="13"/>
                                  <w:lang w:val="fr-CH"/>
                                </w:rPr>
                                <w:t xml:space="preserve"> </w:t>
                              </w:r>
                              <w:r w:rsidRPr="001252EC">
                                <w:rPr>
                                  <w:rFonts w:ascii="Times New Roman" w:eastAsia="Times New Roman" w:hAnsi="Times New Roman" w:cs="Times New Roman"/>
                                  <w:kern w:val="24"/>
                                  <w:sz w:val="13"/>
                                  <w:szCs w:val="13"/>
                                  <w:lang w:val="fr-CH"/>
                                </w:rPr>
                                <w:t>qui suit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8" name="Flussdiagramm: Prozess 9"/>
                        <wps:cNvSpPr/>
                        <wps:spPr>
                          <a:xfrm>
                            <a:off x="-23090" y="823049"/>
                            <a:ext cx="1871897" cy="183129"/>
                          </a:xfrm>
                          <a:prstGeom prst="flowChartProcess">
                            <a:avLst/>
                          </a:prstGeom>
                          <a:noFill/>
                          <a:ln w="9525" cap="flat" cmpd="sng" algn="ctr">
                            <a:solidFill>
                              <a:schemeClr val="tx1"/>
                            </a:solidFill>
                            <a:prstDash val="solid"/>
                          </a:ln>
                          <a:effectLst/>
                        </wps:spPr>
                        <wps:txbx>
                          <w:txbxContent>
                            <w:p w14:paraId="31B6B727" w14:textId="77777777" w:rsidR="007F6101" w:rsidRPr="00BA4E7A" w:rsidRDefault="007F6101"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BA4E7A">
                                <w:rPr>
                                  <w:rFonts w:ascii="Times New Roman" w:eastAsia="MS Mincho" w:hAnsi="Times New Roman" w:cs="Times New Roman"/>
                                  <w:kern w:val="24"/>
                                  <w:sz w:val="13"/>
                                  <w:szCs w:val="13"/>
                                  <w:lang w:val="fr-CH"/>
                                </w:rPr>
                                <w:t>Début de la stabilisation dans les 5 min qui suivent</w:t>
                              </w:r>
                            </w:p>
                            <w:p w14:paraId="499D13D5" w14:textId="77777777" w:rsidR="007F6101" w:rsidRPr="00BA4E7A" w:rsidRDefault="007F6101" w:rsidP="00312EE0">
                              <w:pPr>
                                <w:pStyle w:val="NormalWeb"/>
                                <w:spacing w:before="0" w:beforeAutospacing="0" w:after="0" w:afterAutospacing="0"/>
                                <w:ind w:left="-113" w:right="-113"/>
                                <w:jc w:val="center"/>
                                <w:rPr>
                                  <w:rFonts w:ascii="Times New Roman" w:hAnsi="Times New Roman" w:cs="Times New Roman"/>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9" name="直線矢印コネクタ 278"/>
                        <wps:cNvCnPr/>
                        <wps:spPr>
                          <a:xfrm>
                            <a:off x="917157" y="430703"/>
                            <a:ext cx="1443" cy="124141"/>
                          </a:xfrm>
                          <a:prstGeom prst="straightConnector1">
                            <a:avLst/>
                          </a:prstGeom>
                          <a:noFill/>
                          <a:ln w="6350" cap="flat" cmpd="sng" algn="ctr">
                            <a:solidFill>
                              <a:srgbClr val="33434C"/>
                            </a:solidFill>
                            <a:prstDash val="solid"/>
                            <a:tailEnd type="triangle" w="med" len="sm"/>
                          </a:ln>
                          <a:effectLst/>
                        </wps:spPr>
                        <wps:bodyPr/>
                      </wps:wsp>
                      <wps:wsp>
                        <wps:cNvPr id="40" name="直線矢印コネクタ 279"/>
                        <wps:cNvCnPr/>
                        <wps:spPr>
                          <a:xfrm flipH="1">
                            <a:off x="908002" y="736924"/>
                            <a:ext cx="1041" cy="89117"/>
                          </a:xfrm>
                          <a:prstGeom prst="straightConnector1">
                            <a:avLst/>
                          </a:prstGeom>
                          <a:noFill/>
                          <a:ln w="6350" cap="flat" cmpd="sng" algn="ctr">
                            <a:solidFill>
                              <a:srgbClr val="33434C"/>
                            </a:solidFill>
                            <a:prstDash val="solid"/>
                            <a:tailEnd type="triangle" w="med" len="sm"/>
                          </a:ln>
                          <a:effectLst/>
                        </wps:spPr>
                        <wps:bodyPr/>
                      </wps:wsp>
                      <wps:wsp>
                        <wps:cNvPr id="41" name="直線矢印コネクタ 280"/>
                        <wps:cNvCnPr/>
                        <wps:spPr>
                          <a:xfrm>
                            <a:off x="893485" y="1006244"/>
                            <a:ext cx="1041" cy="89117"/>
                          </a:xfrm>
                          <a:prstGeom prst="straightConnector1">
                            <a:avLst/>
                          </a:prstGeom>
                          <a:noFill/>
                          <a:ln w="6350" cap="flat" cmpd="sng" algn="ctr">
                            <a:solidFill>
                              <a:srgbClr val="33434C"/>
                            </a:solidFill>
                            <a:prstDash val="solid"/>
                            <a:tailEnd type="triangle" w="med" len="sm"/>
                          </a:ln>
                          <a:effectLst/>
                        </wps:spPr>
                        <wps:bodyPr/>
                      </wps:wsp>
                      <wps:wsp>
                        <wps:cNvPr id="42" name="直線矢印コネクタ 281"/>
                        <wps:cNvCnPr/>
                        <wps:spPr>
                          <a:xfrm>
                            <a:off x="891619" y="1280836"/>
                            <a:ext cx="0" cy="89118"/>
                          </a:xfrm>
                          <a:prstGeom prst="straightConnector1">
                            <a:avLst/>
                          </a:prstGeom>
                          <a:noFill/>
                          <a:ln w="6350" cap="flat" cmpd="sng" algn="ctr">
                            <a:solidFill>
                              <a:srgbClr val="33434C"/>
                            </a:solidFill>
                            <a:prstDash val="solid"/>
                            <a:tailEnd type="triangle" w="med" len="sm"/>
                          </a:ln>
                          <a:effectLst/>
                        </wps:spPr>
                        <wps:bodyPr/>
                      </wps:wsp>
                      <wps:wsp>
                        <wps:cNvPr id="43" name="直線矢印コネクタ 282"/>
                        <wps:cNvCnPr/>
                        <wps:spPr>
                          <a:xfrm>
                            <a:off x="894737" y="1552914"/>
                            <a:ext cx="253" cy="108177"/>
                          </a:xfrm>
                          <a:prstGeom prst="straightConnector1">
                            <a:avLst/>
                          </a:prstGeom>
                          <a:noFill/>
                          <a:ln w="6350" cap="flat" cmpd="sng" algn="ctr">
                            <a:solidFill>
                              <a:srgbClr val="33434C"/>
                            </a:solidFill>
                            <a:prstDash val="solid"/>
                            <a:tailEnd type="triangle" w="med" len="sm"/>
                          </a:ln>
                          <a:effectLst/>
                        </wps:spPr>
                        <wps:bodyPr/>
                      </wps:wsp>
                      <wps:wsp>
                        <wps:cNvPr id="44" name="直線矢印コネクタ 283"/>
                        <wps:cNvCnPr/>
                        <wps:spPr>
                          <a:xfrm flipH="1">
                            <a:off x="888335" y="1977612"/>
                            <a:ext cx="1294" cy="105482"/>
                          </a:xfrm>
                          <a:prstGeom prst="straightConnector1">
                            <a:avLst/>
                          </a:prstGeom>
                          <a:noFill/>
                          <a:ln w="6350" cap="flat" cmpd="sng" algn="ctr">
                            <a:solidFill>
                              <a:srgbClr val="33434C"/>
                            </a:solidFill>
                            <a:prstDash val="solid"/>
                            <a:tailEnd type="triangle" w="med" len="sm"/>
                          </a:ln>
                          <a:effectLst/>
                        </wps:spPr>
                        <wps:bodyPr/>
                      </wps:wsp>
                      <wps:wsp>
                        <wps:cNvPr id="45" name="直線矢印コネクタ 284"/>
                        <wps:cNvCnPr/>
                        <wps:spPr>
                          <a:xfrm>
                            <a:off x="878291" y="2387503"/>
                            <a:ext cx="1041" cy="61083"/>
                          </a:xfrm>
                          <a:prstGeom prst="straightConnector1">
                            <a:avLst/>
                          </a:prstGeom>
                          <a:noFill/>
                          <a:ln w="6350" cap="flat" cmpd="sng" algn="ctr">
                            <a:solidFill>
                              <a:srgbClr val="33434C"/>
                            </a:solidFill>
                            <a:prstDash val="solid"/>
                            <a:tailEnd type="triangle" w="med" len="sm"/>
                          </a:ln>
                          <a:effectLst/>
                        </wps:spPr>
                        <wps:bodyPr/>
                      </wps:wsp>
                      <wps:wsp>
                        <wps:cNvPr id="46" name="直線矢印コネクタ 285"/>
                        <wps:cNvCnPr/>
                        <wps:spPr>
                          <a:xfrm flipH="1">
                            <a:off x="876013" y="2628842"/>
                            <a:ext cx="1041" cy="61649"/>
                          </a:xfrm>
                          <a:prstGeom prst="straightConnector1">
                            <a:avLst/>
                          </a:prstGeom>
                          <a:noFill/>
                          <a:ln w="6350" cap="flat" cmpd="sng" algn="ctr">
                            <a:solidFill>
                              <a:srgbClr val="33434C"/>
                            </a:solidFill>
                            <a:prstDash val="solid"/>
                            <a:tailEnd type="triangle" w="med" len="sm"/>
                          </a:ln>
                          <a:effectLst/>
                        </wps:spPr>
                        <wps:bodyPr/>
                      </wps:wsp>
                      <wps:wsp>
                        <wps:cNvPr id="47"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48"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49"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50"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51"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52"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53"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55"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56"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57"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58" name="Flussdiagramm: Prozess 13"/>
                        <wps:cNvSpPr/>
                        <wps:spPr>
                          <a:xfrm>
                            <a:off x="1878183" y="1973697"/>
                            <a:ext cx="1454693" cy="305217"/>
                          </a:xfrm>
                          <a:prstGeom prst="flowChartProcess">
                            <a:avLst/>
                          </a:prstGeom>
                          <a:noFill/>
                          <a:ln w="9525" cap="flat" cmpd="sng" algn="ctr">
                            <a:solidFill>
                              <a:schemeClr val="tx1"/>
                            </a:solidFill>
                            <a:prstDash val="solid"/>
                          </a:ln>
                          <a:effectLst/>
                        </wps:spPr>
                        <wps:txbx>
                          <w:txbxContent>
                            <w:p w14:paraId="0E8A622F"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B013E9">
                                <w:rPr>
                                  <w:rFonts w:ascii="Times New Roman" w:eastAsia="Times New Roman" w:hAnsi="Times New Roman" w:cs="Times New Roman"/>
                                  <w:kern w:val="24"/>
                                  <w:sz w:val="13"/>
                                  <w:szCs w:val="13"/>
                                  <w:lang w:val="fr-CH"/>
                                </w:rPr>
                                <w:t>Début de la vidange et du remplissage dans l’heure qui suit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13"/>
                        <wps:cNvSpPr/>
                        <wps:spPr>
                          <a:xfrm>
                            <a:off x="-71087" y="2688046"/>
                            <a:ext cx="1803266" cy="183130"/>
                          </a:xfrm>
                          <a:prstGeom prst="flowChartProcess">
                            <a:avLst/>
                          </a:prstGeom>
                          <a:noFill/>
                          <a:ln w="9525" cap="flat" cmpd="sng" algn="ctr">
                            <a:solidFill>
                              <a:schemeClr val="tx1"/>
                            </a:solidFill>
                            <a:prstDash val="solid"/>
                          </a:ln>
                          <a:effectLst/>
                        </wps:spPr>
                        <wps:txbx>
                          <w:txbxContent>
                            <w:p w14:paraId="14E72F5A" w14:textId="77777777" w:rsidR="007F6101" w:rsidRPr="00080CD2" w:rsidRDefault="007F6101" w:rsidP="00312EE0">
                              <w:pPr>
                                <w:pStyle w:val="NormalWeb"/>
                                <w:spacing w:before="0" w:beforeAutospacing="0" w:after="0" w:afterAutospacing="0"/>
                                <w:ind w:left="-113" w:right="-113"/>
                                <w:jc w:val="center"/>
                                <w:rPr>
                                  <w:rFonts w:ascii="Times New Roman" w:hAnsi="Times New Roman" w:cs="Times New Roman"/>
                                  <w:spacing w:val="-2"/>
                                  <w:sz w:val="13"/>
                                  <w:szCs w:val="13"/>
                                  <w:lang w:val="fr-CH"/>
                                </w:rPr>
                              </w:pPr>
                              <w:r w:rsidRPr="00080CD2">
                                <w:rPr>
                                  <w:rFonts w:ascii="Times New Roman" w:eastAsia="MS Mincho" w:hAnsi="Times New Roman" w:cs="Times New Roman"/>
                                  <w:spacing w:val="-2"/>
                                  <w:kern w:val="24"/>
                                  <w:sz w:val="13"/>
                                  <w:szCs w:val="13"/>
                                  <w:lang w:val="fr-CH"/>
                                </w:rPr>
                                <w:t>Début de la stabilisation dans les 5 min qui suivent</w:t>
                              </w:r>
                            </w:p>
                            <w:p w14:paraId="0410475F" w14:textId="77777777" w:rsidR="007F6101" w:rsidRPr="00BA4E7A" w:rsidRDefault="007F6101" w:rsidP="00312EE0">
                              <w:pPr>
                                <w:pStyle w:val="NormalWeb"/>
                                <w:spacing w:before="0" w:beforeAutospacing="0" w:after="0" w:afterAutospacing="0"/>
                                <w:ind w:left="-113" w:right="-113"/>
                                <w:jc w:val="center"/>
                                <w:rPr>
                                  <w:rFonts w:ascii="Times New Roman" w:hAnsi="Times New Roman" w:cs="Times New Roman"/>
                                  <w:lang w:val="fr-CH"/>
                                </w:rPr>
                              </w:pPr>
                            </w:p>
                            <w:p w14:paraId="7F8EB969" w14:textId="77777777" w:rsidR="007F6101" w:rsidRPr="00080CD2" w:rsidRDefault="007F6101" w:rsidP="00312EE0">
                              <w:pPr>
                                <w:pStyle w:val="NormalWeb"/>
                                <w:spacing w:before="0" w:beforeAutospacing="0" w:after="0" w:afterAutospacing="0"/>
                                <w:jc w:val="center"/>
                                <w:rPr>
                                  <w:rFonts w:ascii="Times New Roman" w:hAnsi="Times New Roman" w:cs="Times New Roman"/>
                                  <w:sz w:val="13"/>
                                  <w:szCs w:val="13"/>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0" name="直線矢印コネクタ 65"/>
                        <wps:cNvCnPr/>
                        <wps:spPr>
                          <a:xfrm flipH="1">
                            <a:off x="874189" y="2874081"/>
                            <a:ext cx="49" cy="76810"/>
                          </a:xfrm>
                          <a:prstGeom prst="straightConnector1">
                            <a:avLst/>
                          </a:prstGeom>
                          <a:noFill/>
                          <a:ln w="6350" cap="flat" cmpd="sng" algn="ctr">
                            <a:solidFill>
                              <a:srgbClr val="33434C"/>
                            </a:solidFill>
                            <a:prstDash val="solid"/>
                            <a:tailEnd type="triangle" w="med" len="sm"/>
                          </a:ln>
                          <a:effectLst/>
                        </wps:spPr>
                        <wps:bodyPr/>
                      </wps:wsp>
                      <wps:wsp>
                        <wps:cNvPr id="61" name="Flussdiagramm: Prozess 13"/>
                        <wps:cNvSpPr/>
                        <wps:spPr>
                          <a:xfrm>
                            <a:off x="1770119" y="2600321"/>
                            <a:ext cx="1710863" cy="183130"/>
                          </a:xfrm>
                          <a:prstGeom prst="flowChartProcess">
                            <a:avLst/>
                          </a:prstGeom>
                          <a:noFill/>
                          <a:ln w="9525" cap="flat" cmpd="sng" algn="ctr">
                            <a:solidFill>
                              <a:schemeClr val="tx1"/>
                            </a:solidFill>
                            <a:prstDash val="solid"/>
                          </a:ln>
                          <a:effectLst/>
                        </wps:spPr>
                        <wps:txbx>
                          <w:txbxContent>
                            <w:p w14:paraId="44EE76E4"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B013E9">
                                <w:rPr>
                                  <w:rFonts w:ascii="Times New Roman" w:eastAsia="MS Mincho" w:hAnsi="Times New Roman" w:cs="Times New Roman"/>
                                  <w:spacing w:val="-4"/>
                                  <w:kern w:val="24"/>
                                  <w:sz w:val="13"/>
                                  <w:szCs w:val="13"/>
                                  <w:lang w:val="fr-CH"/>
                                </w:rPr>
                                <w:t>Début de la stabilisation dans les 5 min qui suivent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2"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63"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256"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257"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258" name="Flussdiagramm: Prozess 13"/>
                        <wps:cNvSpPr/>
                        <wps:spPr>
                          <a:xfrm>
                            <a:off x="1770141" y="4726376"/>
                            <a:ext cx="944289" cy="396780"/>
                          </a:xfrm>
                          <a:prstGeom prst="flowChartProcess">
                            <a:avLst/>
                          </a:prstGeom>
                          <a:noFill/>
                          <a:ln w="9525" cap="flat" cmpd="sng" algn="ctr">
                            <a:solidFill>
                              <a:schemeClr val="tx1"/>
                            </a:solidFill>
                            <a:prstDash val="solid"/>
                          </a:ln>
                          <a:effectLst/>
                        </wps:spPr>
                        <wps:txbx>
                          <w:txbxContent>
                            <w:p w14:paraId="2A4B8164"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D33D8F">
                                <w:rPr>
                                  <w:rFonts w:ascii="Times New Roman" w:eastAsia="MS Mincho" w:hAnsi="Times New Roman" w:cs="Times New Roman"/>
                                  <w:kern w:val="24"/>
                                  <w:sz w:val="13"/>
                                  <w:szCs w:val="13"/>
                                  <w:lang w:val="fr-CH"/>
                                </w:rPr>
                                <w:t>Début de la charge par pertes liées à la dépressurisation dans les 15 min qui suivent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59"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260"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261"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262"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263"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264" name="Flussdiagramm: Prozess 9"/>
                        <wps:cNvSpPr/>
                        <wps:spPr>
                          <a:xfrm>
                            <a:off x="3526949" y="823060"/>
                            <a:ext cx="1718771" cy="183129"/>
                          </a:xfrm>
                          <a:prstGeom prst="flowChartProcess">
                            <a:avLst/>
                          </a:prstGeom>
                          <a:noFill/>
                          <a:ln w="9525" cap="flat" cmpd="sng" algn="ctr">
                            <a:solidFill>
                              <a:schemeClr val="tx1"/>
                            </a:solidFill>
                            <a:prstDash val="solid"/>
                          </a:ln>
                          <a:effectLst/>
                        </wps:spPr>
                        <wps:txbx>
                          <w:txbxContent>
                            <w:p w14:paraId="480EEF14" w14:textId="77777777" w:rsidR="007F6101" w:rsidRPr="008C7597" w:rsidRDefault="007F6101" w:rsidP="00312EE0">
                              <w:pPr>
                                <w:pStyle w:val="NormalWeb"/>
                                <w:spacing w:before="0" w:beforeAutospacing="0" w:after="0" w:afterAutospacing="0"/>
                                <w:jc w:val="center"/>
                                <w:rPr>
                                  <w:rFonts w:ascii="Times New Roman" w:hAnsi="Times New Roman" w:cs="Times New Roman"/>
                                  <w:spacing w:val="-6"/>
                                  <w:sz w:val="13"/>
                                  <w:szCs w:val="13"/>
                                  <w:lang w:val="fr-CH"/>
                                </w:rPr>
                              </w:pPr>
                              <w:r w:rsidRPr="00E1347C">
                                <w:rPr>
                                  <w:rFonts w:ascii="Times New Roman" w:eastAsia="MS Mincho" w:hAnsi="Times New Roman" w:cs="Times New Roman"/>
                                  <w:spacing w:val="-6"/>
                                  <w:kern w:val="24"/>
                                  <w:sz w:val="13"/>
                                  <w:szCs w:val="13"/>
                                  <w:lang w:val="fr-CH"/>
                                </w:rPr>
                                <w:t>Début de la stabilisation dans les 5 min qui suivent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65"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266"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267"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268"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269"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270"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271"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272"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34FEBBF0" w14:textId="77777777" w:rsidR="007F6101" w:rsidRPr="00C64800"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C64800">
                                <w:rPr>
                                  <w:rFonts w:ascii="Times New Roman" w:eastAsia="Times New Roman" w:hAnsi="Times New Roman" w:cs="Times New Roman"/>
                                  <w:color w:val="000000" w:themeColor="text1"/>
                                  <w:kern w:val="24"/>
                                  <w:sz w:val="13"/>
                                  <w:szCs w:val="13"/>
                                  <w:lang w:val="fr-CH"/>
                                </w:rPr>
                                <w:t>Oui</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3" name="Flussdiagramm: Prozess 13"/>
                        <wps:cNvSpPr/>
                        <wps:spPr>
                          <a:xfrm>
                            <a:off x="1019682" y="1958695"/>
                            <a:ext cx="237173" cy="126364"/>
                          </a:xfrm>
                          <a:prstGeom prst="flowChartProcess">
                            <a:avLst/>
                          </a:prstGeom>
                          <a:noFill/>
                          <a:ln w="9525" cap="flat" cmpd="sng" algn="ctr">
                            <a:noFill/>
                            <a:prstDash val="solid"/>
                          </a:ln>
                          <a:effectLst/>
                        </wps:spPr>
                        <wps:txbx>
                          <w:txbxContent>
                            <w:p w14:paraId="6C0D9C25" w14:textId="77777777" w:rsidR="007F6101" w:rsidRPr="00600AB9" w:rsidRDefault="007F6101" w:rsidP="00312EE0">
                              <w:pPr>
                                <w:pStyle w:val="NormalWeb"/>
                                <w:spacing w:before="0" w:beforeAutospacing="0" w:after="0" w:afterAutospacing="0"/>
                                <w:jc w:val="center"/>
                                <w:rPr>
                                  <w:rFonts w:ascii="Times New Roman" w:hAnsi="Times New Roman" w:cs="Times New Roman"/>
                                  <w:sz w:val="13"/>
                                  <w:szCs w:val="13"/>
                                  <w:lang w:val="en-GB"/>
                                </w:rPr>
                              </w:pPr>
                              <w:r w:rsidRPr="00600AB9">
                                <w:rPr>
                                  <w:rFonts w:ascii="Times New Roman" w:eastAsia="MS Mincho" w:hAnsi="Times New Roman" w:cs="Times New Roman"/>
                                  <w:color w:val="000000" w:themeColor="text1"/>
                                  <w:kern w:val="24"/>
                                  <w:sz w:val="13"/>
                                  <w:szCs w:val="13"/>
                                  <w:lang w:val="en-GB"/>
                                </w:rPr>
                                <w:t>No</w:t>
                              </w:r>
                              <w:r>
                                <w:rPr>
                                  <w:rFonts w:ascii="Times New Roman" w:eastAsia="MS Mincho" w:hAnsi="Times New Roman" w:cs="Times New Roman"/>
                                  <w:color w:val="000000" w:themeColor="text1"/>
                                  <w:kern w:val="24"/>
                                  <w:sz w:val="13"/>
                                  <w:szCs w:val="13"/>
                                  <w:lang w:val="en-GB"/>
                                </w:rPr>
                                <w:t>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4" name="フローチャート : 判断 88"/>
                        <wps:cNvSpPr/>
                        <wps:spPr>
                          <a:xfrm>
                            <a:off x="45766" y="1661091"/>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5"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742C770E" w14:textId="77777777" w:rsidR="007F6101" w:rsidRPr="00600AB9" w:rsidRDefault="007F6101" w:rsidP="00312EE0">
                              <w:pPr>
                                <w:pStyle w:val="NormalWeb"/>
                                <w:spacing w:before="0" w:beforeAutospacing="0" w:after="0" w:afterAutospacing="0"/>
                                <w:ind w:left="-113" w:right="-113"/>
                                <w:jc w:val="center"/>
                                <w:rPr>
                                  <w:rFonts w:ascii="Times New Roman" w:eastAsiaTheme="minorEastAsia" w:hAnsi="Times New Roman" w:cs="Times New Roman"/>
                                  <w:sz w:val="13"/>
                                  <w:szCs w:val="13"/>
                                  <w:lang w:val="en-GB"/>
                                </w:rPr>
                              </w:pPr>
                              <w:r w:rsidRPr="002467FF">
                                <w:rPr>
                                  <w:rFonts w:ascii="Times New Roman" w:hAnsi="Times New Roman" w:cs="Times New Roman"/>
                                  <w:color w:val="000000" w:themeColor="text1"/>
                                  <w:kern w:val="24"/>
                                  <w:sz w:val="13"/>
                                  <w:szCs w:val="13"/>
                                  <w:lang w:val="fr-CH"/>
                                </w:rPr>
                                <w:t>Système de réservoir étanche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6"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7D4B77E0" w14:textId="77777777" w:rsidR="007F6101" w:rsidRPr="00A4751E"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5.1</w:t>
                              </w:r>
                              <w:r w:rsidRPr="00A4751E">
                                <w:rPr>
                                  <w:rFonts w:ascii="Times New Roman" w:eastAsia="Times New Roman" w:hAnsi="Times New Roman" w:cs="Times New Roman"/>
                                  <w:color w:val="000000" w:themeColor="text1"/>
                                  <w:kern w:val="24"/>
                                  <w:sz w:val="13"/>
                                  <w:szCs w:val="13"/>
                                  <w:lang w:val="fr-CH"/>
                                </w:rPr>
                                <w:t xml:space="preserve"> Charge </w:t>
                              </w:r>
                              <w:r w:rsidRPr="00A4751E">
                                <w:rPr>
                                  <w:rFonts w:ascii="Times New Roman" w:eastAsia="Times New Roman" w:hAnsi="Times New Roman" w:cs="Times New Roman"/>
                                  <w:color w:val="000000" w:themeColor="text1"/>
                                  <w:kern w:val="24"/>
                                  <w:sz w:val="13"/>
                                  <w:szCs w:val="13"/>
                                  <w:lang w:val="fr-CH"/>
                                </w:rPr>
                                <w:br/>
                                <w:t xml:space="preserve">du SRSEE du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7" name="Flussdiagramm: Prozess 31"/>
                        <wps:cNvSpPr/>
                        <wps:spPr>
                          <a:xfrm>
                            <a:off x="874029" y="3253751"/>
                            <a:ext cx="779747" cy="519382"/>
                          </a:xfrm>
                          <a:prstGeom prst="flowChartProcess">
                            <a:avLst/>
                          </a:prstGeom>
                          <a:noFill/>
                          <a:ln w="9525" cap="flat" cmpd="sng" algn="ctr">
                            <a:solidFill>
                              <a:srgbClr val="33434C"/>
                            </a:solidFill>
                            <a:prstDash val="solid"/>
                          </a:ln>
                          <a:effectLst/>
                        </wps:spPr>
                        <wps:txbx>
                          <w:txbxContent>
                            <w:p w14:paraId="4489BD45" w14:textId="77777777" w:rsidR="007F6101" w:rsidRPr="00A4751E" w:rsidRDefault="007F6101"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5.2</w:t>
                              </w:r>
                              <w:r w:rsidRPr="00A4751E">
                                <w:rPr>
                                  <w:rFonts w:ascii="Times New Roman" w:eastAsia="Times New Roman" w:hAnsi="Times New Roman" w:cs="Times New Roman"/>
                                  <w:color w:val="000000" w:themeColor="text1"/>
                                  <w:kern w:val="24"/>
                                  <w:sz w:val="13"/>
                                  <w:szCs w:val="13"/>
                                  <w:lang w:val="fr-CH"/>
                                </w:rPr>
                                <w:t xml:space="preserve"> Charge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 xml:space="preserve">du </w:t>
                              </w:r>
                              <w:r w:rsidRPr="00A4751E">
                                <w:rPr>
                                  <w:rFonts w:ascii="Times New Roman" w:eastAsia="Times New Roman" w:hAnsi="Times New Roman" w:cs="Times New Roman"/>
                                  <w:color w:val="000000" w:themeColor="text1"/>
                                  <w:kern w:val="24"/>
                                  <w:sz w:val="13"/>
                                  <w:szCs w:val="13"/>
                                  <w:lang w:val="fr-CH"/>
                                </w:rPr>
                                <w:t>canister vieilli jusqu’à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inline>
            </w:drawing>
          </mc:Choice>
          <mc:Fallback>
            <w:pict>
              <v:group w14:anchorId="6CB92477" id="グループ化 16" o:spid="_x0000_s1047" style="width:424.5pt;height:594.45pt;mso-position-horizontal-relative:char;mso-position-vertical-relative:line" coordorigin="-710" coordsize="53661,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">
                <v:shape id="Flussdiagramm: Prozess 7" o:spid="_x0000_s1048" type="#_x0000_t109" style="position:absolute;left:-710;width:21482;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" filled="f" strokecolor="#33434c" strokeweight="1pt">
                  <v:textbox inset="1mm,1mm,1mm,1mm">
                    <w:txbxContent>
                      <w:p w14:paraId="70686AC3" w14:textId="77777777" w:rsidR="007F6101" w:rsidRPr="00E71DCE" w:rsidRDefault="007F6101"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E71DCE">
                          <w:rPr>
                            <w:rFonts w:ascii="Times New Roman" w:eastAsia="Times New Roman" w:hAnsi="Times New Roman" w:cs="Times New Roman"/>
                            <w:b/>
                            <w:bCs/>
                            <w:color w:val="000000"/>
                            <w:kern w:val="24"/>
                            <w:sz w:val="13"/>
                            <w:szCs w:val="13"/>
                            <w:lang w:val="fr-CH"/>
                          </w:rPr>
                          <w:t>Début pour : réservoirs non étanches, réservoirs étanches (procédure continue) et réservoirs étanches (procédure indépendante, pertes liées à la dépressurisation)</w:t>
                        </w:r>
                      </w:p>
                    </w:txbxContent>
                  </v:textbox>
                </v:shape>
                <v:shape id="Flussdiagramm: Prozess 8" o:spid="_x0000_s1049" type="#_x0000_t109" style="position:absolute;left:89;top:5514;width:17887;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" filled="f" strokecolor="#33434c">
                  <v:textbox inset="1mm,1mm,1mm,1mm">
                    <w:txbxContent>
                      <w:p w14:paraId="2B99EC6F" w14:textId="77777777" w:rsidR="007F6101" w:rsidRPr="00BA4E7A"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 xml:space="preserve">6.5.1 </w:t>
                        </w:r>
                        <w:r w:rsidRPr="00BA4E7A">
                          <w:rPr>
                            <w:rFonts w:ascii="Times New Roman" w:eastAsia="Times New Roman" w:hAnsi="Times New Roman" w:cs="Times New Roman"/>
                            <w:color w:val="000000" w:themeColor="text1"/>
                            <w:kern w:val="24"/>
                            <w:sz w:val="13"/>
                            <w:szCs w:val="13"/>
                            <w:lang w:val="fr-CH"/>
                          </w:rPr>
                          <w:t>Vidange du réservoir et remplissage à 40 %</w:t>
                        </w:r>
                      </w:p>
                    </w:txbxContent>
                  </v:textbox>
                </v:shape>
                <v:shape id="Flussdiagramm: Prozess 9" o:spid="_x0000_s1050" type="#_x0000_t109" style="position:absolute;left:409;top:10985;width:1727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" filled="f" strokecolor="#33434c">
                  <v:textbox inset="0,1mm,0,1mm">
                    <w:txbxContent>
                      <w:p w14:paraId="47B1FBA8" w14:textId="77777777" w:rsidR="007F6101" w:rsidRPr="002467FF" w:rsidRDefault="007F6101"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2467FF">
                          <w:rPr>
                            <w:rFonts w:ascii="Times New Roman" w:eastAsia="Times New Roman" w:hAnsi="Times New Roman" w:cs="Times New Roman"/>
                            <w:color w:val="000000" w:themeColor="text1"/>
                            <w:kern w:val="24"/>
                            <w:sz w:val="13"/>
                            <w:szCs w:val="13"/>
                            <w:lang w:val="fr-CH"/>
                          </w:rPr>
                          <w:t>6.5.2 Stabilisation pendant 6 à 36 h à 23 °C</w:t>
                        </w:r>
                      </w:p>
                    </w:txbxContent>
                  </v:textbox>
                </v:shape>
                <v:shape id="Flussdiagramm: Prozess 10" o:spid="_x0000_s1051" type="#_x0000_t109" style="position:absolute;left:1157;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" filled="f" strokecolor="#33434c">
                  <v:textbox inset="1mm,1mm,1mm,1mm">
                    <w:txbxContent>
                      <w:p w14:paraId="107CD9E1" w14:textId="77777777" w:rsidR="007F6101" w:rsidRPr="00C64800"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600AB9">
                          <w:rPr>
                            <w:rFonts w:ascii="Times New Roman" w:eastAsia="Times New Roman" w:hAnsi="Times New Roman" w:cs="Times New Roman"/>
                            <w:color w:val="000000" w:themeColor="text1"/>
                            <w:kern w:val="24"/>
                            <w:sz w:val="13"/>
                            <w:szCs w:val="13"/>
                            <w:lang w:val="en-GB"/>
                          </w:rPr>
                          <w:t xml:space="preserve">6.5.3 </w:t>
                        </w:r>
                        <w:r w:rsidRPr="00C64800">
                          <w:rPr>
                            <w:rFonts w:ascii="Times New Roman" w:eastAsia="Times New Roman" w:hAnsi="Times New Roman" w:cs="Times New Roman"/>
                            <w:color w:val="000000" w:themeColor="text1"/>
                            <w:kern w:val="24"/>
                            <w:sz w:val="13"/>
                            <w:szCs w:val="13"/>
                            <w:lang w:val="fr-CH"/>
                          </w:rPr>
                          <w:t xml:space="preserve">Parcours de </w:t>
                        </w:r>
                        <w:r w:rsidRPr="00C64800">
                          <w:rPr>
                            <w:rFonts w:ascii="Times New Roman" w:eastAsia="Times New Roman" w:hAnsi="Times New Roman" w:cs="Times New Roman"/>
                            <w:color w:val="000000" w:themeColor="text1"/>
                            <w:kern w:val="24"/>
                            <w:sz w:val="13"/>
                            <w:szCs w:val="13"/>
                            <w:lang w:val="fr-CH"/>
                          </w:rPr>
                          <w:t>préconditionnement</w:t>
                        </w:r>
                      </w:p>
                    </w:txbxContent>
                  </v:textbox>
                </v:shape>
                <v:shape id="Flussdiagramm: Prozess 11" o:spid="_x0000_s1052"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" filled="f" strokecolor="#33434c" strokeweight="1pt">
                  <v:textbox inset="1mm,1mm,1mm,1mm">
                    <w:txbxContent>
                      <w:p w14:paraId="666534C0"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E1347C">
                          <w:rPr>
                            <w:rFonts w:ascii="Times New Roman" w:eastAsia="Times New Roman" w:hAnsi="Times New Roman" w:cs="Times New Roman"/>
                            <w:b/>
                            <w:bCs/>
                            <w:color w:val="000000" w:themeColor="text1"/>
                            <w:kern w:val="24"/>
                            <w:sz w:val="13"/>
                            <w:szCs w:val="13"/>
                            <w:lang w:val="fr-CH"/>
                          </w:rPr>
                          <w:t xml:space="preserve">Début pour : réservoirs étanches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 xml:space="preserve">(procédure indépendante, accumulation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de chaleur et essais diurnes)</w:t>
                        </w:r>
                      </w:p>
                    </w:txbxContent>
                  </v:textbox>
                </v:shape>
                <v:shape id="Flussdiagramm: Prozess 14" o:spid="_x0000_s1053" type="#_x0000_t109" style="position:absolute;left:17722;top:28521;width:17042;height:1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" filled="f" strokecolor="#33434c">
                  <v:textbox inset="0,1mm,0,0">
                    <w:txbxContent>
                      <w:p w14:paraId="136A9EDA"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6.6.1.3</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Stabilisation pendant 6 à 36 h à 20°C</w:t>
                        </w:r>
                      </w:p>
                    </w:txbxContent>
                  </v:textbox>
                </v:shape>
                <v:shape id="Flussdiagramm: Prozess 15" o:spid="_x0000_s1054"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" filled="f" strokecolor="#33434c">
                  <v:textbox inset="1mm,1mm,1mm,1mm">
                    <w:txbxContent>
                      <w:p w14:paraId="110B2877" w14:textId="77777777" w:rsidR="007F6101" w:rsidRPr="00542BFE" w:rsidRDefault="007F6101" w:rsidP="00312EE0">
                        <w:pPr>
                          <w:pStyle w:val="NormalWeb"/>
                          <w:spacing w:before="0" w:beforeAutospacing="0" w:after="0" w:afterAutospacing="0"/>
                          <w:jc w:val="center"/>
                          <w:rPr>
                            <w:rFonts w:ascii="Times New Roman" w:hAnsi="Times New Roman" w:cs="Times New Roman"/>
                            <w:sz w:val="13"/>
                            <w:szCs w:val="13"/>
                            <w:lang w:val="en-GB"/>
                          </w:rPr>
                        </w:pPr>
                        <w:r w:rsidRPr="00542BFE">
                          <w:rPr>
                            <w:rFonts w:ascii="Times New Roman" w:eastAsia="Times New Roman" w:hAnsi="Times New Roman" w:cs="Times New Roman"/>
                            <w:color w:val="000000" w:themeColor="text1"/>
                            <w:kern w:val="24"/>
                            <w:sz w:val="13"/>
                            <w:szCs w:val="13"/>
                            <w:lang w:val="en-GB"/>
                          </w:rPr>
                          <w:t>6.6.1.</w:t>
                        </w:r>
                        <w:r w:rsidRPr="00542BFE">
                          <w:rPr>
                            <w:rFonts w:ascii="Times New Roman" w:eastAsia="MS Mincho" w:hAnsi="Times New Roman" w:cs="Times New Roman"/>
                            <w:color w:val="000000" w:themeColor="text1"/>
                            <w:kern w:val="24"/>
                            <w:sz w:val="13"/>
                            <w:szCs w:val="13"/>
                            <w:lang w:val="en-GB"/>
                          </w:rPr>
                          <w:t>4</w:t>
                        </w:r>
                        <w:r w:rsidRPr="00542BFE">
                          <w:rPr>
                            <w:rFonts w:ascii="Times New Roman" w:eastAsia="Times New Roman" w:hAnsi="Times New Roman" w:cs="Times New Roman"/>
                            <w:color w:val="000000" w:themeColor="text1"/>
                            <w:kern w:val="24"/>
                            <w:sz w:val="13"/>
                            <w:szCs w:val="13"/>
                            <w:lang w:val="en-GB"/>
                          </w:rPr>
                          <w:t xml:space="preserve"> </w:t>
                        </w:r>
                        <w:r w:rsidRPr="00D33D8F">
                          <w:rPr>
                            <w:rFonts w:ascii="Times New Roman" w:eastAsia="Times New Roman" w:hAnsi="Times New Roman" w:cs="Times New Roman"/>
                            <w:color w:val="000000" w:themeColor="text1"/>
                            <w:kern w:val="24"/>
                            <w:sz w:val="13"/>
                            <w:szCs w:val="13"/>
                            <w:lang w:val="en-GB"/>
                          </w:rPr>
                          <w:t>Dépressurisation du réservoir</w:t>
                        </w:r>
                      </w:p>
                    </w:txbxContent>
                  </v:textbox>
                </v:shape>
                <v:shape id="Flussdiagramm: Prozess 18" o:spid="_x0000_s1055"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" filled="f" strokecolor="#33434c">
                  <v:textbox inset="1mm,1mm,1mm,1mm">
                    <w:txbxContent>
                      <w:p w14:paraId="75B3AAA9" w14:textId="77777777" w:rsidR="007F6101" w:rsidRPr="00C64800"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145E43">
                          <w:rPr>
                            <w:rFonts w:ascii="Times New Roman" w:eastAsia="Times New Roman" w:hAnsi="Times New Roman" w:cs="Times New Roman"/>
                            <w:color w:val="000000" w:themeColor="text1"/>
                            <w:kern w:val="24"/>
                            <w:sz w:val="13"/>
                            <w:szCs w:val="13"/>
                            <w:lang w:val="en-GB"/>
                          </w:rPr>
                          <w:t>6.5.</w:t>
                        </w:r>
                        <w:r w:rsidRPr="00C64800">
                          <w:rPr>
                            <w:rFonts w:ascii="Times New Roman" w:eastAsia="MS Mincho" w:hAnsi="Times New Roman" w:cs="Times New Roman"/>
                            <w:color w:val="000000" w:themeColor="text1"/>
                            <w:kern w:val="24"/>
                            <w:sz w:val="13"/>
                            <w:szCs w:val="13"/>
                            <w:lang w:val="fr-CH"/>
                          </w:rPr>
                          <w:t>6</w:t>
                        </w:r>
                        <w:r w:rsidRPr="00C64800">
                          <w:rPr>
                            <w:rFonts w:ascii="Times New Roman" w:eastAsia="Times New Roman" w:hAnsi="Times New Roman" w:cs="Times New Roman"/>
                            <w:color w:val="000000" w:themeColor="text1"/>
                            <w:kern w:val="24"/>
                            <w:sz w:val="13"/>
                            <w:szCs w:val="13"/>
                            <w:lang w:val="fr-CH"/>
                          </w:rPr>
                          <w:t xml:space="preserve"> Essai du dynamomètre</w:t>
                        </w:r>
                      </w:p>
                    </w:txbxContent>
                  </v:textbox>
                </v:shape>
                <v:shape id="Flussdiagramm: Prozess 19" o:spid="_x0000_s1056"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" filled="f" strokecolor="black [3213]">
                  <v:textbox inset="1mm,1mm,1mm,1mm">
                    <w:txbxContent>
                      <w:p w14:paraId="0D72DAA4" w14:textId="77777777" w:rsidR="007F6101" w:rsidRPr="00F90D81" w:rsidRDefault="007F6101" w:rsidP="00312EE0">
                        <w:pPr>
                          <w:pStyle w:val="NormalWeb"/>
                          <w:spacing w:before="40" w:beforeAutospacing="0"/>
                          <w:jc w:val="center"/>
                          <w:rPr>
                            <w:rFonts w:ascii="Times New Roman" w:eastAsiaTheme="minorEastAsia" w:hAnsi="Times New Roman" w:cs="Times New Roman"/>
                            <w:sz w:val="13"/>
                            <w:szCs w:val="13"/>
                            <w:lang w:val="fr-CH"/>
                          </w:rPr>
                        </w:pPr>
                        <w:r w:rsidRPr="00A21565">
                          <w:rPr>
                            <w:rFonts w:ascii="Times New Roman" w:eastAsia="Times New Roman" w:hAnsi="Times New Roman" w:cs="Times New Roman"/>
                            <w:kern w:val="24"/>
                            <w:sz w:val="13"/>
                            <w:szCs w:val="13"/>
                            <w:lang w:val="fr-CH"/>
                          </w:rPr>
                          <w:t>Début de l’essai après accumulation de chaleur dans les 7 min suivant l’essai au dynamomètre et dans les 2 min suivant l’arrêt du moteur</w:t>
                        </w:r>
                      </w:p>
                    </w:txbxContent>
                  </v:textbox>
                </v:shape>
                <v:shape id="Flussdiagramm: Prozess 20" o:spid="_x0000_s1057" type="#_x0000_t109" style="position:absolute;left:39;top:57988;width:16753;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" filled="f" strokecolor="#33434c">
                  <v:textbox inset="1mm,1mm,1mm,1mm">
                    <w:txbxContent>
                      <w:p w14:paraId="02CF6268"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Essai après accumulation de chaleur : M</w:t>
                        </w:r>
                        <w:r w:rsidRPr="00A21565">
                          <w:rPr>
                            <w:rFonts w:ascii="Times New Roman" w:eastAsia="Times New Roman" w:hAnsi="Times New Roman" w:cs="Times New Roman"/>
                            <w:color w:val="000000" w:themeColor="text1"/>
                            <w:kern w:val="24"/>
                            <w:sz w:val="13"/>
                            <w:szCs w:val="13"/>
                            <w:vertAlign w:val="subscript"/>
                            <w:lang w:val="fr-CH"/>
                          </w:rPr>
                          <w:t>HS</w:t>
                        </w:r>
                      </w:p>
                    </w:txbxContent>
                  </v:textbox>
                </v:shape>
                <v:shape id="Flussdiagramm: Prozess 21" o:spid="_x0000_s1058"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" filled="f" strokecolor="#33434c">
                  <v:textbox inset="0,1mm,0,1mm">
                    <w:txbxContent>
                      <w:p w14:paraId="1319A6E8"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 à 36 h à 20 °C</w:t>
                        </w:r>
                      </w:p>
                    </w:txbxContent>
                  </v:textbox>
                </v:shape>
                <v:shape id="Flussdiagramm: Prozess 22" o:spid="_x0000_s1059"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" filled="f" strokecolor="#33434c">
                  <v:textbox inset="1mm,1mm,1mm,1mm">
                    <w:txbxContent>
                      <w:p w14:paraId="52081B06" w14:textId="77777777" w:rsidR="007F6101" w:rsidRPr="00145E43" w:rsidRDefault="007F6101"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sidRPr="00145E43">
                          <w:rPr>
                            <w:rFonts w:ascii="Times New Roman" w:eastAsia="Times New Roman"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FR"/>
                          </w:rPr>
                          <w:t>1</w:t>
                        </w:r>
                        <w:r w:rsidRPr="00A21565">
                          <w:rPr>
                            <w:rFonts w:ascii="Times New Roman" w:eastAsia="Times New Roman" w:hAnsi="Times New Roman" w:cs="Times New Roman"/>
                            <w:color w:val="000000" w:themeColor="text1"/>
                            <w:kern w:val="24"/>
                            <w:sz w:val="13"/>
                            <w:szCs w:val="13"/>
                            <w:vertAlign w:val="superscript"/>
                            <w:lang w:val="fr-FR"/>
                          </w:rPr>
                          <w:t>er</w:t>
                        </w:r>
                        <w:r w:rsidRPr="00A21565">
                          <w:rPr>
                            <w:rFonts w:ascii="Times New Roman" w:eastAsia="Times New Roman" w:hAnsi="Times New Roman" w:cs="Times New Roman"/>
                            <w:color w:val="000000" w:themeColor="text1"/>
                            <w:kern w:val="24"/>
                            <w:sz w:val="13"/>
                            <w:szCs w:val="13"/>
                            <w:lang w:val="fr-FR"/>
                          </w:rPr>
                          <w:t xml:space="preserve"> essai diurne : M</w:t>
                        </w:r>
                        <w:r w:rsidRPr="00A21565">
                          <w:rPr>
                            <w:rFonts w:ascii="Times New Roman" w:eastAsia="Times New Roman" w:hAnsi="Times New Roman" w:cs="Times New Roman"/>
                            <w:color w:val="000000" w:themeColor="text1"/>
                            <w:kern w:val="24"/>
                            <w:sz w:val="13"/>
                            <w:szCs w:val="13"/>
                            <w:vertAlign w:val="subscript"/>
                            <w:lang w:val="fr-FR"/>
                          </w:rPr>
                          <w:t>D1</w:t>
                        </w:r>
                      </w:p>
                    </w:txbxContent>
                  </v:textbox>
                </v:shape>
                <v:shape id="Flussdiagramm: Prozess 23" o:spid="_x0000_s1060"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AwwwAAANsAAAAPAAAAZHJzL2Rvd25yZXYueG1sRI/NasMw&#10;EITvhbyD2EBvjWwH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mKFQMMMAAADbAAAADwAA&#10;AAAAAAAAAAAAAAAHAgAAZHJzL2Rvd25yZXYueG1sUEsFBgAAAAADAAMAtwAAAPcCAAAAAA==&#10;" filled="f" strokecolor="#33434c">
                  <v:textbox inset="1mm,1mm,1mm,1mm">
                    <w:txbxContent>
                      <w:p w14:paraId="0481F15A" w14:textId="77777777" w:rsidR="007F6101" w:rsidRPr="00145E43" w:rsidRDefault="007F6101"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Pr>
                            <w:rFonts w:ascii="Times New Roman" w:eastAsia="MS Mincho"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CH"/>
                          </w:rPr>
                          <w:t>2</w:t>
                        </w:r>
                        <w:r w:rsidRPr="00A21565">
                          <w:rPr>
                            <w:rFonts w:ascii="Times New Roman" w:eastAsia="Times New Roman" w:hAnsi="Times New Roman" w:cs="Times New Roman"/>
                            <w:color w:val="000000" w:themeColor="text1"/>
                            <w:kern w:val="24"/>
                            <w:sz w:val="13"/>
                            <w:szCs w:val="13"/>
                            <w:vertAlign w:val="superscript"/>
                            <w:lang w:val="fr-CH"/>
                          </w:rPr>
                          <w:t>e</w:t>
                        </w:r>
                        <w:r w:rsidRPr="00A21565">
                          <w:rPr>
                            <w:rFonts w:ascii="Times New Roman" w:eastAsia="Times New Roman" w:hAnsi="Times New Roman" w:cs="Times New Roman"/>
                            <w:color w:val="000000" w:themeColor="text1"/>
                            <w:kern w:val="24"/>
                            <w:sz w:val="13"/>
                            <w:szCs w:val="13"/>
                            <w:lang w:val="fr-CH"/>
                          </w:rPr>
                          <w:t xml:space="preserve"> essai diurne</w:t>
                        </w:r>
                        <w:r w:rsidR="00242C31">
                          <w:rPr>
                            <w:rFonts w:ascii="Times New Roman" w:eastAsia="Times New Roman" w:hAnsi="Times New Roman" w:cs="Times New Roman"/>
                            <w:color w:val="000000" w:themeColor="text1"/>
                            <w:kern w:val="24"/>
                            <w:sz w:val="13"/>
                            <w:szCs w:val="13"/>
                            <w:lang w:val="fr-CH"/>
                          </w:rPr>
                          <w:t> </w:t>
                        </w:r>
                        <w:r w:rsidRPr="00A21565">
                          <w:rPr>
                            <w:rFonts w:ascii="Times New Roman" w:eastAsia="Times New Roman" w:hAnsi="Times New Roman" w:cs="Times New Roman"/>
                            <w:color w:val="000000" w:themeColor="text1"/>
                            <w:kern w:val="24"/>
                            <w:sz w:val="13"/>
                            <w:szCs w:val="13"/>
                            <w:lang w:val="fr-CH"/>
                          </w:rPr>
                          <w:t>: M</w:t>
                        </w:r>
                        <w:r w:rsidRPr="00A21565">
                          <w:rPr>
                            <w:rFonts w:ascii="Times New Roman" w:eastAsia="Times New Roman" w:hAnsi="Times New Roman" w:cs="Times New Roman"/>
                            <w:color w:val="000000" w:themeColor="text1"/>
                            <w:kern w:val="24"/>
                            <w:sz w:val="13"/>
                            <w:szCs w:val="13"/>
                            <w:vertAlign w:val="subscript"/>
                            <w:lang w:val="fr-CH"/>
                          </w:rPr>
                          <w:t>D2</w:t>
                        </w:r>
                      </w:p>
                    </w:txbxContent>
                  </v:textbox>
                </v:shape>
                <v:shape id="Flussdiagramm: Prozess 24" o:spid="_x0000_s1061"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hEwwAAANsAAAAPAAAAZHJzL2Rvd25yZXYueG1sRI/NasMw&#10;EITvhbyD2EBvjWwT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F0jIRMMAAADbAAAADwAA&#10;AAAAAAAAAAAAAAAHAgAAZHJzL2Rvd25yZXYueG1sUEsFBgAAAAADAAMAtwAAAPcCAAAAAA==&#10;" filled="f" strokecolor="#33434c">
                  <v:textbox inset="1mm,1mm,1mm,1mm">
                    <w:txbxContent>
                      <w:p w14:paraId="1F2E4CB6" w14:textId="77777777" w:rsidR="007F6101" w:rsidRPr="00145E43" w:rsidRDefault="007F6101"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 xml:space="preserve">7. </w:t>
                        </w:r>
                        <w:r w:rsidRPr="00145E43">
                          <w:rPr>
                            <w:rFonts w:ascii="Times New Roman" w:eastAsia="Times New Roman" w:hAnsi="Times New Roman" w:cs="Times New Roman"/>
                            <w:color w:val="000000" w:themeColor="text1"/>
                            <w:kern w:val="24"/>
                            <w:sz w:val="13"/>
                            <w:szCs w:val="13"/>
                            <w:lang w:val="en-GB"/>
                          </w:rPr>
                          <w:t>Calculs</w:t>
                        </w:r>
                      </w:p>
                    </w:txbxContent>
                  </v:textbox>
                </v:shape>
                <v:shape id="Flussdiagramm: Prozess 25" o:spid="_x0000_s1062"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" filled="f" strokecolor="#33434c" strokeweight="1pt">
                  <v:textbox inset="1mm,1mm,1mm,1mm">
                    <w:txbxContent>
                      <w:p w14:paraId="4559B6C9" w14:textId="77777777" w:rsidR="007F6101" w:rsidRPr="00145E43" w:rsidRDefault="007F6101" w:rsidP="00312EE0">
                        <w:pPr>
                          <w:pStyle w:val="NormalWeb"/>
                          <w:spacing w:before="0" w:beforeAutospacing="0" w:after="0" w:afterAutospacing="0"/>
                          <w:jc w:val="center"/>
                          <w:rPr>
                            <w:rFonts w:ascii="Times New Roman" w:hAnsi="Times New Roman" w:cs="Times New Roman"/>
                            <w:sz w:val="13"/>
                            <w:szCs w:val="13"/>
                            <w:lang w:val="en-GB"/>
                          </w:rPr>
                        </w:pPr>
                        <w:r>
                          <w:rPr>
                            <w:rFonts w:ascii="Times New Roman" w:eastAsia="Times New Roman" w:hAnsi="Times New Roman" w:cs="Times New Roman"/>
                            <w:b/>
                            <w:bCs/>
                            <w:color w:val="000000" w:themeColor="text1"/>
                            <w:kern w:val="24"/>
                            <w:sz w:val="13"/>
                            <w:szCs w:val="13"/>
                            <w:lang w:val="en-GB"/>
                          </w:rPr>
                          <w:t>Fin</w:t>
                        </w:r>
                      </w:p>
                    </w:txbxContent>
                  </v:textbox>
                </v:shape>
                <v:shape id="Flussdiagramm: Prozess 26" o:spid="_x0000_s1063" type="#_x0000_t109" style="position:absolute;left:17661;top:23510;width:17108;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" filled="f" strokecolor="#33434c">
                  <v:textbox inset="0,1mm,0,1mm">
                    <w:txbxContent>
                      <w:p w14:paraId="55C36C6F"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MS Mincho" w:hAnsi="Times New Roman" w:cs="Times New Roman"/>
                            <w:color w:val="000000" w:themeColor="text1"/>
                            <w:spacing w:val="-4"/>
                            <w:kern w:val="24"/>
                            <w:sz w:val="13"/>
                            <w:szCs w:val="13"/>
                            <w:lang w:val="fr-CH"/>
                          </w:rPr>
                          <w:t>6.6.1.2</w:t>
                        </w:r>
                        <w:r w:rsidRPr="008C7597">
                          <w:rPr>
                            <w:rFonts w:ascii="Times New Roman" w:eastAsia="Times New Roman" w:hAnsi="Times New Roman" w:cs="Times New Roman"/>
                            <w:color w:val="000000" w:themeColor="text1"/>
                            <w:spacing w:val="-4"/>
                            <w:kern w:val="24"/>
                            <w:sz w:val="13"/>
                            <w:szCs w:val="13"/>
                            <w:lang w:val="fr-CH"/>
                          </w:rPr>
                          <w:t xml:space="preserve"> </w:t>
                        </w:r>
                        <w:r w:rsidRPr="00B013E9">
                          <w:rPr>
                            <w:rFonts w:ascii="Times New Roman" w:eastAsia="Times New Roman" w:hAnsi="Times New Roman" w:cs="Times New Roman"/>
                            <w:color w:val="000000" w:themeColor="text1"/>
                            <w:spacing w:val="-4"/>
                            <w:kern w:val="24"/>
                            <w:sz w:val="13"/>
                            <w:szCs w:val="13"/>
                            <w:lang w:val="fr-CH"/>
                          </w:rPr>
                          <w:t>Vidange puis remplissage du réservoir à 15 %</w:t>
                        </w:r>
                      </w:p>
                    </w:txbxContent>
                  </v:textbox>
                </v:shape>
                <v:shape id="Flussdiagramm: Prozess 28" o:spid="_x0000_s1064" type="#_x0000_t109" style="position:absolute;left:-354;top:29478;width:17568;height:1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" filled="f" strokecolor="#33434c">
                  <v:textbox inset="0,1mm,0,0">
                    <w:txbxContent>
                      <w:p w14:paraId="08D5587B" w14:textId="77777777" w:rsidR="007F6101" w:rsidRPr="006445A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6.5.</w:t>
                        </w:r>
                        <w:r w:rsidRPr="006445A7">
                          <w:rPr>
                            <w:rFonts w:ascii="Times New Roman" w:eastAsia="MS Mincho" w:hAnsi="Times New Roman" w:cs="Times New Roman"/>
                            <w:color w:val="000000" w:themeColor="text1"/>
                            <w:kern w:val="24"/>
                            <w:sz w:val="13"/>
                            <w:szCs w:val="13"/>
                            <w:lang w:val="fr-CH"/>
                          </w:rPr>
                          <w:t>5</w:t>
                        </w:r>
                        <w:r w:rsidRPr="006445A7">
                          <w:rPr>
                            <w:rFonts w:ascii="Times New Roman" w:eastAsia="Times New Roman" w:hAnsi="Times New Roman" w:cs="Times New Roman"/>
                            <w:color w:val="000000" w:themeColor="text1"/>
                            <w:kern w:val="24"/>
                            <w:sz w:val="13"/>
                            <w:szCs w:val="13"/>
                            <w:lang w:val="fr-CH"/>
                          </w:rPr>
                          <w:t xml:space="preserve"> Stabilisation pendant 12 à 36 h à 23 °C</w:t>
                        </w:r>
                      </w:p>
                    </w:txbxContent>
                  </v:textbox>
                </v:shape>
                <v:shape id="Flussdiagramm: Prozess 32" o:spid="_x0000_s1065"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" filled="f" strokecolor="#33434c">
                  <v:textbox inset="1mm,0,1mm,0">
                    <w:txbxContent>
                      <w:p w14:paraId="2FF39108"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1.5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 xml:space="preserve">Charge du </w:t>
                        </w:r>
                        <w:r w:rsidRPr="00D33D8F">
                          <w:rPr>
                            <w:rFonts w:ascii="Times New Roman" w:eastAsia="Times New Roman" w:hAnsi="Times New Roman" w:cs="Times New Roman"/>
                            <w:color w:val="000000" w:themeColor="text1"/>
                            <w:kern w:val="24"/>
                            <w:sz w:val="13"/>
                            <w:szCs w:val="13"/>
                            <w:lang w:val="fr-CH"/>
                          </w:rPr>
                          <w:t xml:space="preserve">canister vieilli </w:t>
                        </w:r>
                        <w:r>
                          <w:rPr>
                            <w:rFonts w:ascii="Times New Roman" w:eastAsia="Times New Roman" w:hAnsi="Times New Roman" w:cs="Times New Roman"/>
                            <w:color w:val="000000" w:themeColor="text1"/>
                            <w:kern w:val="24"/>
                            <w:sz w:val="13"/>
                            <w:szCs w:val="13"/>
                            <w:lang w:val="fr-CH"/>
                          </w:rPr>
                          <w:br/>
                        </w:r>
                        <w:r w:rsidRPr="00D33D8F">
                          <w:rPr>
                            <w:rFonts w:ascii="Times New Roman" w:eastAsia="Times New Roman" w:hAnsi="Times New Roman" w:cs="Times New Roman"/>
                            <w:color w:val="000000" w:themeColor="text1"/>
                            <w:kern w:val="24"/>
                            <w:sz w:val="13"/>
                            <w:szCs w:val="13"/>
                            <w:lang w:val="fr-CH"/>
                          </w:rPr>
                          <w:t>jusqu’à une percée de 2 g</w:t>
                        </w:r>
                      </w:p>
                    </w:txbxContent>
                  </v:textbox>
                </v:shape>
                <v:shape id="Flussdiagramm: Prozess 33" o:spid="_x0000_s1066"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" filled="f" strokecolor="#33434c">
                  <v:textbox inset="1mm,0,1mm,0">
                    <w:txbxContent>
                      <w:p w14:paraId="2919CB4E"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 xml:space="preserve">Purge du </w:t>
                        </w:r>
                        <w:r w:rsidRPr="00D33D8F">
                          <w:rPr>
                            <w:rFonts w:ascii="Times New Roman" w:eastAsia="Times New Roman" w:hAnsi="Times New Roman" w:cs="Times New Roman"/>
                            <w:color w:val="000000" w:themeColor="text1"/>
                            <w:kern w:val="24"/>
                            <w:sz w:val="13"/>
                            <w:szCs w:val="13"/>
                            <w:lang w:val="fr-CH"/>
                          </w:rPr>
                          <w:t>canister équivalant à 85 % de la consommation de carburant</w:t>
                        </w:r>
                      </w:p>
                    </w:txbxContent>
                  </v:textbox>
                </v:shape>
                <v:shape id="Flussdiagramm: Prozess 34" o:spid="_x0000_s1067" type="#_x0000_t109" style="position:absolute;left:18057;top:40334;width:16791;height:5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" filled="f" strokecolor="#33434c">
                  <v:textbox inset="1mm,1mm,1mm,1mm">
                    <w:txbxContent>
                      <w:p w14:paraId="5C2BD9EF"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MS Mincho" w:hAnsi="Times New Roman" w:cs="Times New Roman"/>
                            <w:color w:val="000000" w:themeColor="text1"/>
                            <w:kern w:val="24"/>
                            <w:sz w:val="13"/>
                            <w:szCs w:val="13"/>
                            <w:lang w:val="fr-CH"/>
                          </w:rPr>
                          <w:t xml:space="preserve">Préparation du </w:t>
                        </w:r>
                        <w:r w:rsidRPr="00D33D8F">
                          <w:rPr>
                            <w:rFonts w:ascii="Times New Roman" w:eastAsia="MS Mincho" w:hAnsi="Times New Roman" w:cs="Times New Roman"/>
                            <w:color w:val="000000" w:themeColor="text1"/>
                            <w:kern w:val="24"/>
                            <w:sz w:val="13"/>
                            <w:szCs w:val="13"/>
                            <w:lang w:val="fr-CH"/>
                          </w:rPr>
                          <w:t xml:space="preserve">canister pour charge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 xml:space="preserve">par pertes liées à la dépressurisation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(cycle de température de 11 h)</w:t>
                        </w:r>
                      </w:p>
                    </w:txbxContent>
                  </v:textbox>
                </v:shape>
                <v:shape id="Flussdiagramm: Prozess 35" o:spid="_x0000_s1068" type="#_x0000_t109" style="position:absolute;left:17621;top:51909;width:9523;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0BwgAAANsAAAAPAAAAZHJzL2Rvd25yZXYueG1sRI9Pi8Iw&#10;FMTvC/sdwlvwtqZ1Qa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CC5v0BwgAAANsAAAAPAAAA&#10;AAAAAAAAAAAAAAcCAABkcnMvZG93bnJldi54bWxQSwUGAAAAAAMAAwC3AAAA9gIAAAAA&#10;" filled="f" strokecolor="#33434c">
                  <v:textbox inset="1mm,1mm,1mm,1mm">
                    <w:txbxContent>
                      <w:p w14:paraId="5A19E9C6" w14:textId="77777777" w:rsidR="007F6101" w:rsidRPr="008C7597" w:rsidRDefault="007F6101" w:rsidP="00312EE0">
                        <w:pPr>
                          <w:pStyle w:val="NormalWeb"/>
                          <w:spacing w:before="0" w:beforeAutospacing="0" w:after="0" w:afterAutospacing="0" w:line="140" w:lineRule="exact"/>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par pertes liées à la dépressurisation</w:t>
                        </w:r>
                      </w:p>
                    </w:txbxContent>
                  </v:textbox>
                </v:shape>
                <v:shape id="Flussdiagramm: Prozess 36" o:spid="_x0000_s1069" type="#_x0000_t109" style="position:absolute;left:27610;top:47183;width:6449;height:770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" filled="f" strokecolor="#33434c">
                  <v:textbox inset="1mm,1mm,1mm,1mm">
                    <w:txbxContent>
                      <w:p w14:paraId="0069D139"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Mesure du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trop-plein de pertes liées à la dépressurisation</w:t>
                        </w:r>
                      </w:p>
                    </w:txbxContent>
                  </v:textbox>
                </v:shape>
                <v:shape id="Flussdiagramm: Prozess 37" o:spid="_x0000_s1070" type="#_x0000_t109" style="position:absolute;left:17619;top:56293;width:23986;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" filled="f" strokecolor="#33434c" strokeweight="1pt">
                  <v:textbox inset="1mm,1mm,1mm,1mm">
                    <w:txbxContent>
                      <w:p w14:paraId="7C446604"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A21565">
                          <w:rPr>
                            <w:rFonts w:ascii="Times New Roman" w:eastAsia="Times New Roman" w:hAnsi="Times New Roman" w:cs="Times New Roman"/>
                            <w:b/>
                            <w:bCs/>
                            <w:color w:val="000000" w:themeColor="text1"/>
                            <w:kern w:val="24"/>
                            <w:sz w:val="13"/>
                            <w:szCs w:val="13"/>
                            <w:lang w:val="fr-CH"/>
                          </w:rPr>
                          <w:t>Fin de l’essai indépendant de pertes liées à la dépressurisation</w:t>
                        </w:r>
                      </w:p>
                    </w:txbxContent>
                  </v:textbox>
                </v:shape>
                <v:shape id="Flussdiagramm: Prozess 38" o:spid="_x0000_s1071" type="#_x0000_t109" style="position:absolute;left:17639;top:59017;width:1694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" filled="f" strokecolor="#33434c">
                  <v:textbox inset="0,1mm,0,1mm">
                    <w:txbxContent>
                      <w:p w14:paraId="20A054D4" w14:textId="77777777" w:rsidR="007F6101" w:rsidRPr="008C7597" w:rsidRDefault="007F6101" w:rsidP="00312EE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6.</w:t>
                        </w:r>
                        <w:r w:rsidRPr="008C7597">
                          <w:rPr>
                            <w:rFonts w:ascii="Times New Roman" w:eastAsia="MS Mincho" w:hAnsi="Times New Roman" w:cs="Times New Roman"/>
                            <w:color w:val="000000" w:themeColor="text1"/>
                            <w:spacing w:val="-4"/>
                            <w:kern w:val="24"/>
                            <w:sz w:val="13"/>
                            <w:szCs w:val="13"/>
                            <w:lang w:val="fr-CH"/>
                          </w:rPr>
                          <w:t>6.1.9</w:t>
                        </w:r>
                        <w:r w:rsidRPr="008C7597">
                          <w:rPr>
                            <w:rFonts w:ascii="Times New Roman" w:eastAsia="Times New Roman" w:hAnsi="Times New Roman" w:cs="Times New Roman"/>
                            <w:color w:val="000000" w:themeColor="text1"/>
                            <w:spacing w:val="-4"/>
                            <w:kern w:val="24"/>
                            <w:sz w:val="13"/>
                            <w:szCs w:val="13"/>
                            <w:lang w:val="fr-CH"/>
                          </w:rPr>
                          <w:t xml:space="preserve"> </w:t>
                        </w:r>
                        <w:r w:rsidRPr="00A21565">
                          <w:rPr>
                            <w:rFonts w:ascii="Times New Roman" w:eastAsia="Times New Roman" w:hAnsi="Times New Roman" w:cs="Times New Roman"/>
                            <w:color w:val="000000" w:themeColor="text1"/>
                            <w:spacing w:val="-4"/>
                            <w:kern w:val="24"/>
                            <w:sz w:val="13"/>
                            <w:szCs w:val="13"/>
                            <w:lang w:val="fr-CH"/>
                          </w:rPr>
                          <w:t>Stabilisation pendant 6 à 36 h à 23 °C</w:t>
                        </w:r>
                      </w:p>
                    </w:txbxContent>
                  </v:textbox>
                </v:shape>
                <v:shape id="Flussdiagramm: Prozess 40" o:spid="_x0000_s1072"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" filled="f" strokecolor="#33434c">
                  <v:textbox inset="1mm,1mm,1mm,1mm">
                    <w:txbxContent>
                      <w:p w14:paraId="4066EC9F"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du SRSEE du VHE-RE</w:t>
                        </w:r>
                      </w:p>
                    </w:txbxContent>
                  </v:textbox>
                </v:shape>
                <v:shape id="Flussdiagramm: Prozess 42" o:spid="_x0000_s1073"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" filled="f" strokecolor="#33434c">
                  <v:textbox inset="1mm,1mm,1mm,1mm">
                    <w:txbxContent>
                      <w:p w14:paraId="08DFB9C1"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6.1.10</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 xml:space="preserve">Vidange puis remplissage </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du réservoir à 40 %</w:t>
                        </w:r>
                      </w:p>
                    </w:txbxContent>
                  </v:textbox>
                </v:shape>
                <v:shape id="Flussdiagramm: Prozess 43" o:spid="_x0000_s1074"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" filled="f" strokecolor="#33434c">
                  <v:textbox inset="1mm,1mm,1mm,1mm">
                    <w:txbxContent>
                      <w:p w14:paraId="4E8CF3E2"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à 36 h à 20 °C</w:t>
                        </w:r>
                      </w:p>
                    </w:txbxContent>
                  </v:textbox>
                </v:shape>
                <v:shape id="Flussdiagramm: Prozess 44" o:spid="_x0000_s1075"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" filled="f" strokecolor="#33434c">
                  <v:textbox inset="1mm,1mm,1mm,1mm">
                    <w:txbxContent>
                      <w:p w14:paraId="758A3C85"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12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Dépressurisation du réservoir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 xml:space="preserve">avec le </w:t>
                        </w:r>
                        <w:r w:rsidRPr="00A21565">
                          <w:rPr>
                            <w:rFonts w:ascii="Times New Roman" w:eastAsia="MS Mincho" w:hAnsi="Times New Roman" w:cs="Times New Roman"/>
                            <w:color w:val="000000" w:themeColor="text1"/>
                            <w:kern w:val="24"/>
                            <w:sz w:val="13"/>
                            <w:szCs w:val="13"/>
                            <w:lang w:val="fr-CH"/>
                          </w:rPr>
                          <w:t>canister déconnecté</w:t>
                        </w:r>
                      </w:p>
                    </w:txbxContent>
                  </v:textbox>
                </v:shape>
                <v:shape id="Flussdiagramm: Prozess 45" o:spid="_x0000_s1076" type="#_x0000_t109" style="position:absolute;left:35186;top:5514;width:17312;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" filled="f" strokecolor="#33434c">
                  <v:textbox inset="1mm,1mm,1mm,1mm">
                    <w:txbxContent>
                      <w:p w14:paraId="72355508" w14:textId="77777777" w:rsidR="007F6101" w:rsidRPr="008C7597" w:rsidRDefault="007F6101" w:rsidP="00312EE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6.5.1 </w:t>
                        </w:r>
                        <w:r w:rsidRPr="00E1347C">
                          <w:rPr>
                            <w:rFonts w:ascii="Times New Roman" w:eastAsia="Times New Roman" w:hAnsi="Times New Roman" w:cs="Times New Roman"/>
                            <w:color w:val="000000" w:themeColor="text1"/>
                            <w:spacing w:val="-4"/>
                            <w:kern w:val="24"/>
                            <w:sz w:val="13"/>
                            <w:szCs w:val="13"/>
                            <w:lang w:val="fr-CH"/>
                          </w:rPr>
                          <w:t>Vidange puis remplissage du réservoir à 40 %</w:t>
                        </w:r>
                      </w:p>
                    </w:txbxContent>
                  </v:textbox>
                </v:shape>
                <v:shape id="Flussdiagramm: Prozess 46" o:spid="_x0000_s1077" type="#_x0000_t109" style="position:absolute;left:35227;top:10953;width:17354;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" filled="f" strokecolor="#33434c">
                  <v:textbox inset="0,1mm,0,1mm">
                    <w:txbxContent>
                      <w:p w14:paraId="01FEE167"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6.5.2 </w:t>
                        </w:r>
                        <w:r w:rsidRPr="001E2DA7">
                          <w:rPr>
                            <w:rFonts w:ascii="Times New Roman" w:eastAsia="Times New Roman" w:hAnsi="Times New Roman" w:cs="Times New Roman"/>
                            <w:color w:val="000000" w:themeColor="text1"/>
                            <w:spacing w:val="-4"/>
                            <w:kern w:val="24"/>
                            <w:sz w:val="13"/>
                            <w:szCs w:val="13"/>
                            <w:lang w:val="fr-CH"/>
                          </w:rPr>
                          <w:t>Stabilisation pendant 6 à 36 h à 23 °C</w:t>
                        </w:r>
                      </w:p>
                      <w:p w14:paraId="2A19DB07"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z w:val="13"/>
                            <w:szCs w:val="13"/>
                            <w:lang w:val="fr-CH"/>
                          </w:rPr>
                        </w:pPr>
                      </w:p>
                    </w:txbxContent>
                  </v:textbox>
                </v:shape>
                <v:shape id="Flussdiagramm: Prozess 47" o:spid="_x0000_s1078"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" filled="f" strokecolor="#33434c">
                  <v:textbox inset="1mm,1mm,1mm,1mm">
                    <w:txbxContent>
                      <w:p w14:paraId="06DDD014" w14:textId="77777777" w:rsidR="007F6101" w:rsidRPr="004D1059" w:rsidRDefault="007F6101" w:rsidP="00312EE0">
                        <w:pPr>
                          <w:pStyle w:val="NormalWeb"/>
                          <w:spacing w:before="0" w:beforeAutospacing="0" w:after="0" w:afterAutospacing="0"/>
                          <w:jc w:val="center"/>
                          <w:rPr>
                            <w:rFonts w:ascii="Times New Roman" w:hAnsi="Times New Roman" w:cs="Times New Roman"/>
                            <w:noProof/>
                            <w:sz w:val="13"/>
                            <w:szCs w:val="13"/>
                            <w:lang w:val="en-GB"/>
                          </w:rPr>
                        </w:pPr>
                        <w:r w:rsidRPr="004D1059">
                          <w:rPr>
                            <w:rFonts w:ascii="Times New Roman" w:eastAsia="Times New Roman" w:hAnsi="Times New Roman" w:cs="Times New Roman"/>
                            <w:color w:val="000000" w:themeColor="text1"/>
                            <w:kern w:val="24"/>
                            <w:sz w:val="13"/>
                            <w:szCs w:val="13"/>
                            <w:lang w:val="en-GB"/>
                          </w:rPr>
                          <w:t xml:space="preserve">6.5.3 </w:t>
                        </w:r>
                        <w:r w:rsidRPr="001E2DA7">
                          <w:rPr>
                            <w:rFonts w:ascii="Times New Roman" w:eastAsia="Times New Roman" w:hAnsi="Times New Roman" w:cs="Times New Roman"/>
                            <w:color w:val="000000" w:themeColor="text1"/>
                            <w:kern w:val="24"/>
                            <w:sz w:val="13"/>
                            <w:szCs w:val="13"/>
                            <w:lang w:val="en-GB"/>
                          </w:rPr>
                          <w:t>Parcours de préconditionnement</w:t>
                        </w:r>
                      </w:p>
                    </w:txbxContent>
                  </v:textbox>
                </v:shape>
                <v:shape id="Flussdiagramm: Prozess 49" o:spid="_x0000_s1079" type="#_x0000_t109" style="position:absolute;left:35416;top:20865;width:17534;height:27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" filled="f" strokecolor="#33434c">
                  <v:textbox inset="0,1mm,0,0">
                    <w:txbxContent>
                      <w:p w14:paraId="1874C20E"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Stabilisation pendant 6 à 36 h à 23 °C</w:t>
                        </w:r>
                      </w:p>
                    </w:txbxContent>
                  </v:textbox>
                </v:shape>
                <v:shape id="Flussdiagramm: Prozess 51" o:spid="_x0000_s1080"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" filled="f" strokecolor="#33434c">
                  <v:textbox inset="1mm,1mm,1mm,1mm">
                    <w:txbxContent>
                      <w:p w14:paraId="48D5DB48"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 xml:space="preserve">du SRSEE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du VHE-RE</w:t>
                        </w:r>
                      </w:p>
                    </w:txbxContent>
                  </v:textbox>
                </v:shape>
                <v:shape id="Flussdiagramm: Prozess 52" o:spid="_x0000_s1081"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" filled="f" strokecolor="#33434c">
                  <v:textbox inset="1mm,0,1mm,0">
                    <w:txbxContent>
                      <w:p w14:paraId="6F47F323"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 xml:space="preserve">du </w:t>
                        </w:r>
                        <w:r w:rsidRPr="00B013E9">
                          <w:rPr>
                            <w:rFonts w:ascii="Times New Roman" w:eastAsia="Times New Roman" w:hAnsi="Times New Roman" w:cs="Times New Roman"/>
                            <w:color w:val="000000" w:themeColor="text1"/>
                            <w:kern w:val="24"/>
                            <w:sz w:val="13"/>
                            <w:szCs w:val="13"/>
                            <w:lang w:val="fr-CH"/>
                          </w:rPr>
                          <w:t>canister vieilli jusqu’à une percée de 2 g</w:t>
                        </w:r>
                      </w:p>
                    </w:txbxContent>
                  </v:textbox>
                </v:shape>
                <v:shape id="Flussdiagramm: Prozess 53" o:spid="_x0000_s1082"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" filled="f" strokecolor="#33434c">
                  <v:textbox inset="1mm,1mm,1mm,1mm">
                    <w:txbxContent>
                      <w:p w14:paraId="717BF398"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Purge du </w:t>
                        </w:r>
                        <w:r w:rsidRPr="00B013E9">
                          <w:rPr>
                            <w:rFonts w:ascii="Times New Roman" w:eastAsia="Times New Roman" w:hAnsi="Times New Roman" w:cs="Times New Roman"/>
                            <w:color w:val="000000" w:themeColor="text1"/>
                            <w:kern w:val="24"/>
                            <w:sz w:val="13"/>
                            <w:szCs w:val="13"/>
                            <w:lang w:val="fr-CH"/>
                          </w:rPr>
                          <w:t xml:space="preserve">canister équivalant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 xml:space="preserve">à 85 % de la consommation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de carburant</w:t>
                        </w:r>
                      </w:p>
                    </w:txbxContent>
                  </v:textbox>
                </v:shape>
                <v:shape id="Flussdiagramm: Prozess 54" o:spid="_x0000_s1083"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" filled="f" strokecolor="#33434c">
                  <v:textbox inset="1mm,1mm,1mm,1mm">
                    <w:txbxContent>
                      <w:p w14:paraId="2FA43F77"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 xml:space="preserve">6.7.2.1.3 </w:t>
                        </w:r>
                        <w:r w:rsidRPr="00B013E9">
                          <w:rPr>
                            <w:rFonts w:ascii="Times New Roman" w:eastAsia="Times New Roman" w:hAnsi="Times New Roman" w:cs="Times New Roman"/>
                            <w:color w:val="000000" w:themeColor="text1"/>
                            <w:kern w:val="24"/>
                            <w:sz w:val="13"/>
                            <w:szCs w:val="13"/>
                            <w:lang w:val="fr-CH"/>
                          </w:rPr>
                          <w:t xml:space="preserve">Charge du </w:t>
                        </w:r>
                        <w:r w:rsidRPr="00B013E9">
                          <w:rPr>
                            <w:rFonts w:ascii="Times New Roman" w:eastAsia="Times New Roman" w:hAnsi="Times New Roman" w:cs="Times New Roman"/>
                            <w:color w:val="000000" w:themeColor="text1"/>
                            <w:kern w:val="24"/>
                            <w:sz w:val="13"/>
                            <w:szCs w:val="13"/>
                            <w:lang w:val="fr-CH"/>
                          </w:rPr>
                          <w:t>canister avec masse simulée des pertes liées à la dépressurisation</w:t>
                        </w:r>
                      </w:p>
                    </w:txbxContent>
                  </v:textbox>
                </v:shape>
                <v:shapetype id="_x0000_t33" coordsize="21600,21600" o:spt="33" o:oned="t" path="m,l21600,r,21600e" filled="f">
                  <v:stroke joinstyle="miter"/>
                  <v:path arrowok="t" fillok="f" o:connecttype="none"/>
                  <o:lock v:ext="edit" shapetype="t"/>
                </v:shapetype>
                <v:shape id="Gewinkelte Verbindung 60" o:spid="_x0000_s1084"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5"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" strokecolor="#33434c" strokeweight=".5pt">
                  <v:stroke endarrow="block" endarrowlength="short"/>
                </v:shape>
                <v:shape id="Gewinkelte Verbindung 65" o:spid="_x0000_s1086"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" strokecolor="#33434c" strokeweight=".5pt">
                  <v:stroke endarrow="block" endarrowlength="short"/>
                </v:shape>
                <v:shape id="Gewinkelte Verbindung 66" o:spid="_x0000_s1087"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" adj="11467" strokecolor="#33434c" strokeweight=".5pt">
                  <v:stroke endarrow="block" endarrowlength="short"/>
                </v:shape>
                <v:shape id="Gewinkelte Verbindung 67" o:spid="_x0000_s1088"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" adj="11465" strokecolor="#33434c" strokeweight=".5pt">
                  <v:stroke endarrow="block" endarrowlength="short"/>
                </v:shape>
                <v:shape id="Gewinkelte Verbindung 75" o:spid="_x0000_s1089" type="#_x0000_t34" style="position:absolute;left:24275;top:44677;width:1273;height:39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" strokecolor="#33434c" strokeweight=".5pt">
                  <v:stroke endarrow="block" endarrowlength="short"/>
                </v:shape>
                <v:shape id="Gewinkelte Verbindung 76" o:spid="_x0000_s1090" type="#_x0000_t34" style="position:absolute;left:2816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" strokecolor="#33434c" strokeweight=".5pt">
                  <v:stroke endarrow="block" endarrowlength="short"/>
                </v:shape>
                <v:shape id="Gewinkelte Verbindung 77" o:spid="_x0000_s1091"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" strokecolor="#33434c" strokeweight=".5pt">
                  <v:stroke endarrow="block" endarrowlength="short"/>
                </v:shape>
                <v:shape id="Gewinkelte Verbindung 78" o:spid="_x0000_s1092"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3"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" adj="-580,,23492" strokecolor="#33434c" strokeweight=".5pt">
                  <v:stroke endarrow="block" endarrowlength="short"/>
                </v:shape>
                <v:shape id="Gewinkelte Verbindung 89" o:spid="_x0000_s1094"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" strokecolor="#33434c" strokeweight=".5pt">
                  <v:stroke endarrow="block" endarrowlength="short"/>
                </v:shape>
                <v:shape id="Gewinkelte Verbindung 90" o:spid="_x0000_s1095"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" strokecolor="#33434c" strokeweight=".5pt">
                  <v:stroke endarrow="block" endarrowlength="short"/>
                </v:shape>
                <v:shape id="Gewinkelte Verbindung 93" o:spid="_x0000_s1096"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" adj="19018" strokecolor="#33434c" strokeweight=".5pt">
                  <v:stroke endarrow="block" endarrowlength="short"/>
                </v:shape>
                <v:shape id="Gewinkelte Verbindung 94" o:spid="_x0000_s1097"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" strokecolor="#33434c" strokeweight=".5pt">
                  <v:stroke endarrowlength="short"/>
                </v:shape>
                <v:shape id="Gewinkelte Verbindung 95" o:spid="_x0000_s1098"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" adj="21585" strokecolor="#33434c" strokeweight=".5pt">
                  <v:stroke endarrow="block" endarrowlength="short"/>
                </v:shape>
                <v:shape id="Flussdiagramm: Prozess 29" o:spid="_x0000_s1099" type="#_x0000_t109" style="position:absolute;left:-603;top:24438;width:17782;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V1wgAAANsAAAAPAAAAZHJzL2Rvd25yZXYueG1sRI9Li8JA&#10;EITvwv6HoRf2ppO4IB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AND2V1wgAAANsAAAAPAAAA&#10;AAAAAAAAAAAAAAcCAABkcnMvZG93bnJldi54bWxQSwUGAAAAAAMAAwC3AAAA9gIAAAAA&#10;" filled="f" strokecolor="#33434c">
                  <v:textbox inset="1mm,1mm,1mm,1mm">
                    <w:txbxContent>
                      <w:p w14:paraId="2AD35A50" w14:textId="77777777" w:rsidR="007F6101" w:rsidRPr="00080CD2" w:rsidRDefault="007F6101" w:rsidP="00312EE0">
                        <w:pPr>
                          <w:pStyle w:val="NormalWeb"/>
                          <w:spacing w:before="0" w:beforeAutospacing="0" w:after="0" w:afterAutospacing="0"/>
                          <w:ind w:left="-113" w:right="-113"/>
                          <w:jc w:val="center"/>
                          <w:rPr>
                            <w:rFonts w:ascii="Times New Roman" w:eastAsia="Times New Roman" w:hAnsi="Times New Roman" w:cs="Times New Roman"/>
                            <w:color w:val="000000" w:themeColor="text1"/>
                            <w:kern w:val="24"/>
                            <w:sz w:val="13"/>
                            <w:szCs w:val="13"/>
                            <w:lang w:val="fr-CH"/>
                          </w:rPr>
                        </w:pPr>
                        <w:r w:rsidRPr="00080CD2">
                          <w:rPr>
                            <w:rFonts w:ascii="Times New Roman" w:eastAsia="Times New Roman" w:hAnsi="Times New Roman" w:cs="Times New Roman"/>
                            <w:color w:val="000000" w:themeColor="text1"/>
                            <w:kern w:val="24"/>
                            <w:sz w:val="13"/>
                            <w:szCs w:val="13"/>
                            <w:lang w:val="fr-CH"/>
                          </w:rPr>
                          <w:t>6.5.</w:t>
                        </w:r>
                        <w:r w:rsidRPr="00080CD2">
                          <w:rPr>
                            <w:rFonts w:ascii="Times New Roman" w:eastAsia="MS Mincho" w:hAnsi="Times New Roman" w:cs="Times New Roman"/>
                            <w:color w:val="000000" w:themeColor="text1"/>
                            <w:kern w:val="24"/>
                            <w:sz w:val="13"/>
                            <w:szCs w:val="13"/>
                            <w:lang w:val="fr-CH"/>
                          </w:rPr>
                          <w:t>4</w:t>
                        </w:r>
                        <w:r w:rsidRPr="00080CD2">
                          <w:rPr>
                            <w:rFonts w:ascii="Times New Roman" w:eastAsia="Times New Roman" w:hAnsi="Times New Roman" w:cs="Times New Roman"/>
                            <w:color w:val="000000" w:themeColor="text1"/>
                            <w:kern w:val="24"/>
                            <w:sz w:val="13"/>
                            <w:szCs w:val="13"/>
                            <w:lang w:val="fr-CH"/>
                          </w:rPr>
                          <w:t xml:space="preserve"> Vidange puis remplissage du réservoir à 40 %</w:t>
                        </w:r>
                      </w:p>
                      <w:p w14:paraId="093C7A4B" w14:textId="77777777" w:rsidR="007F6101" w:rsidRPr="00080CD2" w:rsidRDefault="007F6101" w:rsidP="00312EE0">
                        <w:pPr>
                          <w:pStyle w:val="NormalWeb"/>
                          <w:spacing w:before="0" w:beforeAutospacing="0" w:after="0" w:afterAutospacing="0"/>
                          <w:ind w:left="-113" w:right="-113"/>
                          <w:jc w:val="center"/>
                          <w:rPr>
                            <w:rFonts w:ascii="Times New Roman" w:hAnsi="Times New Roman" w:cs="Times New Roman"/>
                            <w:sz w:val="13"/>
                            <w:szCs w:val="13"/>
                            <w:lang w:val="fr-CH"/>
                          </w:rPr>
                        </w:pPr>
                      </w:p>
                    </w:txbxContent>
                  </v:textbox>
                </v:shape>
                <v:shape id="Flussdiagramm: Prozess 13" o:spid="_x0000_s1100"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" filled="f" strokecolor="black [3213]">
                  <v:textbox inset="1mm,1mm,1mm,1mm">
                    <w:txbxContent>
                      <w:p w14:paraId="6F24EC90" w14:textId="77777777" w:rsidR="007F6101" w:rsidRPr="001252EC"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1252EC">
                          <w:rPr>
                            <w:rFonts w:ascii="Times New Roman" w:eastAsia="Times New Roman" w:hAnsi="Times New Roman" w:cs="Times New Roman"/>
                            <w:kern w:val="24"/>
                            <w:sz w:val="13"/>
                            <w:szCs w:val="13"/>
                            <w:lang w:val="fr-CH"/>
                          </w:rPr>
                          <w:t>Début de la vidange et du remplissage dans l’heure</w:t>
                        </w:r>
                        <w:r>
                          <w:rPr>
                            <w:rFonts w:ascii="Times New Roman" w:eastAsia="Times New Roman" w:hAnsi="Times New Roman" w:cs="Times New Roman"/>
                            <w:kern w:val="24"/>
                            <w:sz w:val="13"/>
                            <w:szCs w:val="13"/>
                            <w:lang w:val="fr-CH"/>
                          </w:rPr>
                          <w:t xml:space="preserve"> </w:t>
                        </w:r>
                        <w:r w:rsidRPr="001252EC">
                          <w:rPr>
                            <w:rFonts w:ascii="Times New Roman" w:eastAsia="Times New Roman" w:hAnsi="Times New Roman" w:cs="Times New Roman"/>
                            <w:kern w:val="24"/>
                            <w:sz w:val="13"/>
                            <w:szCs w:val="13"/>
                            <w:lang w:val="fr-CH"/>
                          </w:rPr>
                          <w:t>qui suit</w:t>
                        </w:r>
                      </w:p>
                    </w:txbxContent>
                  </v:textbox>
                </v:shape>
                <v:shape id="Flussdiagramm: Prozess 9" o:spid="_x0000_s1101" type="#_x0000_t109" style="position:absolute;left:-230;top:8230;width:1871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" filled="f" strokecolor="black [3213]">
                  <v:textbox inset="1mm,1mm,1mm,1mm">
                    <w:txbxContent>
                      <w:p w14:paraId="31B6B727" w14:textId="77777777" w:rsidR="007F6101" w:rsidRPr="00BA4E7A" w:rsidRDefault="007F6101"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BA4E7A">
                          <w:rPr>
                            <w:rFonts w:ascii="Times New Roman" w:eastAsia="MS Mincho" w:hAnsi="Times New Roman" w:cs="Times New Roman"/>
                            <w:kern w:val="24"/>
                            <w:sz w:val="13"/>
                            <w:szCs w:val="13"/>
                            <w:lang w:val="fr-CH"/>
                          </w:rPr>
                          <w:t>Début de la stabilisation dans les 5 min qui suivent</w:t>
                        </w:r>
                      </w:p>
                      <w:p w14:paraId="499D13D5" w14:textId="77777777" w:rsidR="007F6101" w:rsidRPr="00BA4E7A" w:rsidRDefault="007F6101" w:rsidP="00312EE0">
                        <w:pPr>
                          <w:pStyle w:val="NormalWeb"/>
                          <w:spacing w:before="0" w:beforeAutospacing="0" w:after="0" w:afterAutospacing="0"/>
                          <w:ind w:left="-113" w:right="-113"/>
                          <w:jc w:val="center"/>
                          <w:rPr>
                            <w:rFonts w:ascii="Times New Roman" w:hAnsi="Times New Roman" w:cs="Times New Roman"/>
                            <w:lang w:val="fr-CH"/>
                          </w:rPr>
                        </w:pPr>
                      </w:p>
                    </w:txbxContent>
                  </v:textbox>
                </v:shape>
                <v:shapetype id="_x0000_t32" coordsize="21600,21600" o:spt="32" o:oned="t" path="m,l21600,21600e" filled="f">
                  <v:path arrowok="t" fillok="f" o:connecttype="none"/>
                  <o:lock v:ext="edit" shapetype="t"/>
                </v:shapetype>
                <v:shape id="直線矢印コネクタ 278" o:spid="_x0000_s1102" type="#_x0000_t32" style="position:absolute;left:9171;top:4307;width:15;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" strokecolor="#33434c" strokeweight=".5pt">
                  <v:stroke endarrow="block" endarrowlength="short"/>
                </v:shape>
                <v:shape id="直線矢印コネクタ 279" o:spid="_x0000_s1103" type="#_x0000_t32" style="position:absolute;left:9080;top:7369;width:10;height:8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" strokecolor="#33434c" strokeweight=".5pt">
                  <v:stroke endarrow="block" endarrowlength="short"/>
                </v:shape>
                <v:shape id="直線矢印コネクタ 280" o:spid="_x0000_s1104" type="#_x0000_t32" style="position:absolute;left:8934;top:10062;width:11;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" strokecolor="#33434c" strokeweight=".5pt">
                  <v:stroke endarrow="block" endarrowlength="short"/>
                </v:shape>
                <v:shape id="直線矢印コネクタ 281" o:spid="_x0000_s1105" type="#_x0000_t32" style="position:absolute;left:8916;top:12808;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" strokecolor="#33434c" strokeweight=".5pt">
                  <v:stroke endarrow="block" endarrowlength="short"/>
                </v:shape>
                <v:shape id="直線矢印コネクタ 282" o:spid="_x0000_s1106" type="#_x0000_t32" style="position:absolute;left:8947;top:15529;width:2;height:1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" strokecolor="#33434c" strokeweight=".5pt">
                  <v:stroke endarrow="block" endarrowlength="short"/>
                </v:shape>
                <v:shape id="直線矢印コネクタ 283" o:spid="_x0000_s1107" type="#_x0000_t32" style="position:absolute;left:8883;top:19776;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" strokecolor="#33434c" strokeweight=".5pt">
                  <v:stroke endarrow="block" endarrowlength="short"/>
                </v:shape>
                <v:shape id="直線矢印コネクタ 284" o:spid="_x0000_s1108" type="#_x0000_t32" style="position:absolute;left:8782;top:23875;width:1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" strokecolor="#33434c" strokeweight=".5pt">
                  <v:stroke endarrow="block" endarrowlength="short"/>
                </v:shape>
                <v:shape id="直線矢印コネクタ 285" o:spid="_x0000_s1109" type="#_x0000_t32" style="position:absolute;left:8760;top:26288;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" strokecolor="#33434c" strokeweight=".5pt">
                  <v:stroke endarrow="block" endarrowlength="short"/>
                </v:shape>
                <v:shape id="直線矢印コネクタ 286" o:spid="_x0000_s1110"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" strokecolor="#33434c" strokeweight=".5pt">
                  <v:stroke endarrow="block" endarrowlength="short"/>
                </v:shape>
                <v:shape id="直線矢印コネクタ 287" o:spid="_x0000_s1111"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" strokecolor="#33434c" strokeweight=".5pt">
                  <v:stroke endarrow="block" endarrowlength="short"/>
                </v:shape>
                <v:shape id="直線矢印コネクタ 704" o:spid="_x0000_s1112"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" strokecolor="#33434c" strokeweight=".5pt">
                  <v:stroke endarrow="block" endarrowlength="short"/>
                </v:shape>
                <v:shape id="直線矢印コネクタ 705" o:spid="_x0000_s1113"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" strokecolor="#33434c" strokeweight=".5pt">
                  <v:stroke endarrow="block" endarrowlength="short"/>
                </v:shape>
                <v:shape id="直線矢印コネクタ 706" o:spid="_x0000_s1114"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" strokecolor="#33434c" strokeweight=".5pt">
                  <v:stroke endarrow="block" endarrowlength="short"/>
                </v:shape>
                <v:shape id="直線矢印コネクタ 707" o:spid="_x0000_s1115"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" strokecolor="#33434c" strokeweight=".5pt">
                  <v:stroke endarrow="block" endarrowlength="short"/>
                </v:shape>
                <v:shape id="直線矢印コネクタ 708" o:spid="_x0000_s1116"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" strokecolor="#33434c" strokeweight=".5pt">
                  <v:stroke endarrow="block" endarrowlength="short"/>
                </v:shape>
                <v:shape id="直線矢印コネクタ 709" o:spid="_x0000_s1117"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" strokecolor="#33434c" strokeweight=".5pt">
                  <v:stroke endarrow="block" endarrowlength="short"/>
                </v:shape>
                <v:shape id="直線矢印コネクタ 710" o:spid="_x0000_s1118"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" strokecolor="#33434c" strokeweight=".5pt">
                  <v:stroke endarrow="block" endarrowlength="short"/>
                </v:shape>
                <v:shape id="直線矢印コネクタ 711" o:spid="_x0000_s1119"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" strokecolor="#33434c" strokeweight=".5pt">
                  <v:stroke endarrow="block" endarrowlength="short"/>
                </v:shape>
                <v:shape id="Flussdiagramm: Prozess 13" o:spid="_x0000_s1120"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" filled="f" strokecolor="black [3213]">
                  <v:textbox inset="1mm,1mm,1mm,1mm">
                    <w:txbxContent>
                      <w:p w14:paraId="0E8A622F"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B013E9">
                          <w:rPr>
                            <w:rFonts w:ascii="Times New Roman" w:eastAsia="Times New Roman" w:hAnsi="Times New Roman" w:cs="Times New Roman"/>
                            <w:kern w:val="24"/>
                            <w:sz w:val="13"/>
                            <w:szCs w:val="13"/>
                            <w:lang w:val="fr-CH"/>
                          </w:rPr>
                          <w:t>Début de la vidange et du remplissage dans l’heure qui suit</w:t>
                        </w:r>
                      </w:p>
                    </w:txbxContent>
                  </v:textbox>
                </v:shape>
                <v:shape id="Flussdiagramm: Prozess 13" o:spid="_x0000_s1121" type="#_x0000_t109" style="position:absolute;left:-710;top:26880;width:18031;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" filled="f" strokecolor="black [3213]">
                  <v:textbox inset="1mm,1mm,1mm,1mm">
                    <w:txbxContent>
                      <w:p w14:paraId="14E72F5A" w14:textId="77777777" w:rsidR="007F6101" w:rsidRPr="00080CD2" w:rsidRDefault="007F6101" w:rsidP="00312EE0">
                        <w:pPr>
                          <w:pStyle w:val="NormalWeb"/>
                          <w:spacing w:before="0" w:beforeAutospacing="0" w:after="0" w:afterAutospacing="0"/>
                          <w:ind w:left="-113" w:right="-113"/>
                          <w:jc w:val="center"/>
                          <w:rPr>
                            <w:rFonts w:ascii="Times New Roman" w:hAnsi="Times New Roman" w:cs="Times New Roman"/>
                            <w:spacing w:val="-2"/>
                            <w:sz w:val="13"/>
                            <w:szCs w:val="13"/>
                            <w:lang w:val="fr-CH"/>
                          </w:rPr>
                        </w:pPr>
                        <w:r w:rsidRPr="00080CD2">
                          <w:rPr>
                            <w:rFonts w:ascii="Times New Roman" w:eastAsia="MS Mincho" w:hAnsi="Times New Roman" w:cs="Times New Roman"/>
                            <w:spacing w:val="-2"/>
                            <w:kern w:val="24"/>
                            <w:sz w:val="13"/>
                            <w:szCs w:val="13"/>
                            <w:lang w:val="fr-CH"/>
                          </w:rPr>
                          <w:t>Début de la stabilisation dans les 5 min qui suivent</w:t>
                        </w:r>
                      </w:p>
                      <w:p w14:paraId="0410475F" w14:textId="77777777" w:rsidR="007F6101" w:rsidRPr="00BA4E7A" w:rsidRDefault="007F6101" w:rsidP="00312EE0">
                        <w:pPr>
                          <w:pStyle w:val="NormalWeb"/>
                          <w:spacing w:before="0" w:beforeAutospacing="0" w:after="0" w:afterAutospacing="0"/>
                          <w:ind w:left="-113" w:right="-113"/>
                          <w:jc w:val="center"/>
                          <w:rPr>
                            <w:rFonts w:ascii="Times New Roman" w:hAnsi="Times New Roman" w:cs="Times New Roman"/>
                            <w:lang w:val="fr-CH"/>
                          </w:rPr>
                        </w:pPr>
                      </w:p>
                      <w:p w14:paraId="7F8EB969" w14:textId="77777777" w:rsidR="007F6101" w:rsidRPr="00080CD2" w:rsidRDefault="007F6101" w:rsidP="00312EE0">
                        <w:pPr>
                          <w:pStyle w:val="NormalWeb"/>
                          <w:spacing w:before="0" w:beforeAutospacing="0" w:after="0" w:afterAutospacing="0"/>
                          <w:jc w:val="center"/>
                          <w:rPr>
                            <w:rFonts w:ascii="Times New Roman" w:hAnsi="Times New Roman" w:cs="Times New Roman"/>
                            <w:sz w:val="13"/>
                            <w:szCs w:val="13"/>
                            <w:lang w:val="fr-CH"/>
                          </w:rPr>
                        </w:pPr>
                      </w:p>
                    </w:txbxContent>
                  </v:textbox>
                </v:shape>
                <v:shape id="直線矢印コネクタ 65" o:spid="_x0000_s1122" type="#_x0000_t32" style="position:absolute;left:8741;top:28740;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" strokecolor="#33434c" strokeweight=".5pt">
                  <v:stroke endarrow="block" endarrowlength="short"/>
                </v:shape>
                <v:shape id="Flussdiagramm: Prozess 13" o:spid="_x0000_s1123" type="#_x0000_t109" style="position:absolute;left:17701;top:26003;width:1710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" filled="f" strokecolor="black [3213]">
                  <v:textbox inset="1mm,1mm,1mm,1mm">
                    <w:txbxContent>
                      <w:p w14:paraId="44EE76E4" w14:textId="77777777" w:rsidR="007F6101" w:rsidRPr="008C7597" w:rsidRDefault="007F6101"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B013E9">
                          <w:rPr>
                            <w:rFonts w:ascii="Times New Roman" w:eastAsia="MS Mincho" w:hAnsi="Times New Roman" w:cs="Times New Roman"/>
                            <w:spacing w:val="-4"/>
                            <w:kern w:val="24"/>
                            <w:sz w:val="13"/>
                            <w:szCs w:val="13"/>
                            <w:lang w:val="fr-CH"/>
                          </w:rPr>
                          <w:t>Début de la stabilisation dans les 5 min qui suivent</w:t>
                        </w:r>
                      </w:p>
                    </w:txbxContent>
                  </v:textbox>
                </v:shape>
                <v:shape id="直線矢印コネクタ 67" o:spid="_x0000_s1124"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" strokecolor="#33434c" strokeweight=".5pt">
                  <v:stroke endarrow="block" endarrowlength="short"/>
                </v:shape>
                <v:shape id="直線矢印コネクタ 68" o:spid="_x0000_s1125"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" strokecolor="#33434c" strokeweight=".5pt">
                  <v:stroke endarrow="block" endarrowlength="short"/>
                </v:shape>
                <v:shape id="直線矢印コネクタ 69" o:spid="_x0000_s1126"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" strokecolor="#33434c" strokeweight=".5pt">
                  <v:stroke endarrow="block" endarrowlength="short"/>
                </v:shape>
                <v:shape id="直線矢印コネクタ 70" o:spid="_x0000_s1127"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" strokecolor="#33434c" strokeweight=".5pt">
                  <v:stroke endarrow="block" endarrowlength="short"/>
                </v:shape>
                <v:shape id="Flussdiagramm: Prozess 13" o:spid="_x0000_s1128" type="#_x0000_t109" style="position:absolute;left:17701;top:47263;width:9443;height:396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" filled="f" strokecolor="black [3213]">
                  <v:textbox inset="1mm,0,1mm,0">
                    <w:txbxContent>
                      <w:p w14:paraId="2A4B8164" w14:textId="77777777" w:rsidR="007F6101" w:rsidRPr="008C7597"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D33D8F">
                          <w:rPr>
                            <w:rFonts w:ascii="Times New Roman" w:eastAsia="MS Mincho" w:hAnsi="Times New Roman" w:cs="Times New Roman"/>
                            <w:kern w:val="24"/>
                            <w:sz w:val="13"/>
                            <w:szCs w:val="13"/>
                            <w:lang w:val="fr-CH"/>
                          </w:rPr>
                          <w:t>Début de la charge par pertes liées à la dépressurisation dans les 15 min qui suivent</w:t>
                        </w:r>
                      </w:p>
                    </w:txbxContent>
                  </v:textbox>
                </v:shape>
                <v:shape id="直線矢印コネクタ 72" o:spid="_x0000_s1129"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" strokecolor="#33434c" strokeweight=".5pt">
                  <v:stroke endarrow="block" endarrowlength="short"/>
                </v:shape>
                <v:shape id="直線矢印コネクタ 73" o:spid="_x0000_s1130"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" strokecolor="#33434c" strokeweight=".5pt">
                  <v:stroke endarrow="block" endarrowlength="short"/>
                </v:shape>
                <v:shape id="直線矢印コネクタ 74" o:spid="_x0000_s1131"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" strokecolor="#33434c" strokeweight=".5pt">
                  <v:stroke endarrow="block" endarrowlength="short"/>
                </v:shape>
                <v:shape id="直線矢印コネクタ 75" o:spid="_x0000_s1132"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" strokecolor="#33434c" strokeweight=".5pt">
                  <v:stroke endarrow="block" endarrowlength="short"/>
                </v:shape>
                <v:shape id="直線矢印コネクタ 77" o:spid="_x0000_s1133"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" strokecolor="#33434c" strokeweight=".5pt">
                  <v:stroke endarrow="block" endarrowlength="short"/>
                </v:shape>
                <v:shape id="Flussdiagramm: Prozess 9" o:spid="_x0000_s1134" type="#_x0000_t109" style="position:absolute;left:35269;top:8230;width:1718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" filled="f" strokecolor="black [3213]">
                  <v:textbox inset="1mm,1mm,1mm,1mm">
                    <w:txbxContent>
                      <w:p w14:paraId="480EEF14" w14:textId="77777777" w:rsidR="007F6101" w:rsidRPr="008C7597" w:rsidRDefault="007F6101" w:rsidP="00312EE0">
                        <w:pPr>
                          <w:pStyle w:val="NormalWeb"/>
                          <w:spacing w:before="0" w:beforeAutospacing="0" w:after="0" w:afterAutospacing="0"/>
                          <w:jc w:val="center"/>
                          <w:rPr>
                            <w:rFonts w:ascii="Times New Roman" w:hAnsi="Times New Roman" w:cs="Times New Roman"/>
                            <w:spacing w:val="-6"/>
                            <w:sz w:val="13"/>
                            <w:szCs w:val="13"/>
                            <w:lang w:val="fr-CH"/>
                          </w:rPr>
                        </w:pPr>
                        <w:r w:rsidRPr="00E1347C">
                          <w:rPr>
                            <w:rFonts w:ascii="Times New Roman" w:eastAsia="MS Mincho" w:hAnsi="Times New Roman" w:cs="Times New Roman"/>
                            <w:spacing w:val="-6"/>
                            <w:kern w:val="24"/>
                            <w:sz w:val="13"/>
                            <w:szCs w:val="13"/>
                            <w:lang w:val="fr-CH"/>
                          </w:rPr>
                          <w:t>Début de la stabilisation dans les 5 min qui suivent</w:t>
                        </w:r>
                      </w:p>
                    </w:txbxContent>
                  </v:textbox>
                </v:shape>
                <v:shape id="直線矢印コネクタ 79" o:spid="_x0000_s1135"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" strokecolor="#33434c" strokeweight=".5pt">
                  <v:stroke endarrow="block" endarrowlength="short"/>
                </v:shape>
                <v:shape id="直線矢印コネクタ 80" o:spid="_x0000_s1136"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" strokecolor="#33434c" strokeweight=".5pt">
                  <v:stroke endarrow="block" endarrowlength="short"/>
                </v:shape>
                <v:shape id="直線矢印コネクタ 81" o:spid="_x0000_s1137"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" strokecolor="#33434c" strokeweight=".5pt">
                  <v:stroke endarrow="block" endarrowlength="short"/>
                </v:shape>
                <v:shape id="直線矢印コネクタ 82" o:spid="_x0000_s1138"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" strokecolor="#33434c" strokeweight=".5pt">
                  <v:stroke endarrow="block" endarrowlength="short"/>
                </v:shape>
                <v:shape id="直線矢印コネクタ 83" o:spid="_x0000_s1139"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" strokecolor="#33434c" strokeweight=".5pt">
                  <v:stroke endarrow="block" endarrowlength="short"/>
                </v:shape>
                <v:shape id="直線矢印コネクタ 84" o:spid="_x0000_s1140"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" strokecolor="#33434c" strokeweight=".5pt">
                  <v:stroke endarrow="block" endarrowlength="short"/>
                </v:shape>
                <v:shape id="直線矢印コネクタ 85" o:spid="_x0000_s1141"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" strokecolor="#33434c" strokeweight=".5pt">
                  <v:stroke endarrow="block" endarrowlength="short"/>
                </v:shape>
                <v:shape id="Flussdiagramm: Prozess 13" o:spid="_x0000_s1142"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" filled="f" stroked="f">
                  <v:textbox inset="0,0,0,0">
                    <w:txbxContent>
                      <w:p w14:paraId="34FEBBF0" w14:textId="77777777" w:rsidR="007F6101" w:rsidRPr="00C64800"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C64800">
                          <w:rPr>
                            <w:rFonts w:ascii="Times New Roman" w:eastAsia="Times New Roman" w:hAnsi="Times New Roman" w:cs="Times New Roman"/>
                            <w:color w:val="000000" w:themeColor="text1"/>
                            <w:kern w:val="24"/>
                            <w:sz w:val="13"/>
                            <w:szCs w:val="13"/>
                            <w:lang w:val="fr-CH"/>
                          </w:rPr>
                          <w:t>Oui</w:t>
                        </w:r>
                      </w:p>
                    </w:txbxContent>
                  </v:textbox>
                </v:shape>
                <v:shape id="Flussdiagramm: Prozess 13" o:spid="_x0000_s1143" type="#_x0000_t109" style="position:absolute;left:10196;top:19586;width:2372;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" filled="f" stroked="f">
                  <v:textbox inset="0,0,0,0">
                    <w:txbxContent>
                      <w:p w14:paraId="6C0D9C25" w14:textId="77777777" w:rsidR="007F6101" w:rsidRPr="00600AB9" w:rsidRDefault="007F6101" w:rsidP="00312EE0">
                        <w:pPr>
                          <w:pStyle w:val="NormalWeb"/>
                          <w:spacing w:before="0" w:beforeAutospacing="0" w:after="0" w:afterAutospacing="0"/>
                          <w:jc w:val="center"/>
                          <w:rPr>
                            <w:rFonts w:ascii="Times New Roman" w:hAnsi="Times New Roman" w:cs="Times New Roman"/>
                            <w:sz w:val="13"/>
                            <w:szCs w:val="13"/>
                            <w:lang w:val="en-GB"/>
                          </w:rPr>
                        </w:pPr>
                        <w:r w:rsidRPr="00600AB9">
                          <w:rPr>
                            <w:rFonts w:ascii="Times New Roman" w:eastAsia="MS Mincho" w:hAnsi="Times New Roman" w:cs="Times New Roman"/>
                            <w:color w:val="000000" w:themeColor="text1"/>
                            <w:kern w:val="24"/>
                            <w:sz w:val="13"/>
                            <w:szCs w:val="13"/>
                            <w:lang w:val="en-GB"/>
                          </w:rPr>
                          <w:t>No</w:t>
                        </w:r>
                        <w:r>
                          <w:rPr>
                            <w:rFonts w:ascii="Times New Roman" w:eastAsia="MS Mincho" w:hAnsi="Times New Roman" w:cs="Times New Roman"/>
                            <w:color w:val="000000" w:themeColor="text1"/>
                            <w:kern w:val="24"/>
                            <w:sz w:val="13"/>
                            <w:szCs w:val="13"/>
                            <w:lang w:val="en-GB"/>
                          </w:rPr>
                          <w:t>n</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4" type="#_x0000_t110" style="position:absolute;left:457;top:16610;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" filled="f" strokecolor="#33434c">
                  <v:textbox inset="1mm,1mm,1mm,1mm"/>
                </v:shape>
                <v:shape id="Flussdiagramm: Prozess 13" o:spid="_x0000_s1145"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" filled="f" stroked="f">
                  <v:textbox inset="0,0,0,0">
                    <w:txbxContent>
                      <w:p w14:paraId="742C770E" w14:textId="77777777" w:rsidR="007F6101" w:rsidRPr="00600AB9" w:rsidRDefault="007F6101" w:rsidP="00312EE0">
                        <w:pPr>
                          <w:pStyle w:val="NormalWeb"/>
                          <w:spacing w:before="0" w:beforeAutospacing="0" w:after="0" w:afterAutospacing="0"/>
                          <w:ind w:left="-113" w:right="-113"/>
                          <w:jc w:val="center"/>
                          <w:rPr>
                            <w:rFonts w:ascii="Times New Roman" w:eastAsiaTheme="minorEastAsia" w:hAnsi="Times New Roman" w:cs="Times New Roman"/>
                            <w:sz w:val="13"/>
                            <w:szCs w:val="13"/>
                            <w:lang w:val="en-GB"/>
                          </w:rPr>
                        </w:pPr>
                        <w:r w:rsidRPr="002467FF">
                          <w:rPr>
                            <w:rFonts w:ascii="Times New Roman" w:hAnsi="Times New Roman" w:cs="Times New Roman"/>
                            <w:color w:val="000000" w:themeColor="text1"/>
                            <w:kern w:val="24"/>
                            <w:sz w:val="13"/>
                            <w:szCs w:val="13"/>
                            <w:lang w:val="fr-CH"/>
                          </w:rPr>
                          <w:t>Système de réservoir étanche ?</w:t>
                        </w:r>
                      </w:p>
                    </w:txbxContent>
                  </v:textbox>
                </v:shape>
                <v:shape id="Flussdiagramm: Prozess 30" o:spid="_x0000_s1146"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" filled="f" strokecolor="#33434c">
                  <v:textbox inset="1mm,1mm,1mm,1mm">
                    <w:txbxContent>
                      <w:p w14:paraId="7D4B77E0" w14:textId="77777777" w:rsidR="007F6101" w:rsidRPr="00A4751E" w:rsidRDefault="007F6101" w:rsidP="00312EE0">
                        <w:pPr>
                          <w:pStyle w:val="NormalWeb"/>
                          <w:spacing w:before="0" w:beforeAutospacing="0" w:after="0" w:afterAutospacing="0"/>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5.1</w:t>
                        </w:r>
                        <w:r w:rsidRPr="00A4751E">
                          <w:rPr>
                            <w:rFonts w:ascii="Times New Roman" w:eastAsia="Times New Roman" w:hAnsi="Times New Roman" w:cs="Times New Roman"/>
                            <w:color w:val="000000" w:themeColor="text1"/>
                            <w:kern w:val="24"/>
                            <w:sz w:val="13"/>
                            <w:szCs w:val="13"/>
                            <w:lang w:val="fr-CH"/>
                          </w:rPr>
                          <w:t xml:space="preserve"> Charge </w:t>
                        </w:r>
                        <w:r w:rsidRPr="00A4751E">
                          <w:rPr>
                            <w:rFonts w:ascii="Times New Roman" w:eastAsia="Times New Roman" w:hAnsi="Times New Roman" w:cs="Times New Roman"/>
                            <w:color w:val="000000" w:themeColor="text1"/>
                            <w:kern w:val="24"/>
                            <w:sz w:val="13"/>
                            <w:szCs w:val="13"/>
                            <w:lang w:val="fr-CH"/>
                          </w:rPr>
                          <w:br/>
                          <w:t xml:space="preserve">du SRSEE du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VHE-RE</w:t>
                        </w:r>
                      </w:p>
                    </w:txbxContent>
                  </v:textbox>
                </v:shape>
                <v:shape id="Flussdiagramm: Prozess 31" o:spid="_x0000_s1147" type="#_x0000_t109" style="position:absolute;left:8740;top:32537;width:7797;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" filled="f" strokecolor="#33434c">
                  <v:textbox inset="1mm,0,1mm,0">
                    <w:txbxContent>
                      <w:p w14:paraId="4489BD45" w14:textId="77777777" w:rsidR="007F6101" w:rsidRPr="00A4751E" w:rsidRDefault="007F6101"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5.2</w:t>
                        </w:r>
                        <w:r w:rsidRPr="00A4751E">
                          <w:rPr>
                            <w:rFonts w:ascii="Times New Roman" w:eastAsia="Times New Roman" w:hAnsi="Times New Roman" w:cs="Times New Roman"/>
                            <w:color w:val="000000" w:themeColor="text1"/>
                            <w:kern w:val="24"/>
                            <w:sz w:val="13"/>
                            <w:szCs w:val="13"/>
                            <w:lang w:val="fr-CH"/>
                          </w:rPr>
                          <w:t xml:space="preserve"> Charge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 xml:space="preserve">du </w:t>
                        </w:r>
                        <w:r w:rsidRPr="00A4751E">
                          <w:rPr>
                            <w:rFonts w:ascii="Times New Roman" w:eastAsia="Times New Roman" w:hAnsi="Times New Roman" w:cs="Times New Roman"/>
                            <w:color w:val="000000" w:themeColor="text1"/>
                            <w:kern w:val="24"/>
                            <w:sz w:val="13"/>
                            <w:szCs w:val="13"/>
                            <w:lang w:val="fr-CH"/>
                          </w:rPr>
                          <w:t>canister vieilli jusqu’à percée de 2 g</w:t>
                        </w:r>
                      </w:p>
                    </w:txbxContent>
                  </v:textbox>
                </v:shape>
                <w10:anchorlock/>
              </v:group>
            </w:pict>
          </mc:Fallback>
        </mc:AlternateContent>
      </w:r>
    </w:p>
    <w:p w14:paraId="2F6E65E7" w14:textId="77777777" w:rsidR="00312EE0" w:rsidRPr="004156C2" w:rsidRDefault="00312EE0" w:rsidP="00312EE0">
      <w:pPr>
        <w:pStyle w:val="SingleTxtG"/>
        <w:keepNext/>
        <w:spacing w:before="240"/>
        <w:ind w:left="2268" w:hanging="1134"/>
        <w:rPr>
          <w:lang w:val="fr-FR"/>
        </w:rPr>
      </w:pPr>
      <w:r>
        <w:rPr>
          <w:lang w:val="fr-FR" w:eastAsia="ja-JP"/>
        </w:rPr>
        <w:t>6.5</w:t>
      </w:r>
      <w:r w:rsidRPr="004156C2">
        <w:rPr>
          <w:lang w:val="fr-FR" w:eastAsia="ja-JP"/>
        </w:rPr>
        <w:tab/>
        <w:t xml:space="preserve">Procédure d’essai </w:t>
      </w:r>
      <w:r>
        <w:rPr>
          <w:lang w:val="fr-FR" w:eastAsia="ja-JP"/>
        </w:rPr>
        <w:t xml:space="preserve">continue </w:t>
      </w:r>
      <w:r w:rsidRPr="004156C2">
        <w:rPr>
          <w:lang w:val="fr-FR" w:eastAsia="ja-JP"/>
        </w:rPr>
        <w:t>pour les systèmes de réservoirs non étanches</w:t>
      </w:r>
    </w:p>
    <w:p w14:paraId="39482982" w14:textId="77777777" w:rsidR="00312EE0" w:rsidRPr="004156C2" w:rsidRDefault="00312EE0" w:rsidP="00312EE0">
      <w:pPr>
        <w:pStyle w:val="SingleTxtG"/>
        <w:keepNext/>
        <w:ind w:left="2268" w:hanging="1134"/>
        <w:rPr>
          <w:lang w:val="fr-FR"/>
        </w:rPr>
      </w:pPr>
      <w:r w:rsidRPr="004156C2">
        <w:rPr>
          <w:lang w:val="fr-FR"/>
        </w:rPr>
        <w:t>6.5.1</w:t>
      </w:r>
      <w:r w:rsidRPr="004156C2">
        <w:rPr>
          <w:lang w:val="fr-FR"/>
        </w:rPr>
        <w:tab/>
        <w:t>Vidange et remplissage du réservoir</w:t>
      </w:r>
    </w:p>
    <w:p w14:paraId="206D2ADB" w14:textId="77777777" w:rsidR="00312EE0" w:rsidRPr="004156C2" w:rsidRDefault="00312EE0" w:rsidP="00312EE0">
      <w:pPr>
        <w:pStyle w:val="SingleTxtG"/>
        <w:ind w:left="2268"/>
        <w:rPr>
          <w:rFonts w:eastAsia="MS Mincho"/>
          <w:lang w:val="fr-FR"/>
        </w:rPr>
      </w:pPr>
      <w:r w:rsidRPr="004156C2">
        <w:rPr>
          <w:rFonts w:eastAsia="MS Mincho"/>
          <w:lang w:val="fr-FR"/>
        </w:rPr>
        <w:tab/>
        <w:t xml:space="preserve">Le réservoir de carburant du véhicule doit être vidangé. Cette opération doit être effectuée de manière à ne pas purger ou charger anormalement les dispositifs de réduction des émissions par évaporation installés sur le véhicule. </w:t>
      </w:r>
      <w:r w:rsidRPr="004156C2">
        <w:rPr>
          <w:rFonts w:eastAsia="MS Mincho"/>
          <w:lang w:val="fr-FR"/>
        </w:rPr>
        <w:lastRenderedPageBreak/>
        <w:t>Pour cela, la dépose du bouchon du réservoir est normalement suffisante. Le réservoir doit être rempli avec du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14:paraId="1711EA1B" w14:textId="77777777" w:rsidR="00312EE0" w:rsidRPr="004156C2" w:rsidRDefault="00312EE0" w:rsidP="00312EE0">
      <w:pPr>
        <w:pStyle w:val="SingleTxtG"/>
        <w:keepNext/>
        <w:ind w:left="2268" w:hanging="1134"/>
        <w:rPr>
          <w:rFonts w:eastAsia="MS Mincho"/>
          <w:lang w:val="fr-FR"/>
        </w:rPr>
      </w:pPr>
      <w:r>
        <w:rPr>
          <w:rFonts w:eastAsia="MS Mincho"/>
          <w:lang w:val="fr-FR"/>
        </w:rPr>
        <w:t>6</w:t>
      </w:r>
      <w:r w:rsidRPr="004156C2">
        <w:rPr>
          <w:rFonts w:eastAsia="MS Mincho"/>
          <w:lang w:val="fr-FR"/>
        </w:rPr>
        <w:t>.</w:t>
      </w:r>
      <w:r>
        <w:rPr>
          <w:rFonts w:eastAsia="MS Mincho"/>
          <w:lang w:val="fr-FR"/>
        </w:rPr>
        <w:t>5</w:t>
      </w:r>
      <w:r w:rsidRPr="004156C2">
        <w:rPr>
          <w:rFonts w:eastAsia="MS Mincho"/>
          <w:lang w:val="fr-FR"/>
        </w:rPr>
        <w:t>.</w:t>
      </w:r>
      <w:r>
        <w:rPr>
          <w:rFonts w:eastAsia="MS Mincho"/>
          <w:lang w:val="fr-FR"/>
        </w:rPr>
        <w:t>2</w:t>
      </w:r>
      <w:r w:rsidRPr="004156C2">
        <w:rPr>
          <w:rFonts w:eastAsia="MS Mincho"/>
          <w:lang w:val="fr-FR"/>
        </w:rPr>
        <w:tab/>
        <w:t>Stabilisation</w:t>
      </w:r>
    </w:p>
    <w:p w14:paraId="254EB96B" w14:textId="77777777" w:rsidR="00312EE0" w:rsidRPr="004156C2" w:rsidRDefault="00312EE0" w:rsidP="00312EE0">
      <w:pPr>
        <w:pStyle w:val="SingleTxtG"/>
        <w:keepNext/>
        <w:ind w:left="2268"/>
        <w:rPr>
          <w:rFonts w:eastAsia="MS Mincho"/>
          <w:lang w:val="fr-FR"/>
        </w:rPr>
      </w:pPr>
      <w:r w:rsidRPr="004156C2">
        <w:rPr>
          <w:rFonts w:eastAsia="MS Mincho"/>
          <w:lang w:val="fr-FR"/>
        </w:rPr>
        <w:tab/>
        <w:t>Dans les 5 min qui suivent la vidange et le remplissage, le véhicule doit être stabilisé pendant au moins 6 h et au plus 36 h à 23 </w:t>
      </w:r>
      <w:r w:rsidRPr="004156C2">
        <w:rPr>
          <w:rFonts w:eastAsia="MS Mincho"/>
          <w:lang w:val="fr-FR"/>
        </w:rPr>
        <w:sym w:font="Symbol" w:char="F0B1"/>
      </w:r>
      <w:r w:rsidRPr="004156C2">
        <w:rPr>
          <w:rFonts w:eastAsia="MS Mincho"/>
          <w:lang w:val="fr-FR"/>
        </w:rPr>
        <w:t> 3 °C.</w:t>
      </w:r>
    </w:p>
    <w:p w14:paraId="582C0CC5"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6.5.3</w:t>
      </w:r>
      <w:r w:rsidRPr="004156C2">
        <w:rPr>
          <w:rFonts w:eastAsia="MS Mincho"/>
          <w:lang w:val="fr-FR"/>
        </w:rPr>
        <w:tab/>
        <w:t xml:space="preserve">Parcours de </w:t>
      </w:r>
      <w:proofErr w:type="spellStart"/>
      <w:r w:rsidRPr="004156C2">
        <w:rPr>
          <w:rFonts w:eastAsia="MS Mincho"/>
          <w:lang w:val="fr-FR"/>
        </w:rPr>
        <w:t>pr</w:t>
      </w:r>
      <w:r>
        <w:rPr>
          <w:rFonts w:eastAsia="MS Mincho"/>
          <w:lang w:val="fr-FR"/>
        </w:rPr>
        <w:t>é</w:t>
      </w:r>
      <w:r w:rsidRPr="004156C2">
        <w:rPr>
          <w:rFonts w:eastAsia="MS Mincho"/>
          <w:lang w:val="fr-FR"/>
        </w:rPr>
        <w:t>conditionnement</w:t>
      </w:r>
      <w:proofErr w:type="spellEnd"/>
    </w:p>
    <w:p w14:paraId="2CF2C5AC" w14:textId="77777777" w:rsidR="00312EE0" w:rsidRPr="004156C2" w:rsidRDefault="00312EE0" w:rsidP="00312EE0">
      <w:pPr>
        <w:pStyle w:val="SingleTxtG"/>
        <w:keepNext/>
        <w:ind w:left="2268"/>
        <w:rPr>
          <w:rFonts w:eastAsia="MS Mincho"/>
          <w:lang w:val="fr-FR"/>
        </w:rPr>
      </w:pPr>
      <w:r w:rsidRPr="004156C2">
        <w:rPr>
          <w:rFonts w:eastAsia="MS Mincho"/>
          <w:lang w:val="fr-FR"/>
        </w:rPr>
        <w:t xml:space="preserve">Le véhicule doit être placé sur un banc dynamométrique en vue d’exécuter les phases suivantes du cycle décrit dans l’annexe 1 du RTM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15 :</w:t>
      </w:r>
    </w:p>
    <w:p w14:paraId="789624BB" w14:textId="77777777" w:rsidR="00312EE0" w:rsidRPr="004156C2" w:rsidRDefault="00312EE0" w:rsidP="00312EE0">
      <w:pPr>
        <w:pStyle w:val="SingleTxtG"/>
        <w:ind w:left="2835" w:hanging="567"/>
        <w:rPr>
          <w:rFonts w:eastAsia="MS Mincho"/>
          <w:lang w:val="fr-FR"/>
        </w:rPr>
      </w:pPr>
      <w:r w:rsidRPr="004156C2">
        <w:rPr>
          <w:rFonts w:eastAsia="MS Mincho"/>
          <w:lang w:val="fr-FR"/>
        </w:rPr>
        <w:t>a)</w:t>
      </w:r>
      <w:r w:rsidRPr="004156C2">
        <w:rPr>
          <w:rFonts w:eastAsia="MS Mincho"/>
          <w:lang w:val="fr-FR"/>
        </w:rPr>
        <w:tab/>
        <w:t xml:space="preserve">Pour les véhicules de la classe 1 : </w:t>
      </w:r>
      <w:r>
        <w:rPr>
          <w:rFonts w:eastAsia="MS Mincho"/>
          <w:lang w:val="fr-FR"/>
        </w:rPr>
        <w:t>basse vitesse, vitesse moyenne, basse vitesse, basse vitesse, vitesse moyenne et basse vitesse </w:t>
      </w:r>
      <w:r w:rsidRPr="004156C2">
        <w:rPr>
          <w:rFonts w:eastAsia="MS Mincho"/>
          <w:lang w:val="fr-FR"/>
        </w:rPr>
        <w:t>;</w:t>
      </w:r>
    </w:p>
    <w:p w14:paraId="330C248D" w14:textId="77777777" w:rsidR="00312EE0" w:rsidRPr="004156C2" w:rsidRDefault="00312EE0" w:rsidP="00312EE0">
      <w:pPr>
        <w:pStyle w:val="SingleTxtG"/>
        <w:ind w:left="2835" w:hanging="567"/>
        <w:rPr>
          <w:rFonts w:eastAsia="MS Mincho"/>
          <w:lang w:val="fr-FR"/>
        </w:rPr>
      </w:pPr>
      <w:r w:rsidRPr="004156C2">
        <w:rPr>
          <w:rFonts w:eastAsia="MS Mincho"/>
          <w:lang w:val="fr-FR"/>
        </w:rPr>
        <w:t>b)</w:t>
      </w:r>
      <w:r w:rsidRPr="004156C2">
        <w:rPr>
          <w:rFonts w:eastAsia="MS Mincho"/>
          <w:lang w:val="fr-FR"/>
        </w:rPr>
        <w:tab/>
        <w:t xml:space="preserve">Pour les véhicules des classes 2 et 3 : </w:t>
      </w:r>
      <w:r>
        <w:rPr>
          <w:rFonts w:eastAsia="MS Mincho"/>
          <w:lang w:val="fr-FR"/>
        </w:rPr>
        <w:t>basse vitesse, vitesse moyenne, haute vitesse et vitesse moyenne</w:t>
      </w:r>
      <w:r w:rsidRPr="004156C2">
        <w:rPr>
          <w:rFonts w:eastAsia="MS Mincho"/>
          <w:lang w:val="fr-FR"/>
        </w:rPr>
        <w:t>.</w:t>
      </w:r>
    </w:p>
    <w:p w14:paraId="73E3108F" w14:textId="77777777" w:rsidR="00312EE0" w:rsidRPr="004156C2" w:rsidRDefault="00312EE0" w:rsidP="00312EE0">
      <w:pPr>
        <w:pStyle w:val="SingleTxtG"/>
        <w:ind w:left="2268"/>
        <w:rPr>
          <w:rFonts w:eastAsia="MS Mincho"/>
          <w:lang w:val="fr-FR"/>
        </w:rPr>
      </w:pPr>
      <w:r w:rsidRPr="004156C2">
        <w:rPr>
          <w:rFonts w:eastAsia="MS Mincho"/>
          <w:lang w:val="fr-FR"/>
        </w:rPr>
        <w:t xml:space="preserve">Pour les VHE-RE, le parcours de </w:t>
      </w:r>
      <w:proofErr w:type="spellStart"/>
      <w:r w:rsidRPr="004156C2">
        <w:rPr>
          <w:rFonts w:eastAsia="MS Mincho"/>
          <w:lang w:val="fr-FR"/>
        </w:rPr>
        <w:t>préconditionnement</w:t>
      </w:r>
      <w:proofErr w:type="spellEnd"/>
      <w:r w:rsidRPr="004156C2">
        <w:rPr>
          <w:rFonts w:eastAsia="MS Mincho"/>
          <w:lang w:val="fr-FR"/>
        </w:rPr>
        <w:t xml:space="preserve"> doit être effectué dans les conditions de fonctionnement en mode maintien de la charge, telles que définies au paragraphe 3.3.6 du RTM </w:t>
      </w:r>
      <w:r>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 À la demande de l’autorité compétente, un autre mode peut être utilisé.</w:t>
      </w:r>
    </w:p>
    <w:p w14:paraId="68FF27E5"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6.5.4</w:t>
      </w:r>
      <w:r w:rsidRPr="004156C2">
        <w:rPr>
          <w:rFonts w:eastAsia="MS Mincho"/>
          <w:lang w:val="fr-FR"/>
        </w:rPr>
        <w:tab/>
        <w:t>Vidange et remplissage du réservoir</w:t>
      </w:r>
    </w:p>
    <w:p w14:paraId="1FAA7667" w14:textId="77777777" w:rsidR="00312EE0" w:rsidRPr="004156C2" w:rsidRDefault="00312EE0" w:rsidP="00312EE0">
      <w:pPr>
        <w:pStyle w:val="SingleTxtG"/>
        <w:keepNext/>
        <w:ind w:left="2268"/>
        <w:rPr>
          <w:rFonts w:eastAsia="MS Mincho"/>
          <w:szCs w:val="24"/>
          <w:lang w:val="fr-FR" w:eastAsia="ja-JP"/>
        </w:rPr>
      </w:pPr>
      <w:r w:rsidRPr="004156C2">
        <w:rPr>
          <w:rFonts w:eastAsia="MS Mincho"/>
          <w:lang w:val="fr-FR"/>
        </w:rPr>
        <w:tab/>
      </w:r>
      <w:r w:rsidRPr="004156C2">
        <w:rPr>
          <w:rFonts w:eastAsia="MS Mincho"/>
          <w:szCs w:val="24"/>
          <w:lang w:val="fr-FR" w:eastAsia="ja-JP"/>
        </w:rPr>
        <w:t xml:space="preserve">Dans l’heure qui suit la fin du parcours de </w:t>
      </w:r>
      <w:proofErr w:type="spellStart"/>
      <w:r w:rsidRPr="004156C2">
        <w:rPr>
          <w:rFonts w:eastAsia="MS Mincho"/>
          <w:szCs w:val="24"/>
          <w:lang w:val="fr-FR" w:eastAsia="ja-JP"/>
        </w:rPr>
        <w:t>pr</w:t>
      </w:r>
      <w:r>
        <w:rPr>
          <w:rFonts w:eastAsia="MS Mincho"/>
          <w:szCs w:val="24"/>
          <w:lang w:val="fr-FR" w:eastAsia="ja-JP"/>
        </w:rPr>
        <w:t>é</w:t>
      </w:r>
      <w:r w:rsidRPr="004156C2">
        <w:rPr>
          <w:rFonts w:eastAsia="MS Mincho"/>
          <w:szCs w:val="24"/>
          <w:lang w:val="fr-FR" w:eastAsia="ja-JP"/>
        </w:rPr>
        <w:t>conditionnement</w:t>
      </w:r>
      <w:proofErr w:type="spellEnd"/>
      <w:r w:rsidRPr="004156C2">
        <w:rPr>
          <w:rFonts w:eastAsia="MS Mincho"/>
          <w:szCs w:val="24"/>
          <w:lang w:val="fr-FR" w:eastAsia="ja-JP"/>
        </w:rPr>
        <w:t xml:space="preserve">, le réservoir de carburant du véhicule </w:t>
      </w:r>
      <w:r w:rsidRPr="004156C2">
        <w:rPr>
          <w:rFonts w:eastAsia="MS Mincho"/>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Le réservoir doit être rempli avec du carburant </w:t>
      </w:r>
      <w:r w:rsidRPr="004156C2">
        <w:rPr>
          <w:rFonts w:eastAsia="MS Mincho"/>
          <w:szCs w:val="24"/>
          <w:lang w:val="fr-FR" w:eastAsia="ja-JP"/>
        </w:rPr>
        <w:t xml:space="preserve">d’essai, </w:t>
      </w:r>
      <w:r w:rsidRPr="004156C2">
        <w:rPr>
          <w:rFonts w:eastAsia="MS Mincho"/>
          <w:lang w:val="fr-FR"/>
        </w:rPr>
        <w:t xml:space="preserve">à une température de </w:t>
      </w:r>
      <w:r w:rsidRPr="004156C2">
        <w:rPr>
          <w:rFonts w:eastAsia="MS Mincho"/>
          <w:szCs w:val="24"/>
          <w:lang w:val="fr-FR" w:eastAsia="ja-JP"/>
        </w:rPr>
        <w:t xml:space="preserve">18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 à 40 </w:t>
      </w:r>
      <w:r>
        <w:rPr>
          <w:rFonts w:eastAsia="MS Mincho"/>
          <w:szCs w:val="24"/>
          <w:lang w:val="fr-FR" w:eastAsia="ja-JP"/>
        </w:rPr>
        <w:sym w:font="Symbol" w:char="F0B1"/>
      </w:r>
      <w:r>
        <w:rPr>
          <w:rFonts w:eastAsia="MS Mincho"/>
          <w:szCs w:val="24"/>
          <w:lang w:val="fr-FR" w:eastAsia="ja-JP"/>
        </w:rPr>
        <w:t>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w:t>
      </w:r>
    </w:p>
    <w:p w14:paraId="698D0AB5"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6.5.5</w:t>
      </w:r>
      <w:r w:rsidRPr="004156C2">
        <w:rPr>
          <w:rFonts w:eastAsia="MS Mincho"/>
          <w:szCs w:val="24"/>
          <w:lang w:val="fr-FR" w:eastAsia="ja-JP"/>
        </w:rPr>
        <w:tab/>
        <w:t>Stabilisation</w:t>
      </w:r>
    </w:p>
    <w:p w14:paraId="62E0B1EB"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 xml:space="preserve">Dans les </w:t>
      </w:r>
      <w:r>
        <w:rPr>
          <w:rFonts w:eastAsia="MS Mincho"/>
          <w:szCs w:val="24"/>
          <w:lang w:val="fr-FR" w:eastAsia="ja-JP"/>
        </w:rPr>
        <w:t>5</w:t>
      </w:r>
      <w:r w:rsidRPr="004156C2">
        <w:rPr>
          <w:rFonts w:eastAsia="MS Mincho"/>
          <w:szCs w:val="24"/>
          <w:lang w:val="fr-FR" w:eastAsia="ja-JP"/>
        </w:rPr>
        <w:t xml:space="preserve"> min qui suivent la fin de la vidange et du remplissage du réservoir, le véhicule doit être stationné pendant au moins 12 h</w:t>
      </w:r>
      <w:r>
        <w:rPr>
          <w:rFonts w:eastAsia="MS Mincho"/>
          <w:szCs w:val="24"/>
          <w:lang w:val="fr-FR" w:eastAsia="ja-JP"/>
        </w:rPr>
        <w:t xml:space="preserve"> et un maximum de 36 </w:t>
      </w:r>
      <w:r w:rsidRPr="004156C2">
        <w:rPr>
          <w:rFonts w:eastAsia="MS Mincho"/>
          <w:szCs w:val="24"/>
          <w:lang w:val="fr-FR" w:eastAsia="ja-JP"/>
        </w:rPr>
        <w:t xml:space="preserve">h à </w:t>
      </w:r>
      <w:r w:rsidRPr="004156C2">
        <w:rPr>
          <w:rFonts w:eastAsia="MS Mincho"/>
          <w:lang w:val="fr-FR"/>
        </w:rPr>
        <w:t>23 </w:t>
      </w:r>
      <w:r>
        <w:rPr>
          <w:rFonts w:eastAsia="MS Mincho"/>
          <w:lang w:val="fr-FR"/>
        </w:rPr>
        <w:sym w:font="Symbol" w:char="F0B1"/>
      </w:r>
      <w:r>
        <w:rPr>
          <w:rFonts w:eastAsia="MS Mincho"/>
          <w:lang w:val="fr-FR"/>
        </w:rPr>
        <w:t xml:space="preserve"> </w:t>
      </w:r>
      <w:r w:rsidRPr="004156C2">
        <w:rPr>
          <w:rFonts w:eastAsia="MS Mincho"/>
          <w:lang w:val="fr-FR"/>
        </w:rPr>
        <w:t>3 °C.</w:t>
      </w:r>
    </w:p>
    <w:p w14:paraId="6116815A" w14:textId="77777777" w:rsidR="00312EE0" w:rsidRDefault="00312EE0" w:rsidP="00312EE0">
      <w:pPr>
        <w:pStyle w:val="SingleTxtG"/>
        <w:ind w:left="2268"/>
        <w:rPr>
          <w:rFonts w:eastAsia="MS Mincho"/>
          <w:szCs w:val="24"/>
          <w:lang w:val="fr-FR" w:eastAsia="ja-JP"/>
        </w:rPr>
      </w:pPr>
      <w:r>
        <w:rPr>
          <w:rFonts w:eastAsia="MS Mincho"/>
          <w:szCs w:val="24"/>
          <w:lang w:val="fr-FR" w:eastAsia="ja-JP"/>
        </w:rPr>
        <w:t>Pendant la phase de stabilisation</w:t>
      </w:r>
      <w:r w:rsidRPr="004156C2">
        <w:rPr>
          <w:rFonts w:eastAsia="MS Mincho"/>
          <w:szCs w:val="24"/>
          <w:lang w:val="fr-FR" w:eastAsia="ja-JP"/>
        </w:rPr>
        <w:t>, les proc</w:t>
      </w:r>
      <w:r>
        <w:rPr>
          <w:rFonts w:eastAsia="MS Mincho"/>
          <w:szCs w:val="24"/>
          <w:lang w:val="fr-FR" w:eastAsia="ja-JP"/>
        </w:rPr>
        <w:t>édures décrites aux paragraphes </w:t>
      </w:r>
      <w:r w:rsidRPr="004156C2">
        <w:rPr>
          <w:rFonts w:eastAsia="MS Mincho"/>
          <w:szCs w:val="24"/>
          <w:lang w:val="fr-FR" w:eastAsia="ja-JP"/>
        </w:rPr>
        <w:t>6.5.5.1 et 6.5.5.2 peuvent être appliquées soit dans cet ordre, soit dans l’ordre inverse. Ces procédures peuvent également être appliquées simultanément.</w:t>
      </w:r>
    </w:p>
    <w:p w14:paraId="376D32A3"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6.5.5.1</w:t>
      </w:r>
      <w:r w:rsidRPr="004156C2">
        <w:rPr>
          <w:rFonts w:eastAsia="MS Mincho"/>
          <w:szCs w:val="24"/>
          <w:lang w:val="fr-FR" w:eastAsia="ja-JP"/>
        </w:rPr>
        <w:tab/>
      </w:r>
      <w:r>
        <w:rPr>
          <w:rFonts w:eastAsia="MS Mincho"/>
          <w:szCs w:val="24"/>
          <w:lang w:val="fr-FR" w:eastAsia="ja-JP"/>
        </w:rPr>
        <w:tab/>
      </w:r>
      <w:r w:rsidRPr="004156C2">
        <w:rPr>
          <w:rFonts w:eastAsia="MS Mincho"/>
          <w:szCs w:val="24"/>
          <w:lang w:val="fr-FR" w:eastAsia="ja-JP"/>
        </w:rPr>
        <w:t>Charge du SRSEE</w:t>
      </w:r>
    </w:p>
    <w:p w14:paraId="733C61FE" w14:textId="77777777" w:rsidR="00312EE0" w:rsidRPr="004156C2" w:rsidRDefault="00312EE0" w:rsidP="00312EE0">
      <w:pPr>
        <w:pStyle w:val="SingleTxtG"/>
        <w:ind w:left="2268"/>
        <w:rPr>
          <w:rFonts w:eastAsia="MS Mincho"/>
          <w:szCs w:val="24"/>
          <w:lang w:val="fr-FR" w:eastAsia="ja-JP"/>
        </w:rPr>
      </w:pPr>
      <w:r w:rsidRPr="004156C2">
        <w:rPr>
          <w:rFonts w:eastAsia="MS Mincho"/>
          <w:szCs w:val="24"/>
          <w:lang w:val="fr-FR" w:eastAsia="ja-JP"/>
        </w:rPr>
        <w:t xml:space="preserve">Pour les VHE-RE, le SRSEE doit être chargé à 100 % conformément aux prescriptions énoncées au paragraphe 2.2.3 de l’appendice 4 de l’annexe 8 du RTM </w:t>
      </w:r>
      <w:r>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w:t>
      </w:r>
    </w:p>
    <w:p w14:paraId="6E8831C0"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6.5.5.2</w:t>
      </w:r>
      <w:r w:rsidRPr="004156C2">
        <w:rPr>
          <w:rFonts w:eastAsia="MS Mincho"/>
          <w:lang w:val="fr-FR"/>
        </w:rPr>
        <w:tab/>
        <w:t xml:space="preserve">Charge du </w:t>
      </w:r>
      <w:proofErr w:type="spellStart"/>
      <w:r w:rsidRPr="004156C2">
        <w:rPr>
          <w:rFonts w:eastAsia="MS Mincho"/>
          <w:lang w:val="fr-FR"/>
        </w:rPr>
        <w:t>canister</w:t>
      </w:r>
      <w:proofErr w:type="spellEnd"/>
    </w:p>
    <w:p w14:paraId="79E982EA" w14:textId="77777777" w:rsidR="00312EE0" w:rsidRPr="004156C2" w:rsidRDefault="00312EE0" w:rsidP="00312EE0">
      <w:pPr>
        <w:pStyle w:val="SingleTxtG"/>
        <w:keepNext/>
        <w:ind w:left="2268"/>
        <w:rPr>
          <w:rFonts w:eastAsia="MS Mincho"/>
          <w:lang w:val="fr-FR"/>
        </w:rPr>
      </w:pPr>
      <w:r w:rsidRPr="004156C2">
        <w:rPr>
          <w:rFonts w:eastAsia="MS Mincho"/>
          <w:lang w:val="fr-FR"/>
        </w:rPr>
        <w:tab/>
        <w:t xml:space="preserve">Le </w:t>
      </w:r>
      <w:proofErr w:type="spellStart"/>
      <w:r w:rsidRPr="004156C2">
        <w:rPr>
          <w:rFonts w:eastAsia="MS Mincho"/>
          <w:lang w:val="fr-FR"/>
        </w:rPr>
        <w:t>canister</w:t>
      </w:r>
      <w:proofErr w:type="spellEnd"/>
      <w:r w:rsidRPr="004156C2">
        <w:rPr>
          <w:rFonts w:eastAsia="MS Mincho"/>
          <w:lang w:val="fr-FR"/>
        </w:rPr>
        <w:t>, ayant subi un vieillissement conformément au</w:t>
      </w:r>
      <w:r>
        <w:rPr>
          <w:rFonts w:eastAsia="MS Mincho"/>
          <w:lang w:val="fr-FR"/>
        </w:rPr>
        <w:t>x</w:t>
      </w:r>
      <w:r w:rsidRPr="004156C2">
        <w:rPr>
          <w:rFonts w:eastAsia="MS Mincho"/>
          <w:lang w:val="fr-FR"/>
        </w:rPr>
        <w:t xml:space="preserve"> paragraphe</w:t>
      </w:r>
      <w:r>
        <w:rPr>
          <w:rFonts w:eastAsia="MS Mincho"/>
          <w:lang w:val="fr-FR"/>
        </w:rPr>
        <w:t>s</w:t>
      </w:r>
      <w:r w:rsidRPr="004156C2">
        <w:rPr>
          <w:rFonts w:eastAsia="MS Mincho"/>
          <w:lang w:val="fr-FR"/>
        </w:rPr>
        <w:t xml:space="preserve"> 5.1 </w:t>
      </w:r>
      <w:r>
        <w:rPr>
          <w:rFonts w:eastAsia="MS Mincho"/>
          <w:lang w:val="fr-FR"/>
        </w:rPr>
        <w:t xml:space="preserve">à 5.1.3.1.3 </w:t>
      </w:r>
      <w:r w:rsidRPr="004156C2">
        <w:rPr>
          <w:rFonts w:eastAsia="MS Mincho"/>
          <w:lang w:val="fr-FR"/>
        </w:rPr>
        <w:t xml:space="preserve">de la présente annexe, doit être chargé jusqu’à atteindre une percée de 2 g conformément à la procédure décrite </w:t>
      </w:r>
      <w:r>
        <w:rPr>
          <w:rFonts w:eastAsia="MS Mincho"/>
          <w:lang w:val="fr-FR"/>
        </w:rPr>
        <w:t>au paragraphe 5.1.4 de l’annexe </w:t>
      </w:r>
      <w:r w:rsidRPr="004156C2">
        <w:rPr>
          <w:rFonts w:eastAsia="MS Mincho"/>
          <w:lang w:val="fr-FR"/>
        </w:rPr>
        <w:t xml:space="preserve">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14:paraId="0E504811" w14:textId="77777777" w:rsidR="00312EE0" w:rsidRPr="004156C2" w:rsidRDefault="00312EE0" w:rsidP="00312EE0">
      <w:pPr>
        <w:pStyle w:val="SingleTxtG"/>
        <w:ind w:left="2268" w:hanging="1134"/>
        <w:rPr>
          <w:rFonts w:eastAsia="MS Mincho"/>
          <w:lang w:val="fr-FR"/>
        </w:rPr>
      </w:pPr>
      <w:r w:rsidRPr="004156C2">
        <w:rPr>
          <w:rFonts w:eastAsia="MS Mincho"/>
          <w:lang w:val="fr-FR"/>
        </w:rPr>
        <w:t>6.5.6</w:t>
      </w:r>
      <w:r w:rsidRPr="004156C2">
        <w:rPr>
          <w:rFonts w:eastAsia="MS Mincho"/>
          <w:lang w:val="fr-FR"/>
        </w:rPr>
        <w:tab/>
        <w:t>Essai au dynamomètre</w:t>
      </w:r>
    </w:p>
    <w:p w14:paraId="38E96DCC" w14:textId="77777777" w:rsidR="00312EE0" w:rsidRPr="004156C2" w:rsidRDefault="00312EE0" w:rsidP="00312EE0">
      <w:pPr>
        <w:pStyle w:val="SingleTxtG"/>
        <w:ind w:left="2268"/>
        <w:rPr>
          <w:rFonts w:eastAsia="MS Mincho"/>
          <w:lang w:val="fr-FR"/>
        </w:rPr>
      </w:pPr>
      <w:r w:rsidRPr="004156C2">
        <w:rPr>
          <w:rFonts w:eastAsia="MS Mincho"/>
          <w:lang w:val="fr-FR"/>
        </w:rPr>
        <w:tab/>
        <w:t xml:space="preserve">Le véhicule doit être placé sur un dynamomètre et soumis aux cycles prescrits à l’alinéa a) ou b) du paragraphe 6.5.3 de la présente annexe. Les VHE-RE doivent fonctionner en mode épuisement de la charge. Le moteur doit ensuite être arrêté. Les émissions d’échappement peuvent être mesurées pendant cette opération et les résultats peuvent être utilisés aux fins de l’homologation pour les émissions d’échappement et la consommation de carburant si cette </w:t>
      </w:r>
      <w:r w:rsidRPr="004156C2">
        <w:rPr>
          <w:rFonts w:eastAsia="MS Mincho"/>
          <w:lang w:val="fr-FR"/>
        </w:rPr>
        <w:lastRenderedPageBreak/>
        <w:t xml:space="preserve">opération est conforme aux prescriptions de l’annexe 6 ou de l’annexe 8 du RTM </w:t>
      </w:r>
      <w:r>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w:t>
      </w:r>
    </w:p>
    <w:p w14:paraId="6E25F8BC"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6.5.7</w:t>
      </w:r>
      <w:r w:rsidRPr="004156C2">
        <w:rPr>
          <w:rFonts w:eastAsia="MS Mincho"/>
          <w:lang w:val="fr-FR"/>
        </w:rPr>
        <w:tab/>
        <w:t>Essai d’émissions par évaporation après accumulation de chaleur</w:t>
      </w:r>
    </w:p>
    <w:p w14:paraId="41C42508" w14:textId="77777777" w:rsidR="00312EE0" w:rsidRPr="004156C2" w:rsidRDefault="00312EE0" w:rsidP="00312EE0">
      <w:pPr>
        <w:pStyle w:val="SingleTxtG"/>
        <w:keepNext/>
        <w:ind w:left="2268"/>
        <w:rPr>
          <w:rFonts w:eastAsia="MS Mincho"/>
          <w:lang w:val="fr-FR"/>
        </w:rPr>
      </w:pPr>
      <w:r w:rsidRPr="004156C2" w:rsidDel="008D2497">
        <w:rPr>
          <w:rFonts w:eastAsia="MS Mincho"/>
          <w:lang w:val="fr-FR"/>
        </w:rPr>
        <w:tab/>
      </w:r>
      <w:r w:rsidRPr="004156C2">
        <w:rPr>
          <w:rFonts w:eastAsia="MS Mincho"/>
          <w:lang w:val="fr-FR"/>
        </w:rPr>
        <w:t xml:space="preserve">Dans les 7 min qui suivent l’essai au dynamomètre et dans les 2 min qui suivent l’arrêt du moteur, l’essai d’émissions par évaporation après accumulation de chaleur doit être effectué conformément au paragraphe 5.5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 Les pertes après accumulation de chaleur doivent être calculées conformément au paragraphe 7.1 de la présente annexe et enregistrées sous la référence M</w:t>
      </w:r>
      <w:r w:rsidRPr="004156C2">
        <w:rPr>
          <w:rFonts w:eastAsia="MS Mincho"/>
          <w:vertAlign w:val="subscript"/>
          <w:lang w:val="fr-FR"/>
        </w:rPr>
        <w:t>HS</w:t>
      </w:r>
      <w:r w:rsidRPr="004156C2">
        <w:rPr>
          <w:rFonts w:eastAsia="MS Mincho"/>
          <w:lang w:val="fr-FR"/>
        </w:rPr>
        <w:t>.</w:t>
      </w:r>
    </w:p>
    <w:p w14:paraId="1CCD6A91"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6.5.8</w:t>
      </w:r>
      <w:r w:rsidRPr="004156C2">
        <w:rPr>
          <w:rFonts w:eastAsia="MS Mincho"/>
          <w:lang w:val="fr-FR"/>
        </w:rPr>
        <w:tab/>
        <w:t>Stabilisation</w:t>
      </w:r>
    </w:p>
    <w:p w14:paraId="0F7DFB2B" w14:textId="77777777" w:rsidR="00312EE0" w:rsidRPr="004156C2" w:rsidRDefault="00312EE0" w:rsidP="00312EE0">
      <w:pPr>
        <w:pStyle w:val="SingleTxtG"/>
        <w:keepNext/>
        <w:ind w:left="2268"/>
        <w:rPr>
          <w:rFonts w:eastAsia="MS Mincho"/>
          <w:lang w:val="fr-FR"/>
        </w:rPr>
      </w:pPr>
      <w:r w:rsidRPr="004156C2">
        <w:rPr>
          <w:rFonts w:eastAsia="MS Mincho"/>
          <w:lang w:val="fr-FR"/>
        </w:rPr>
        <w:tab/>
        <w:t>À la suite de l’essai d’émissions par évaporation après accumulation de chaleur, le véhicule doit subir une phase de stabilisation pendant au moins 6 h et au plus 36 h entre la fin de l’essai de pertes par accumulation de chaleur et le début de l’essai de pertes diurnes. Pendant au moins les 6 dernières heures de cette période, le véhicule doit être stabilisé à 20 </w:t>
      </w:r>
      <w:r w:rsidRPr="004156C2">
        <w:rPr>
          <w:rFonts w:eastAsia="MS Mincho"/>
          <w:lang w:val="fr-FR"/>
        </w:rPr>
        <w:sym w:font="Symbol" w:char="F0B1"/>
      </w:r>
      <w:r w:rsidRPr="004156C2">
        <w:rPr>
          <w:rFonts w:eastAsia="MS Mincho"/>
          <w:lang w:val="fr-FR"/>
        </w:rPr>
        <w:t> 2 °C.</w:t>
      </w:r>
    </w:p>
    <w:p w14:paraId="6F1966D4"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6.5.9</w:t>
      </w:r>
      <w:r w:rsidRPr="004156C2">
        <w:rPr>
          <w:rFonts w:eastAsia="MS Mincho"/>
          <w:lang w:val="fr-FR"/>
        </w:rPr>
        <w:tab/>
        <w:t>Essais diurnes</w:t>
      </w:r>
    </w:p>
    <w:p w14:paraId="3C8AB46C"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6.5.9.1</w:t>
      </w:r>
      <w:r w:rsidRPr="004156C2">
        <w:rPr>
          <w:rFonts w:eastAsia="MS Mincho"/>
          <w:lang w:val="fr-FR"/>
        </w:rPr>
        <w:tab/>
        <w:t xml:space="preserve">Le véhicule doit être exposé à deux cycles de température ambiante, selon le profil </w:t>
      </w:r>
      <w:r>
        <w:rPr>
          <w:rFonts w:eastAsia="MS Mincho"/>
          <w:lang w:val="fr-FR"/>
        </w:rPr>
        <w:t xml:space="preserve">prescrit </w:t>
      </w:r>
      <w:r w:rsidRPr="004156C2">
        <w:rPr>
          <w:rFonts w:eastAsia="MS Mincho"/>
          <w:lang w:val="fr-FR"/>
        </w:rPr>
        <w:t xml:space="preserve">pour l’essai d’émissions diurne décrit à l’appendice 2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xml:space="preserve"> 83 (série 07 d’amendements), avec un écart maximal de </w:t>
      </w:r>
      <w:r w:rsidRPr="004156C2">
        <w:rPr>
          <w:rFonts w:eastAsia="MS Mincho"/>
          <w:lang w:val="fr-FR"/>
        </w:rPr>
        <w:sym w:font="Symbol" w:char="F0B1"/>
      </w:r>
      <w:r w:rsidR="00797FC4">
        <w:rPr>
          <w:rFonts w:eastAsia="MS Mincho"/>
          <w:lang w:val="fr-FR"/>
        </w:rPr>
        <w:t xml:space="preserve"> </w:t>
      </w:r>
      <w:r w:rsidRPr="004156C2">
        <w:rPr>
          <w:rFonts w:eastAsia="MS Mincho"/>
          <w:lang w:val="fr-FR"/>
        </w:rPr>
        <w:t xml:space="preserve">2 °C à tout moment. L’écart de température moyen par rapport au profil, calculé sur la base de la valeur absolue de chaque écart mesuré, ne doit pas dépasser </w:t>
      </w:r>
      <w:r w:rsidRPr="004156C2">
        <w:rPr>
          <w:rFonts w:eastAsia="MS Mincho"/>
          <w:lang w:val="fr-FR"/>
        </w:rPr>
        <w:sym w:font="Symbol" w:char="F0B1"/>
      </w:r>
      <w:r w:rsidR="00797FC4">
        <w:rPr>
          <w:rFonts w:eastAsia="MS Mincho"/>
          <w:lang w:val="fr-FR"/>
        </w:rPr>
        <w:t xml:space="preserve"> </w:t>
      </w:r>
      <w:r w:rsidRPr="004156C2">
        <w:rPr>
          <w:rFonts w:eastAsia="MS Mincho"/>
          <w:lang w:val="fr-FR"/>
        </w:rPr>
        <w:t xml:space="preserve">1 °C. La température ambiante doit être mesurée et consignée au moins toutes les minutes. Le cycle de température commence au temps </w:t>
      </w:r>
      <w:proofErr w:type="spellStart"/>
      <w:r w:rsidRPr="004156C2">
        <w:rPr>
          <w:rFonts w:eastAsia="MS Mincho"/>
          <w:lang w:val="fr-FR"/>
        </w:rPr>
        <w:t>T</w:t>
      </w:r>
      <w:r w:rsidRPr="004156C2">
        <w:rPr>
          <w:rFonts w:eastAsia="MS Mincho"/>
          <w:vertAlign w:val="subscript"/>
          <w:lang w:val="fr-FR"/>
        </w:rPr>
        <w:t>start</w:t>
      </w:r>
      <w:proofErr w:type="spellEnd"/>
      <w:r w:rsidRPr="004156C2">
        <w:rPr>
          <w:rFonts w:eastAsia="MS Mincho"/>
          <w:lang w:val="fr-FR"/>
        </w:rPr>
        <w:t xml:space="preserve"> = 0, comme </w:t>
      </w:r>
      <w:r>
        <w:rPr>
          <w:rFonts w:eastAsia="MS Mincho"/>
          <w:lang w:val="fr-FR"/>
        </w:rPr>
        <w:t xml:space="preserve">indiqué </w:t>
      </w:r>
      <w:r w:rsidRPr="004156C2">
        <w:rPr>
          <w:rFonts w:eastAsia="MS Mincho"/>
          <w:lang w:val="fr-FR"/>
        </w:rPr>
        <w:t>au paragraphe 6.5.</w:t>
      </w:r>
      <w:r>
        <w:rPr>
          <w:rFonts w:eastAsia="MS Mincho"/>
          <w:lang w:val="fr-FR"/>
        </w:rPr>
        <w:t>9</w:t>
      </w:r>
      <w:r w:rsidRPr="004156C2">
        <w:rPr>
          <w:rFonts w:eastAsia="MS Mincho"/>
          <w:lang w:val="fr-FR"/>
        </w:rPr>
        <w:t>.6 de la présente annexe.</w:t>
      </w:r>
    </w:p>
    <w:p w14:paraId="3038722B" w14:textId="77777777" w:rsidR="00312EE0" w:rsidRPr="004156C2" w:rsidRDefault="00312EE0" w:rsidP="00312EE0">
      <w:pPr>
        <w:pStyle w:val="SingleTxtG"/>
        <w:ind w:left="2268" w:hanging="1134"/>
        <w:rPr>
          <w:rFonts w:eastAsia="MS Mincho"/>
          <w:lang w:val="fr-FR"/>
        </w:rPr>
      </w:pPr>
      <w:r w:rsidRPr="004156C2">
        <w:rPr>
          <w:rFonts w:eastAsia="MS Mincho"/>
          <w:lang w:val="fr-FR"/>
        </w:rPr>
        <w:t>6.5.9.2</w:t>
      </w:r>
      <w:r w:rsidRPr="004156C2">
        <w:rPr>
          <w:rFonts w:eastAsia="MS Mincho"/>
          <w:lang w:val="fr-FR"/>
        </w:rPr>
        <w:tab/>
        <w:t>L’enceinte doit être purgée pendant plusieurs minutes immédiatement avant l’essai jusqu’à obtention d’un niveau ambiant stable. Le ou les ventilateurs de mélange de la chambre doivent également être en fonction à ce moment.</w:t>
      </w:r>
    </w:p>
    <w:p w14:paraId="0080BAC9" w14:textId="77777777" w:rsidR="00312EE0" w:rsidRPr="004156C2" w:rsidRDefault="00312EE0" w:rsidP="00312EE0">
      <w:pPr>
        <w:pStyle w:val="SingleTxtG"/>
        <w:ind w:left="2268" w:hanging="1134"/>
        <w:rPr>
          <w:rFonts w:eastAsia="MS Mincho"/>
          <w:lang w:val="fr-FR"/>
        </w:rPr>
      </w:pPr>
      <w:r w:rsidRPr="004156C2">
        <w:rPr>
          <w:rFonts w:eastAsia="MS Mincho"/>
          <w:lang w:val="fr-FR"/>
        </w:rPr>
        <w:t>6.5.9.3</w:t>
      </w:r>
      <w:r w:rsidRPr="004156C2">
        <w:rPr>
          <w:rFonts w:eastAsia="MS Mincho"/>
          <w:lang w:val="fr-FR"/>
        </w:rPr>
        <w:tab/>
      </w:r>
      <w:r w:rsidRPr="004156C2">
        <w:rPr>
          <w:rFonts w:eastAsia="MS Mincho"/>
          <w:spacing w:val="-2"/>
          <w:lang w:val="fr-FR"/>
        </w:rPr>
        <w:t xml:space="preserve">Le véhicule soumis à l’essai, groupe motopropulseur arrêté et vitres et compartiment(s) à </w:t>
      </w:r>
      <w:r w:rsidRPr="004156C2">
        <w:rPr>
          <w:rFonts w:eastAsia="MS Mincho"/>
          <w:lang w:val="fr-FR"/>
        </w:rPr>
        <w:t>bagages ouverts, doit être poussé dans la chambre de mesure. Le ou les ventilateurs de mélange doivent être réglés de manière à maintenir une vitesse de circulation d’air minimale de 8 km/h sous le réservoir de carburant du véhicule.</w:t>
      </w:r>
    </w:p>
    <w:p w14:paraId="658A585B" w14:textId="77777777" w:rsidR="00312EE0" w:rsidRPr="004156C2" w:rsidRDefault="00312EE0" w:rsidP="00312EE0">
      <w:pPr>
        <w:pStyle w:val="SingleTxtG"/>
        <w:ind w:left="2268" w:hanging="1134"/>
        <w:rPr>
          <w:rFonts w:eastAsia="MS Mincho"/>
          <w:lang w:val="fr-FR"/>
        </w:rPr>
      </w:pPr>
      <w:r w:rsidRPr="004156C2">
        <w:rPr>
          <w:rFonts w:eastAsia="MS Mincho"/>
          <w:lang w:val="fr-FR"/>
        </w:rPr>
        <w:t>6.5.9.4</w:t>
      </w:r>
      <w:r w:rsidRPr="004156C2">
        <w:rPr>
          <w:rFonts w:eastAsia="MS Mincho"/>
          <w:lang w:val="fr-FR"/>
        </w:rPr>
        <w:tab/>
        <w:t>L’analyseur d’hydrocarbures doit être mis à zéro et calibré immédiatement avant l’essai.</w:t>
      </w:r>
    </w:p>
    <w:p w14:paraId="076C82C4" w14:textId="77777777" w:rsidR="00312EE0" w:rsidRPr="004156C2" w:rsidRDefault="00312EE0" w:rsidP="00312EE0">
      <w:pPr>
        <w:pStyle w:val="SingleTxtG"/>
        <w:ind w:left="2268" w:hanging="1134"/>
        <w:rPr>
          <w:rFonts w:eastAsia="MS Mincho"/>
          <w:lang w:val="fr-FR"/>
        </w:rPr>
      </w:pPr>
      <w:r w:rsidRPr="004156C2">
        <w:rPr>
          <w:rFonts w:eastAsia="MS Mincho"/>
          <w:lang w:val="fr-FR"/>
        </w:rPr>
        <w:t>6.5.9.5</w:t>
      </w:r>
      <w:r w:rsidRPr="004156C2">
        <w:rPr>
          <w:rFonts w:eastAsia="MS Mincho"/>
          <w:lang w:val="fr-FR"/>
        </w:rPr>
        <w:tab/>
        <w:t>Les portes de l’enceinte doivent être fermées et rendues étanches aux gaz.</w:t>
      </w:r>
    </w:p>
    <w:p w14:paraId="68E140C3" w14:textId="77777777" w:rsidR="00312EE0" w:rsidRPr="004156C2" w:rsidRDefault="00312EE0" w:rsidP="00312EE0">
      <w:pPr>
        <w:pStyle w:val="SingleTxtG"/>
        <w:ind w:left="2268" w:hanging="1134"/>
        <w:rPr>
          <w:rFonts w:eastAsia="MS Mincho"/>
          <w:lang w:val="fr-FR"/>
        </w:rPr>
      </w:pPr>
      <w:r w:rsidRPr="004156C2">
        <w:rPr>
          <w:rFonts w:eastAsia="MS Mincho"/>
          <w:lang w:val="fr-FR"/>
        </w:rPr>
        <w:t>6.5.9.6</w:t>
      </w:r>
      <w:r w:rsidRPr="004156C2">
        <w:rPr>
          <w:rFonts w:eastAsia="MS Mincho"/>
          <w:lang w:val="fr-FR"/>
        </w:rPr>
        <w:tab/>
      </w:r>
      <w:r w:rsidRPr="004156C2">
        <w:rPr>
          <w:rFonts w:eastAsia="MS Mincho"/>
          <w:spacing w:val="-2"/>
          <w:lang w:val="fr-FR"/>
        </w:rPr>
        <w:t xml:space="preserve">Dans les </w:t>
      </w:r>
      <w:r>
        <w:rPr>
          <w:rFonts w:eastAsia="MS Mincho"/>
          <w:spacing w:val="-2"/>
          <w:lang w:val="fr-FR"/>
        </w:rPr>
        <w:t>10</w:t>
      </w:r>
      <w:r w:rsidRPr="004156C2">
        <w:rPr>
          <w:rFonts w:eastAsia="MS Mincho"/>
          <w:spacing w:val="-2"/>
          <w:lang w:val="fr-FR"/>
        </w:rPr>
        <w:t xml:space="preserve"> min qui suivent la fermeture et l’étanchéification des portes,</w:t>
      </w:r>
      <w:r w:rsidRPr="004156C2">
        <w:rPr>
          <w:rFonts w:eastAsia="MS Mincho"/>
          <w:lang w:val="fr-FR"/>
        </w:rPr>
        <w:t xml:space="preserve"> la concentration en hydrocarbures, la pression atmosphérique et la température doivent être mesurées pour déterminer les valeurs initiales de la concentration d’hydrocarbures dans l’enceinte, </w:t>
      </w:r>
      <w:proofErr w:type="spellStart"/>
      <w:r w:rsidRPr="004156C2">
        <w:rPr>
          <w:rFonts w:eastAsia="MS Mincho"/>
          <w:lang w:val="fr-FR"/>
        </w:rPr>
        <w:t>C</w:t>
      </w:r>
      <w:r w:rsidRPr="004156C2">
        <w:rPr>
          <w:rFonts w:eastAsia="MS Mincho"/>
          <w:vertAlign w:val="subscript"/>
          <w:lang w:val="fr-FR"/>
        </w:rPr>
        <w:t>HCi</w:t>
      </w:r>
      <w:proofErr w:type="spellEnd"/>
      <w:r w:rsidRPr="004156C2">
        <w:rPr>
          <w:rFonts w:eastAsia="MS Mincho"/>
          <w:lang w:val="fr-FR"/>
        </w:rPr>
        <w:t>, de la pression atmosphérique, P</w:t>
      </w:r>
      <w:r w:rsidRPr="004156C2">
        <w:rPr>
          <w:rFonts w:eastAsia="MS Mincho"/>
          <w:vertAlign w:val="subscript"/>
          <w:lang w:val="fr-FR"/>
        </w:rPr>
        <w:t>i</w:t>
      </w:r>
      <w:r w:rsidRPr="004156C2">
        <w:rPr>
          <w:rFonts w:eastAsia="MS Mincho"/>
          <w:lang w:val="fr-FR"/>
        </w:rPr>
        <w:t>, et de la température ambiante de la chambre, T</w:t>
      </w:r>
      <w:r w:rsidRPr="004156C2">
        <w:rPr>
          <w:rFonts w:eastAsia="MS Mincho"/>
          <w:vertAlign w:val="subscript"/>
          <w:lang w:val="fr-FR"/>
        </w:rPr>
        <w:t>i</w:t>
      </w:r>
      <w:r w:rsidRPr="004156C2">
        <w:rPr>
          <w:rFonts w:eastAsia="MS Mincho"/>
          <w:lang w:val="fr-FR"/>
        </w:rPr>
        <w:t xml:space="preserve">, pour l’essai diurne. </w:t>
      </w:r>
      <w:proofErr w:type="spellStart"/>
      <w:r w:rsidRPr="004156C2">
        <w:rPr>
          <w:rFonts w:eastAsia="MS Mincho"/>
          <w:lang w:val="fr-FR"/>
        </w:rPr>
        <w:t>T</w:t>
      </w:r>
      <w:r w:rsidRPr="004156C2">
        <w:rPr>
          <w:rFonts w:eastAsia="MS Mincho"/>
          <w:vertAlign w:val="subscript"/>
          <w:lang w:val="fr-FR"/>
        </w:rPr>
        <w:t>start</w:t>
      </w:r>
      <w:proofErr w:type="spellEnd"/>
      <w:r w:rsidRPr="004156C2">
        <w:rPr>
          <w:rFonts w:eastAsia="MS Mincho"/>
          <w:lang w:val="fr-FR"/>
        </w:rPr>
        <w:t xml:space="preserve"> = 0 commence à cet instant.</w:t>
      </w:r>
    </w:p>
    <w:p w14:paraId="247E7573" w14:textId="77777777" w:rsidR="00312EE0" w:rsidRPr="004156C2" w:rsidRDefault="00312EE0" w:rsidP="00312EE0">
      <w:pPr>
        <w:pStyle w:val="SingleTxtG"/>
        <w:ind w:left="2268" w:hanging="1134"/>
        <w:rPr>
          <w:rFonts w:eastAsia="MS Mincho"/>
          <w:lang w:val="fr-FR"/>
        </w:rPr>
      </w:pPr>
      <w:r w:rsidRPr="004156C2">
        <w:rPr>
          <w:rFonts w:eastAsia="MS Mincho"/>
          <w:lang w:val="fr-FR"/>
        </w:rPr>
        <w:t>6.5.9.7</w:t>
      </w:r>
      <w:r w:rsidRPr="004156C2">
        <w:rPr>
          <w:rFonts w:eastAsia="MS Mincho"/>
          <w:lang w:val="fr-FR"/>
        </w:rPr>
        <w:tab/>
        <w:t>L’analyseur d’hydrocarbures doit être mis à zéro et calibré immédiatement avant la fin de chaque période de mesure des émissions.</w:t>
      </w:r>
    </w:p>
    <w:p w14:paraId="226C72E1" w14:textId="77777777" w:rsidR="00312EE0" w:rsidRPr="004156C2" w:rsidRDefault="00312EE0" w:rsidP="00312EE0">
      <w:pPr>
        <w:pStyle w:val="SingleTxtG"/>
        <w:ind w:left="2268" w:hanging="1134"/>
        <w:rPr>
          <w:rFonts w:eastAsia="MS Mincho"/>
          <w:lang w:val="fr-FR"/>
        </w:rPr>
      </w:pPr>
      <w:r w:rsidRPr="004156C2">
        <w:rPr>
          <w:rFonts w:eastAsia="MS Mincho"/>
          <w:lang w:val="fr-FR"/>
        </w:rPr>
        <w:t>6.5.9.8</w:t>
      </w:r>
      <w:r w:rsidRPr="004156C2">
        <w:rPr>
          <w:rFonts w:eastAsia="MS Mincho"/>
          <w:lang w:val="fr-FR"/>
        </w:rPr>
        <w:tab/>
        <w:t>La fin de la première et de la deuxième période de mesure des émissions se situe respectivement 24 h </w:t>
      </w:r>
      <w:r w:rsidRPr="004156C2">
        <w:rPr>
          <w:rFonts w:eastAsia="MS Mincho"/>
          <w:lang w:val="fr-FR"/>
        </w:rPr>
        <w:sym w:font="Symbol" w:char="F0B1"/>
      </w:r>
      <w:r w:rsidRPr="004156C2">
        <w:rPr>
          <w:rFonts w:eastAsia="MS Mincho"/>
          <w:lang w:val="fr-FR"/>
        </w:rPr>
        <w:t> 6 mn et 48 h </w:t>
      </w:r>
      <w:r w:rsidRPr="004156C2">
        <w:rPr>
          <w:rFonts w:eastAsia="MS Mincho"/>
          <w:lang w:val="fr-FR"/>
        </w:rPr>
        <w:sym w:font="Symbol" w:char="F0B1"/>
      </w:r>
      <w:r w:rsidRPr="004156C2">
        <w:rPr>
          <w:rFonts w:eastAsia="MS Mincho"/>
          <w:lang w:val="fr-FR"/>
        </w:rPr>
        <w:t xml:space="preserve"> 6 mn après le début de la mesure initiale, comme </w:t>
      </w:r>
      <w:r>
        <w:rPr>
          <w:rFonts w:eastAsia="MS Mincho"/>
          <w:lang w:val="fr-FR"/>
        </w:rPr>
        <w:t xml:space="preserve">indiqué </w:t>
      </w:r>
      <w:r w:rsidRPr="004156C2">
        <w:rPr>
          <w:rFonts w:eastAsia="MS Mincho"/>
          <w:lang w:val="fr-FR"/>
        </w:rPr>
        <w:t>au paragraphe 6.5.</w:t>
      </w:r>
      <w:r>
        <w:rPr>
          <w:rFonts w:eastAsia="MS Mincho"/>
          <w:lang w:val="fr-FR"/>
        </w:rPr>
        <w:t>9</w:t>
      </w:r>
      <w:r w:rsidRPr="004156C2">
        <w:rPr>
          <w:rFonts w:eastAsia="MS Mincho"/>
          <w:lang w:val="fr-FR"/>
        </w:rPr>
        <w:t>.6 de la présente annexe. Le temps écoulé doit être enregistré.</w:t>
      </w:r>
    </w:p>
    <w:p w14:paraId="357FDAC2" w14:textId="77777777" w:rsidR="00312EE0" w:rsidRPr="004156C2" w:rsidRDefault="00312EE0" w:rsidP="00312EE0">
      <w:pPr>
        <w:pStyle w:val="SingleTxtG"/>
        <w:ind w:left="2268"/>
        <w:rPr>
          <w:rFonts w:eastAsia="MS Mincho"/>
          <w:spacing w:val="1"/>
          <w:lang w:val="fr-FR"/>
        </w:rPr>
      </w:pPr>
      <w:r w:rsidRPr="004156C2">
        <w:rPr>
          <w:rFonts w:eastAsia="MS Mincho"/>
          <w:spacing w:val="1"/>
          <w:lang w:val="fr-FR"/>
        </w:rPr>
        <w:tab/>
        <w:t xml:space="preserve">À la fin de chaque période de mesure des émissions, la concentration des hydrocarbures, la pression atmosphérique et la température doivent être mesurées et utilisées pour calculer les résultats des essais diurnes à l’aide de l’équation visée au paragraphe 7.1 de la présente annexe. Le résultat obtenu </w:t>
      </w:r>
      <w:r w:rsidRPr="004156C2">
        <w:rPr>
          <w:rFonts w:eastAsia="MS Mincho"/>
          <w:spacing w:val="1"/>
          <w:lang w:val="fr-FR"/>
        </w:rPr>
        <w:lastRenderedPageBreak/>
        <w:t>pour les premières 24 h est enregistré sous la référence M</w:t>
      </w:r>
      <w:r w:rsidRPr="004156C2">
        <w:rPr>
          <w:rFonts w:eastAsia="MS Mincho"/>
          <w:spacing w:val="1"/>
          <w:vertAlign w:val="subscript"/>
          <w:lang w:val="fr-FR"/>
        </w:rPr>
        <w:t>D1</w:t>
      </w:r>
      <w:r w:rsidRPr="004156C2">
        <w:rPr>
          <w:rFonts w:eastAsia="MS Mincho"/>
          <w:spacing w:val="1"/>
          <w:lang w:val="fr-FR"/>
        </w:rPr>
        <w:t>. Le résultat obtenu pour les deuxièmes 24 h est enregistré sous la référence M</w:t>
      </w:r>
      <w:r w:rsidRPr="004156C2">
        <w:rPr>
          <w:rFonts w:eastAsia="MS Mincho"/>
          <w:spacing w:val="1"/>
          <w:vertAlign w:val="subscript"/>
          <w:lang w:val="fr-FR"/>
        </w:rPr>
        <w:t>D2</w:t>
      </w:r>
      <w:r w:rsidRPr="004156C2">
        <w:rPr>
          <w:rFonts w:eastAsia="MS Mincho"/>
          <w:spacing w:val="1"/>
          <w:lang w:val="fr-FR"/>
        </w:rPr>
        <w:t>.</w:t>
      </w:r>
    </w:p>
    <w:p w14:paraId="04F82716"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w:t>
      </w:r>
      <w:r w:rsidRPr="004156C2">
        <w:rPr>
          <w:rFonts w:eastAsia="MS Mincho"/>
          <w:szCs w:val="24"/>
          <w:lang w:val="fr-FR" w:eastAsia="ja-JP"/>
        </w:rPr>
        <w:tab/>
        <w:t>Procédure d’essai continue pour les systèmes de réservoirs étanches</w:t>
      </w:r>
    </w:p>
    <w:p w14:paraId="3F002BF8"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w:t>
      </w:r>
      <w:r w:rsidRPr="004156C2">
        <w:rPr>
          <w:rFonts w:eastAsia="MS Mincho"/>
          <w:szCs w:val="24"/>
          <w:lang w:val="fr-FR" w:eastAsia="ja-JP"/>
        </w:rPr>
        <w:tab/>
        <w:t>Si la pression de décharge du réservoir de carburant est supérieure ou égale à 30 kPa :</w:t>
      </w:r>
    </w:p>
    <w:p w14:paraId="04A38CAF" w14:textId="77777777" w:rsidR="00312EE0" w:rsidRPr="004156C2" w:rsidRDefault="00312EE0" w:rsidP="00312EE0">
      <w:pPr>
        <w:pStyle w:val="SingleTxtG"/>
        <w:keepNext/>
        <w:ind w:left="2268" w:hanging="1134"/>
        <w:rPr>
          <w:rFonts w:eastAsia="MS Mincho"/>
          <w:lang w:val="fr-FR" w:eastAsia="ja-JP"/>
        </w:rPr>
      </w:pPr>
      <w:r w:rsidRPr="004156C2">
        <w:rPr>
          <w:rFonts w:eastAsia="MS Mincho"/>
          <w:lang w:val="fr-FR" w:eastAsia="ja-JP"/>
        </w:rPr>
        <w:t>6.6.1.1</w:t>
      </w:r>
      <w:r w:rsidRPr="004156C2">
        <w:rPr>
          <w:rFonts w:eastAsia="MS Mincho"/>
          <w:lang w:val="fr-FR" w:eastAsia="ja-JP"/>
        </w:rPr>
        <w:tab/>
        <w:t xml:space="preserve">L’essai doit être réalisé comme décrit aux </w:t>
      </w:r>
      <w:r w:rsidRPr="004156C2">
        <w:rPr>
          <w:rFonts w:eastAsia="MS Mincho"/>
          <w:lang w:val="fr-FR"/>
        </w:rPr>
        <w:t xml:space="preserve">paragraphes </w:t>
      </w:r>
      <w:r w:rsidRPr="004156C2">
        <w:rPr>
          <w:rFonts w:eastAsia="MS Mincho"/>
          <w:lang w:val="fr-FR" w:eastAsia="ja-JP"/>
        </w:rPr>
        <w:t xml:space="preserve">6.5.1 à </w:t>
      </w:r>
      <w:r w:rsidRPr="004156C2">
        <w:rPr>
          <w:rFonts w:eastAsia="MS Mincho"/>
          <w:lang w:val="fr-FR"/>
        </w:rPr>
        <w:t>6.</w:t>
      </w:r>
      <w:r w:rsidRPr="004156C2">
        <w:rPr>
          <w:rFonts w:eastAsia="MS Mincho"/>
          <w:lang w:val="fr-FR" w:eastAsia="ja-JP"/>
        </w:rPr>
        <w:t>5</w:t>
      </w:r>
      <w:r w:rsidRPr="004156C2">
        <w:rPr>
          <w:rFonts w:eastAsia="MS Mincho"/>
          <w:lang w:val="fr-FR"/>
        </w:rPr>
        <w:t>.</w:t>
      </w:r>
      <w:r w:rsidRPr="004156C2">
        <w:rPr>
          <w:rFonts w:eastAsia="MS Mincho"/>
          <w:lang w:val="fr-FR" w:eastAsia="ja-JP"/>
        </w:rPr>
        <w:t>3</w:t>
      </w:r>
      <w:r w:rsidRPr="004156C2">
        <w:rPr>
          <w:rFonts w:eastAsia="MS Mincho"/>
          <w:lang w:val="fr-FR"/>
        </w:rPr>
        <w:t xml:space="preserve"> de la présente annexe</w:t>
      </w:r>
      <w:r w:rsidRPr="004156C2">
        <w:rPr>
          <w:rFonts w:eastAsia="MS Mincho"/>
          <w:lang w:val="fr-FR" w:eastAsia="ja-JP"/>
        </w:rPr>
        <w:t>.</w:t>
      </w:r>
    </w:p>
    <w:p w14:paraId="1158C2E9" w14:textId="77777777" w:rsidR="00312EE0" w:rsidRPr="004156C2" w:rsidRDefault="00312EE0" w:rsidP="00312EE0">
      <w:pPr>
        <w:pStyle w:val="SingleTxtG"/>
        <w:keepNext/>
        <w:ind w:left="2268" w:hanging="1134"/>
        <w:rPr>
          <w:rFonts w:eastAsia="MS Mincho"/>
          <w:lang w:val="fr-FR" w:eastAsia="ja-JP"/>
        </w:rPr>
      </w:pPr>
      <w:r w:rsidRPr="004156C2">
        <w:rPr>
          <w:rFonts w:eastAsia="MS Mincho"/>
          <w:lang w:val="fr-FR" w:eastAsia="ja-JP"/>
        </w:rPr>
        <w:t>6.6.1.2</w:t>
      </w:r>
      <w:r w:rsidRPr="004156C2">
        <w:rPr>
          <w:rFonts w:eastAsia="MS Mincho"/>
          <w:lang w:val="fr-FR" w:eastAsia="ja-JP"/>
        </w:rPr>
        <w:tab/>
        <w:t>Vidange et remplissage du réservoir</w:t>
      </w:r>
    </w:p>
    <w:p w14:paraId="153A1401" w14:textId="77777777" w:rsidR="00312EE0" w:rsidRPr="004156C2" w:rsidRDefault="00312EE0" w:rsidP="00312EE0">
      <w:pPr>
        <w:pStyle w:val="SingleTxtG"/>
        <w:ind w:left="2268"/>
        <w:rPr>
          <w:rFonts w:eastAsia="MS Mincho"/>
          <w:szCs w:val="24"/>
          <w:lang w:val="fr-FR" w:eastAsia="ja-JP"/>
        </w:rPr>
      </w:pPr>
      <w:r w:rsidRPr="004156C2">
        <w:rPr>
          <w:rFonts w:eastAsia="MS Mincho"/>
          <w:szCs w:val="24"/>
          <w:lang w:val="fr-FR" w:eastAsia="ja-JP"/>
        </w:rPr>
        <w:t xml:space="preserve">Dans l’heure qui suit la fin du parcours de </w:t>
      </w:r>
      <w:proofErr w:type="spellStart"/>
      <w:r w:rsidRPr="004156C2">
        <w:rPr>
          <w:rFonts w:eastAsia="MS Mincho"/>
          <w:szCs w:val="24"/>
          <w:lang w:val="fr-FR" w:eastAsia="ja-JP"/>
        </w:rPr>
        <w:t>préconditionnement</w:t>
      </w:r>
      <w:proofErr w:type="spellEnd"/>
      <w:r w:rsidRPr="004156C2">
        <w:rPr>
          <w:rFonts w:eastAsia="MS Mincho"/>
          <w:szCs w:val="24"/>
          <w:lang w:val="fr-FR" w:eastAsia="ja-JP"/>
        </w:rPr>
        <w:t xml:space="preserve">, le réservoir de carburant du véhicule </w:t>
      </w:r>
      <w:r w:rsidRPr="004156C2">
        <w:rPr>
          <w:rFonts w:eastAsia="MS Mincho"/>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 dans le cas contraire, 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doit être déconnecté. </w:t>
      </w:r>
      <w:r w:rsidRPr="004156C2">
        <w:rPr>
          <w:rFonts w:eastAsia="MS Mincho"/>
          <w:lang w:val="fr-FR"/>
        </w:rPr>
        <w:t xml:space="preserve">Le réservoir doit être rempli avec du carburant de référence, à une température de </w:t>
      </w:r>
      <w:r w:rsidRPr="004156C2">
        <w:rPr>
          <w:rFonts w:eastAsia="MS Mincho"/>
          <w:szCs w:val="24"/>
          <w:lang w:val="fr-FR" w:eastAsia="ja-JP"/>
        </w:rPr>
        <w:t>18</w:t>
      </w:r>
      <w:r>
        <w:rPr>
          <w:rFonts w:eastAsia="MS Mincho"/>
          <w:szCs w:val="24"/>
          <w:lang w:val="fr-FR" w:eastAsia="ja-JP"/>
        </w:rPr>
        <w:t xml:space="preserve">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 à 15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w:t>
      </w:r>
    </w:p>
    <w:p w14:paraId="701E160B"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 xml:space="preserve">6.6.1.3 </w:t>
      </w:r>
      <w:r w:rsidRPr="004156C2">
        <w:rPr>
          <w:rFonts w:eastAsia="MS Mincho"/>
          <w:szCs w:val="24"/>
          <w:lang w:val="fr-FR" w:eastAsia="ja-JP"/>
        </w:rPr>
        <w:tab/>
        <w:t>Stabilisation</w:t>
      </w:r>
    </w:p>
    <w:p w14:paraId="4D40A03A" w14:textId="77777777" w:rsidR="00312EE0" w:rsidRPr="004156C2" w:rsidRDefault="00312EE0" w:rsidP="00312EE0">
      <w:pPr>
        <w:pStyle w:val="SingleTxtG"/>
        <w:ind w:left="2268"/>
        <w:rPr>
          <w:rFonts w:eastAsia="MS Mincho"/>
          <w:szCs w:val="24"/>
          <w:lang w:val="fr-FR" w:eastAsia="ja-JP"/>
        </w:rPr>
      </w:pPr>
      <w:r w:rsidRPr="004156C2">
        <w:rPr>
          <w:rFonts w:eastAsia="MS Mincho"/>
          <w:szCs w:val="24"/>
          <w:lang w:val="fr-FR" w:eastAsia="ja-JP"/>
        </w:rPr>
        <w:t xml:space="preserve">Dans les 5 min qui suivent l’achèvement de la vidange et du remplissage du réservoir, le véhicule doit être stabilisé pendant 6 à 36 h à une température ambiante de 20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 xml:space="preserve">2 °C. </w:t>
      </w:r>
    </w:p>
    <w:p w14:paraId="434FB134"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6.6.1.4</w:t>
      </w:r>
      <w:r w:rsidRPr="004156C2">
        <w:rPr>
          <w:rFonts w:eastAsia="MS Mincho"/>
          <w:szCs w:val="24"/>
          <w:lang w:val="fr-FR" w:eastAsia="ja-JP"/>
        </w:rPr>
        <w:tab/>
      </w:r>
      <w:r w:rsidRPr="004156C2">
        <w:rPr>
          <w:rFonts w:eastAsia="MS Mincho"/>
          <w:szCs w:val="24"/>
          <w:lang w:val="fr-FR" w:eastAsia="ja-JP"/>
        </w:rPr>
        <w:tab/>
        <w:t>Dépressurisation du réservoir</w:t>
      </w:r>
    </w:p>
    <w:p w14:paraId="634DF373"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La pression dans le réservoir doit ensuite être relâchée de manière à ce qu’elle ne monte pas anormalement. Pour cela, on peut ouvrir le bouchon du réservoir à carburant du véhicule</w:t>
      </w:r>
      <w:r w:rsidRPr="004156C2">
        <w:rPr>
          <w:rFonts w:eastAsia="MS Mincho"/>
          <w:color w:val="000000"/>
          <w:kern w:val="24"/>
          <w:lang w:val="fr-FR" w:eastAsia="ja-JP"/>
        </w:rPr>
        <w:t>. Quelle que soit la méthode de dépressurisation utilisée, le véhicule doit être ramené à son état initial dans un délai d</w:t>
      </w:r>
      <w:r>
        <w:rPr>
          <w:rFonts w:eastAsia="MS Mincho"/>
          <w:color w:val="000000"/>
          <w:kern w:val="24"/>
          <w:lang w:val="fr-FR" w:eastAsia="ja-JP"/>
        </w:rPr>
        <w:t xml:space="preserve">e 1 </w:t>
      </w:r>
      <w:r w:rsidRPr="004156C2">
        <w:rPr>
          <w:rFonts w:eastAsia="MS Mincho"/>
          <w:color w:val="000000"/>
          <w:kern w:val="24"/>
          <w:lang w:val="fr-FR" w:eastAsia="ja-JP"/>
        </w:rPr>
        <w:t>min.</w:t>
      </w:r>
      <w:r w:rsidRPr="004156C2">
        <w:rPr>
          <w:rFonts w:eastAsia="MS Mincho"/>
          <w:lang w:val="fr-FR"/>
        </w:rPr>
        <w:t xml:space="preserve"> </w:t>
      </w:r>
    </w:p>
    <w:p w14:paraId="408181A2" w14:textId="77777777" w:rsidR="00312EE0" w:rsidRPr="004156C2" w:rsidRDefault="00312EE0" w:rsidP="00312EE0">
      <w:pPr>
        <w:pStyle w:val="SingleTxtG"/>
        <w:keepNext/>
        <w:ind w:left="2268" w:hanging="1134"/>
        <w:rPr>
          <w:rFonts w:eastAsia="MS Mincho"/>
          <w:szCs w:val="24"/>
          <w:lang w:val="fr-FR" w:eastAsia="ja-JP"/>
        </w:rPr>
      </w:pPr>
      <w:r>
        <w:rPr>
          <w:rFonts w:eastAsia="MS Mincho"/>
          <w:szCs w:val="24"/>
          <w:lang w:val="fr-FR" w:eastAsia="ja-JP"/>
        </w:rPr>
        <w:t>6.6.1.5</w:t>
      </w:r>
      <w:r w:rsidRPr="004156C2">
        <w:rPr>
          <w:rFonts w:eastAsia="MS Mincho"/>
          <w:szCs w:val="24"/>
          <w:lang w:val="fr-FR" w:eastAsia="ja-JP"/>
        </w:rPr>
        <w:tab/>
        <w:t xml:space="preserve">Charge et purge du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w:t>
      </w:r>
    </w:p>
    <w:p w14:paraId="4356EB2F"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 xml:space="preserve">Le </w:t>
      </w:r>
      <w:proofErr w:type="spellStart"/>
      <w:r w:rsidRPr="004156C2">
        <w:rPr>
          <w:rFonts w:eastAsia="MS Mincho"/>
          <w:szCs w:val="24"/>
          <w:lang w:val="fr-FR" w:eastAsia="ja-JP"/>
        </w:rPr>
        <w:t>canister</w:t>
      </w:r>
      <w:proofErr w:type="spellEnd"/>
      <w:r w:rsidRPr="004156C2">
        <w:rPr>
          <w:rFonts w:eastAsia="MS Mincho"/>
          <w:szCs w:val="24"/>
          <w:lang w:val="fr-FR" w:eastAsia="ja-JP"/>
        </w:rPr>
        <w:t>, vieilli conformément à la procédure décrite au</w:t>
      </w:r>
      <w:r>
        <w:rPr>
          <w:rFonts w:eastAsia="MS Mincho"/>
          <w:szCs w:val="24"/>
          <w:lang w:val="fr-FR" w:eastAsia="ja-JP"/>
        </w:rPr>
        <w:t>x</w:t>
      </w:r>
      <w:r w:rsidRPr="004156C2">
        <w:rPr>
          <w:rFonts w:eastAsia="MS Mincho"/>
          <w:szCs w:val="24"/>
          <w:lang w:val="fr-FR" w:eastAsia="ja-JP"/>
        </w:rPr>
        <w:t xml:space="preserve"> paragraphe</w:t>
      </w:r>
      <w:r>
        <w:rPr>
          <w:rFonts w:eastAsia="MS Mincho"/>
          <w:szCs w:val="24"/>
          <w:lang w:val="fr-FR" w:eastAsia="ja-JP"/>
        </w:rPr>
        <w:t>s</w:t>
      </w:r>
      <w:r w:rsidRPr="004156C2">
        <w:rPr>
          <w:rFonts w:eastAsia="MS Mincho"/>
          <w:szCs w:val="24"/>
          <w:lang w:val="fr-FR" w:eastAsia="ja-JP"/>
        </w:rPr>
        <w:t xml:space="preserve"> 5.1 </w:t>
      </w:r>
      <w:r>
        <w:rPr>
          <w:rFonts w:eastAsia="MS Mincho"/>
          <w:szCs w:val="24"/>
          <w:lang w:val="fr-FR" w:eastAsia="ja-JP"/>
        </w:rPr>
        <w:t xml:space="preserve">à 5.1.3.1.3 </w:t>
      </w:r>
      <w:r w:rsidRPr="004156C2">
        <w:rPr>
          <w:rFonts w:eastAsia="MS Mincho"/>
          <w:szCs w:val="24"/>
          <w:lang w:val="fr-FR" w:eastAsia="ja-JP"/>
        </w:rPr>
        <w:t xml:space="preserve">de la présente annexe, doit être chargé jusqu’à atteindre une percée de 2 g conformément à la procédure décrite au paragraphe 5.1.6 de l’annexe 7 du Règlement </w:t>
      </w:r>
      <w:r>
        <w:rPr>
          <w:rFonts w:eastAsia="MS Mincho"/>
          <w:szCs w:val="24"/>
          <w:lang w:val="fr-FR" w:eastAsia="ja-JP"/>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83 (série 07 d’amendements)</w:t>
      </w:r>
      <w:r w:rsidRPr="004156C2">
        <w:rPr>
          <w:rFonts w:eastAsia="MS Mincho"/>
          <w:szCs w:val="24"/>
          <w:lang w:val="fr-FR" w:eastAsia="ja-JP"/>
        </w:rPr>
        <w:t xml:space="preserve">, puis purgé à </w:t>
      </w:r>
      <w:r>
        <w:rPr>
          <w:rFonts w:eastAsia="MS Mincho"/>
          <w:lang w:val="fr-FR"/>
        </w:rPr>
        <w:t>25 </w:t>
      </w:r>
      <w:r>
        <w:rPr>
          <w:rFonts w:eastAsia="MS Mincho"/>
          <w:lang w:val="fr-FR"/>
        </w:rPr>
        <w:sym w:font="Symbol" w:char="F0B1"/>
      </w:r>
      <w:r>
        <w:rPr>
          <w:rFonts w:eastAsia="MS Mincho"/>
          <w:lang w:val="fr-FR"/>
        </w:rPr>
        <w:t> </w:t>
      </w:r>
      <w:r w:rsidRPr="004156C2">
        <w:rPr>
          <w:rFonts w:eastAsia="MS Mincho"/>
          <w:lang w:val="fr-FR"/>
        </w:rPr>
        <w:t>5 l/min avec de l’air du laboratoire</w:t>
      </w:r>
      <w:r w:rsidRPr="004156C2">
        <w:rPr>
          <w:rFonts w:eastAsia="MS Mincho"/>
          <w:szCs w:val="24"/>
          <w:lang w:val="fr-FR" w:eastAsia="ja-JP"/>
        </w:rPr>
        <w:t xml:space="preserve">. Le volume d’air de purge ne doit pas dépasser le volume indiqué au paragraphe 6.6.1.5.1. Cette opération de charge et de purge peut être effectuée en laissant 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à bord du véhicule (à une température ambiante de 20 °C ou 23 °C) ou en déconnectant le </w:t>
      </w:r>
      <w:proofErr w:type="spellStart"/>
      <w:r w:rsidRPr="004156C2">
        <w:rPr>
          <w:rFonts w:eastAsia="MS Mincho"/>
          <w:szCs w:val="24"/>
          <w:lang w:val="fr-FR" w:eastAsia="ja-JP"/>
        </w:rPr>
        <w:t>canister</w:t>
      </w:r>
      <w:proofErr w:type="spellEnd"/>
      <w:r w:rsidRPr="004156C2">
        <w:rPr>
          <w:rFonts w:eastAsia="MS Mincho"/>
          <w:szCs w:val="24"/>
          <w:lang w:val="fr-FR" w:eastAsia="ja-JP"/>
        </w:rPr>
        <w:t>. Dans les deux cas, aucune dépressurisation supplémentaire du réservoir n’est autorisée.</w:t>
      </w:r>
    </w:p>
    <w:p w14:paraId="788940EA"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szCs w:val="24"/>
          <w:lang w:val="fr-FR" w:eastAsia="ja-JP"/>
        </w:rPr>
        <w:t xml:space="preserve">6.6.1.5.1 </w:t>
      </w:r>
      <w:r w:rsidRPr="004156C2">
        <w:rPr>
          <w:rFonts w:eastAsia="MS Mincho"/>
          <w:szCs w:val="24"/>
          <w:lang w:val="fr-FR" w:eastAsia="ja-JP"/>
        </w:rPr>
        <w:tab/>
        <w:t>Détermination du volume maximal de purge</w:t>
      </w:r>
    </w:p>
    <w:p w14:paraId="448C3EDA" w14:textId="77777777" w:rsidR="00312EE0" w:rsidRPr="004156C2" w:rsidRDefault="00312EE0" w:rsidP="00312EE0">
      <w:pPr>
        <w:pStyle w:val="SingleTxtG"/>
        <w:ind w:left="2268"/>
        <w:rPr>
          <w:rFonts w:eastAsia="MS Mincho"/>
          <w:szCs w:val="24"/>
          <w:lang w:val="fr-FR" w:eastAsia="ja-JP"/>
        </w:rPr>
      </w:pPr>
      <w:r w:rsidRPr="004156C2">
        <w:rPr>
          <w:rFonts w:eastAsia="MS Mincho"/>
          <w:szCs w:val="24"/>
          <w:lang w:val="fr-FR" w:eastAsia="ja-JP"/>
        </w:rPr>
        <w:t xml:space="preserve">Le volume maximal de purge </w:t>
      </w:r>
      <m:oMath>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max</m:t>
            </m:r>
          </m:sub>
        </m:sSub>
      </m:oMath>
      <w:r w:rsidRPr="004156C2">
        <w:rPr>
          <w:rFonts w:eastAsia="MS Mincho"/>
          <w:szCs w:val="24"/>
          <w:lang w:val="fr-FR" w:eastAsia="ja-JP"/>
        </w:rPr>
        <w:t xml:space="preserve"> est déte</w:t>
      </w:r>
      <w:r>
        <w:rPr>
          <w:rFonts w:eastAsia="MS Mincho"/>
          <w:szCs w:val="24"/>
          <w:lang w:val="fr-FR" w:eastAsia="ja-JP"/>
        </w:rPr>
        <w:t>rminé à l’aide de l’équation ci</w:t>
      </w:r>
      <w:r>
        <w:rPr>
          <w:rFonts w:eastAsia="MS Mincho"/>
          <w:szCs w:val="24"/>
          <w:lang w:val="fr-FR" w:eastAsia="ja-JP"/>
        </w:rPr>
        <w:noBreakHyphen/>
      </w:r>
      <w:r w:rsidRPr="004156C2">
        <w:rPr>
          <w:rFonts w:eastAsia="MS Mincho"/>
          <w:szCs w:val="24"/>
          <w:lang w:val="fr-FR" w:eastAsia="ja-JP"/>
        </w:rPr>
        <w:t>après.</w:t>
      </w:r>
      <w:r w:rsidRPr="004156C2">
        <w:rPr>
          <w:rFonts w:eastAsia="MS Mincho"/>
          <w:lang w:val="fr-FR"/>
        </w:rPr>
        <w:t xml:space="preserve"> </w:t>
      </w:r>
      <w:r w:rsidRPr="004156C2">
        <w:rPr>
          <w:rFonts w:eastAsia="MS Mincho"/>
          <w:lang w:val="fr-FR" w:eastAsia="ja-JP"/>
        </w:rPr>
        <w:t>Dans le cas des VHE-RE</w:t>
      </w:r>
      <w:r w:rsidRPr="004156C2">
        <w:rPr>
          <w:rFonts w:eastAsia="MS Mincho"/>
          <w:szCs w:val="24"/>
          <w:lang w:val="fr-FR" w:eastAsia="ja-JP"/>
        </w:rPr>
        <w:t xml:space="preserve">, le véhicule doit fonctionner en mode maintien de la charge. Cette détermination peut également se faire lors d’un essai distinct ou pendant le parcours de </w:t>
      </w:r>
      <w:proofErr w:type="spellStart"/>
      <w:r w:rsidRPr="004156C2">
        <w:rPr>
          <w:rFonts w:eastAsia="MS Mincho"/>
          <w:szCs w:val="24"/>
          <w:lang w:val="fr-FR" w:eastAsia="ja-JP"/>
        </w:rPr>
        <w:t>préconditionnement</w:t>
      </w:r>
      <w:proofErr w:type="spellEnd"/>
      <w:r w:rsidRPr="004156C2">
        <w:rPr>
          <w:rFonts w:eastAsia="MS Mincho"/>
          <w:szCs w:val="24"/>
          <w:lang w:val="fr-FR" w:eastAsia="ja-JP"/>
        </w:rPr>
        <w:t>.</w:t>
      </w:r>
    </w:p>
    <w:p w14:paraId="5354161F" w14:textId="77777777" w:rsidR="00312EE0" w:rsidRPr="003720BA" w:rsidRDefault="008C0C6D" w:rsidP="00312EE0">
      <w:pPr>
        <w:spacing w:after="120"/>
        <w:ind w:left="2268" w:right="1134"/>
        <w:jc w:val="both"/>
        <w:rPr>
          <w:rFonts w:eastAsia="MS Mincho"/>
          <w:szCs w:val="24"/>
          <w:lang w:val="fr-FR" w:eastAsia="ja-JP"/>
        </w:rPr>
      </w:pPr>
      <m:oMathPara>
        <m:oMathParaPr>
          <m:jc m:val="center"/>
        </m:oMathParaPr>
        <m:oMath>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max</m:t>
              </m:r>
            </m:sub>
          </m:sSub>
          <m:r>
            <m:rPr>
              <m:sty m:val="p"/>
            </m:rPr>
            <w:rPr>
              <w:rFonts w:ascii="Cambria Math" w:eastAsia="MS Mincho" w:hAnsi="Cambria Math"/>
              <w:szCs w:val="24"/>
              <w:lang w:val="fr-FR" w:eastAsia="ja-JP"/>
            </w:rPr>
            <m:t>=</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Pcycle</m:t>
              </m:r>
            </m:sub>
          </m:sSub>
          <m:r>
            <m:rPr>
              <m:sty m:val="p"/>
            </m:rPr>
            <w:rPr>
              <w:rFonts w:ascii="Cambria Math" w:eastAsia="MS Mincho" w:hAnsi="Cambria Math"/>
              <w:szCs w:val="24"/>
              <w:lang w:val="fr-FR" w:eastAsia="ja-JP"/>
            </w:rPr>
            <m:t xml:space="preserve"> × </m:t>
          </m:r>
          <m:f>
            <m:fPr>
              <m:ctrlPr>
                <w:rPr>
                  <w:rFonts w:ascii="Cambria Math" w:eastAsia="MS Mincho" w:hAnsi="Cambria Math"/>
                  <w:szCs w:val="24"/>
                  <w:lang w:val="fr-FR" w:eastAsia="ja-JP"/>
                </w:rPr>
              </m:ctrlPr>
            </m:fPr>
            <m:num>
              <m:r>
                <m:rPr>
                  <m:sty m:val="p"/>
                </m:rPr>
                <w:rPr>
                  <w:rFonts w:ascii="Cambria Math" w:eastAsia="MS Mincho" w:hAnsi="Cambria Math"/>
                  <w:szCs w:val="24"/>
                  <w:lang w:val="fr-FR" w:eastAsia="ja-JP"/>
                </w:rPr>
                <m:t>Vo</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l</m:t>
                  </m:r>
                </m:e>
                <m:sub>
                  <m:r>
                    <m:rPr>
                      <m:sty m:val="p"/>
                    </m:rPr>
                    <w:rPr>
                      <w:rFonts w:ascii="Cambria Math" w:eastAsia="MS Mincho" w:hAnsi="Cambria Math"/>
                      <w:szCs w:val="24"/>
                      <w:lang w:val="fr-FR" w:eastAsia="ja-JP"/>
                    </w:rPr>
                    <m:t>tank</m:t>
                  </m:r>
                </m:sub>
              </m:sSub>
              <m:r>
                <m:rPr>
                  <m:sty m:val="p"/>
                </m:rPr>
                <w:rPr>
                  <w:rFonts w:ascii="Cambria Math" w:eastAsia="MS Mincho" w:hAnsi="Cambria Math"/>
                  <w:szCs w:val="24"/>
                  <w:lang w:val="fr-FR" w:eastAsia="ja-JP"/>
                </w:rPr>
                <m:t xml:space="preserve"> × 0.85 ×</m:t>
              </m:r>
              <m:f>
                <m:fPr>
                  <m:ctrlPr>
                    <w:rPr>
                      <w:rFonts w:ascii="Cambria Math" w:eastAsia="MS Mincho" w:hAnsi="Cambria Math"/>
                      <w:szCs w:val="24"/>
                      <w:lang w:val="fr-FR" w:eastAsia="ja-JP"/>
                    </w:rPr>
                  </m:ctrlPr>
                </m:fPr>
                <m:num>
                  <m:r>
                    <m:rPr>
                      <m:sty m:val="p"/>
                    </m:rPr>
                    <w:rPr>
                      <w:rFonts w:ascii="Cambria Math" w:eastAsia="MS Mincho" w:hAnsi="Cambria Math"/>
                      <w:szCs w:val="24"/>
                      <w:lang w:val="fr-FR" w:eastAsia="ja-JP"/>
                    </w:rPr>
                    <m:t>100</m:t>
                  </m:r>
                </m:num>
                <m:den>
                  <m:r>
                    <m:rPr>
                      <m:sty m:val="p"/>
                    </m:rPr>
                    <w:rPr>
                      <w:rFonts w:ascii="Cambria Math" w:eastAsia="MS Mincho" w:hAnsi="Cambria Math"/>
                      <w:szCs w:val="24"/>
                      <w:lang w:val="fr-FR" w:eastAsia="ja-JP"/>
                    </w:rPr>
                    <m:t xml:space="preserve"> F</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C</m:t>
                      </m:r>
                    </m:e>
                    <m:sub>
                      <m:r>
                        <m:rPr>
                          <m:sty m:val="p"/>
                        </m:rPr>
                        <w:rPr>
                          <w:rFonts w:ascii="Cambria Math" w:eastAsia="MS Mincho" w:hAnsi="Cambria Math"/>
                          <w:szCs w:val="24"/>
                          <w:lang w:val="fr-FR" w:eastAsia="ja-JP"/>
                        </w:rPr>
                        <m:t>Pcycle</m:t>
                      </m:r>
                    </m:sub>
                  </m:sSub>
                </m:den>
              </m:f>
            </m:num>
            <m:den>
              <m:r>
                <m:rPr>
                  <m:sty m:val="p"/>
                </m:rPr>
                <w:rPr>
                  <w:rFonts w:ascii="Cambria Math" w:eastAsia="MS Mincho" w:hAnsi="Cambria Math"/>
                  <w:szCs w:val="24"/>
                  <w:lang w:val="fr-FR" w:eastAsia="ja-JP"/>
                </w:rPr>
                <m:t>Dis</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t</m:t>
                  </m:r>
                </m:e>
                <m:sub>
                  <m:r>
                    <m:rPr>
                      <m:sty m:val="p"/>
                    </m:rPr>
                    <w:rPr>
                      <w:rFonts w:ascii="Cambria Math" w:eastAsia="MS Mincho" w:hAnsi="Cambria Math"/>
                      <w:szCs w:val="24"/>
                      <w:lang w:val="fr-FR" w:eastAsia="ja-JP"/>
                    </w:rPr>
                    <m:t>Pcycle</m:t>
                  </m:r>
                </m:sub>
              </m:sSub>
            </m:den>
          </m:f>
        </m:oMath>
      </m:oMathPara>
    </w:p>
    <w:p w14:paraId="5BE196CD" w14:textId="77777777" w:rsidR="00312EE0" w:rsidRPr="004156C2" w:rsidRDefault="00312EE0" w:rsidP="00312EE0">
      <w:pPr>
        <w:pStyle w:val="SingleTxtG"/>
        <w:ind w:left="2268"/>
        <w:rPr>
          <w:lang w:val="fr-FR" w:eastAsia="ja-JP"/>
        </w:rPr>
      </w:pPr>
      <w:r>
        <w:rPr>
          <w:lang w:val="fr-FR" w:eastAsia="ja-JP"/>
        </w:rPr>
        <w:t>o</w:t>
      </w:r>
      <w:r w:rsidRPr="004156C2">
        <w:rPr>
          <w:lang w:val="fr-FR" w:eastAsia="ja-JP"/>
        </w:rPr>
        <w:t>ù :</w:t>
      </w:r>
    </w:p>
    <w:p w14:paraId="786313C1" w14:textId="77777777" w:rsidR="00312EE0" w:rsidRPr="004156C2" w:rsidRDefault="008C0C6D" w:rsidP="00312EE0">
      <w:pPr>
        <w:pStyle w:val="SingleTxtG"/>
        <w:ind w:left="3402" w:hanging="1134"/>
        <w:rPr>
          <w:lang w:val="fr-FR" w:eastAsia="ja-JP"/>
        </w:rPr>
      </w:pPr>
      <m:oMath>
        <m:sSub>
          <m:sSubPr>
            <m:ctrlPr>
              <w:rPr>
                <w:rFonts w:ascii="Cambria Math" w:hAnsi="Cambria Math"/>
                <w:lang w:val="fr-FR" w:eastAsia="ja-JP"/>
              </w:rPr>
            </m:ctrlPr>
          </m:sSubPr>
          <m:e>
            <m:r>
              <m:rPr>
                <m:sty m:val="p"/>
              </m:rPr>
              <w:rPr>
                <w:rFonts w:ascii="Cambria Math" w:hAnsi="Cambria Math"/>
                <w:lang w:val="fr-FR" w:eastAsia="ja-JP"/>
              </w:rPr>
              <m:t>Vol</m:t>
            </m:r>
          </m:e>
          <m:sub>
            <m:r>
              <m:rPr>
                <m:sty m:val="p"/>
              </m:rPr>
              <w:rPr>
                <w:rFonts w:ascii="Cambria Math" w:hAnsi="Cambria Math"/>
                <w:lang w:val="fr-FR" w:eastAsia="ja-JP"/>
              </w:rPr>
              <m:t>Pcycle</m:t>
            </m:r>
          </m:sub>
        </m:sSub>
        <m:r>
          <w:rPr>
            <w:rFonts w:ascii="Cambria Math" w:hAnsi="Cambria Math"/>
            <w:lang w:val="fr-FR" w:eastAsia="ja-JP"/>
          </w:rPr>
          <m:t xml:space="preserve"> </m:t>
        </m:r>
      </m:oMath>
      <w:r w:rsidR="00312EE0" w:rsidRPr="004156C2">
        <w:rPr>
          <w:lang w:val="fr-FR" w:eastAsia="ja-JP"/>
        </w:rPr>
        <w:tab/>
        <w:t xml:space="preserve">est le volume de purge cumulé, arrondi au dixième de litre près, mesuré au moyen d’un dispositif approprié (par exemple, un débitmètre raccordé à la sortie du canister ou un dispositif équivalent) pendant le parcours de </w:t>
      </w:r>
      <w:proofErr w:type="spellStart"/>
      <w:r w:rsidR="00312EE0" w:rsidRPr="004156C2">
        <w:rPr>
          <w:lang w:val="fr-FR" w:eastAsia="ja-JP"/>
        </w:rPr>
        <w:t>préconditionnement</w:t>
      </w:r>
      <w:proofErr w:type="spellEnd"/>
      <w:r w:rsidR="00312EE0" w:rsidRPr="004156C2">
        <w:rPr>
          <w:lang w:val="fr-FR" w:eastAsia="ja-JP"/>
        </w:rPr>
        <w:t xml:space="preserve"> avec démarrage à froid décrit au paragraphe 6.5.3 de la présente annexe, en l ;</w:t>
      </w:r>
    </w:p>
    <w:p w14:paraId="0BF9D8CA" w14:textId="77777777" w:rsidR="00312EE0" w:rsidRPr="004156C2" w:rsidRDefault="00312EE0" w:rsidP="00312EE0">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w:lastRenderedPageBreak/>
          <m:t>Vo</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l</m:t>
            </m:r>
          </m:e>
          <m:sub>
            <m:r>
              <m:rPr>
                <m:sty m:val="p"/>
              </m:rPr>
              <w:rPr>
                <w:rFonts w:ascii="Cambria Math" w:eastAsia="MS Mincho" w:hAnsi="Cambria Math"/>
                <w:szCs w:val="24"/>
                <w:lang w:val="fr-FR" w:eastAsia="ja-JP"/>
              </w:rPr>
              <m:t>tank</m:t>
            </m:r>
          </m:sub>
        </m:sSub>
      </m:oMath>
      <w:r w:rsidRPr="004156C2">
        <w:rPr>
          <w:rFonts w:eastAsia="MS Mincho"/>
          <w:szCs w:val="24"/>
          <w:lang w:val="fr-FR" w:eastAsia="ja-JP"/>
        </w:rPr>
        <w:tab/>
        <w:t>est la c</w:t>
      </w:r>
      <w:r>
        <w:rPr>
          <w:rFonts w:eastAsia="MS Mincho"/>
          <w:szCs w:val="24"/>
          <w:lang w:val="fr-FR" w:eastAsia="ja-JP"/>
        </w:rPr>
        <w:t>ontenance</w:t>
      </w:r>
      <w:r w:rsidRPr="004156C2">
        <w:rPr>
          <w:rFonts w:eastAsia="MS Mincho"/>
          <w:szCs w:val="24"/>
          <w:lang w:val="fr-FR" w:eastAsia="ja-JP"/>
        </w:rPr>
        <w:t xml:space="preserve"> nominale du réservoir indiquée par le constructeur, en l ;</w:t>
      </w:r>
    </w:p>
    <w:p w14:paraId="0AFE72A9" w14:textId="77777777" w:rsidR="00312EE0" w:rsidRPr="004156C2" w:rsidRDefault="00312EE0" w:rsidP="00312EE0">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m:t>F</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C</m:t>
            </m:r>
          </m:e>
          <m:sub>
            <m:r>
              <m:rPr>
                <m:sty m:val="p"/>
              </m:rPr>
              <w:rPr>
                <w:rFonts w:ascii="Cambria Math" w:eastAsia="MS Mincho" w:hAnsi="Cambria Math"/>
                <w:szCs w:val="24"/>
                <w:lang w:val="fr-FR" w:eastAsia="ja-JP"/>
              </w:rPr>
              <m:t>Pcycle</m:t>
            </m:r>
          </m:sub>
        </m:sSub>
      </m:oMath>
      <w:r w:rsidRPr="004156C2">
        <w:rPr>
          <w:rFonts w:eastAsia="MS Mincho"/>
          <w:szCs w:val="24"/>
          <w:lang w:val="fr-FR" w:eastAsia="ja-JP"/>
        </w:rPr>
        <w:t xml:space="preserve"> </w:t>
      </w:r>
      <w:r w:rsidRPr="004156C2">
        <w:rPr>
          <w:rFonts w:eastAsia="MS Mincho"/>
          <w:szCs w:val="24"/>
          <w:lang w:val="fr-FR" w:eastAsia="ja-JP"/>
        </w:rPr>
        <w:tab/>
        <w:t xml:space="preserve">est la consommation de carburant pendant un cycle de purge tel que décrit au paragraphe 6.5.3 de la présente annexe, qui peut être mesuré indifféremment </w:t>
      </w:r>
      <w:r>
        <w:rPr>
          <w:rFonts w:eastAsia="MS Mincho"/>
          <w:szCs w:val="24"/>
          <w:lang w:val="fr-FR" w:eastAsia="ja-JP"/>
        </w:rPr>
        <w:t>après</w:t>
      </w:r>
      <w:r w:rsidRPr="004156C2">
        <w:rPr>
          <w:rFonts w:eastAsia="MS Mincho"/>
          <w:szCs w:val="24"/>
          <w:lang w:val="fr-FR" w:eastAsia="ja-JP"/>
        </w:rPr>
        <w:t xml:space="preserve"> un démarrage à chaud ou à froid, en l/100 km. Pour les VHE-RE et les VHE-NRE, la consommation de carburant doit être calculée conformément au paragraphe 4.2.1 de l’annexe 8 du RTM </w:t>
      </w:r>
      <w:r>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 ;</w:t>
      </w:r>
    </w:p>
    <w:p w14:paraId="5E81767D" w14:textId="77777777" w:rsidR="00312EE0" w:rsidRPr="004156C2" w:rsidRDefault="00312EE0" w:rsidP="00312EE0">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m:t>Dis</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t</m:t>
            </m:r>
          </m:e>
          <m:sub>
            <m:r>
              <m:rPr>
                <m:sty m:val="p"/>
              </m:rPr>
              <w:rPr>
                <w:rFonts w:ascii="Cambria Math" w:eastAsia="MS Mincho" w:hAnsi="Cambria Math"/>
                <w:szCs w:val="24"/>
                <w:lang w:val="fr-FR" w:eastAsia="ja-JP"/>
              </w:rPr>
              <m:t>Pcycle</m:t>
            </m:r>
          </m:sub>
        </m:sSub>
      </m:oMath>
      <w:r w:rsidRPr="004156C2">
        <w:rPr>
          <w:rFonts w:eastAsia="MS Mincho"/>
          <w:szCs w:val="24"/>
          <w:lang w:val="fr-FR" w:eastAsia="ja-JP"/>
        </w:rPr>
        <w:t xml:space="preserve"> </w:t>
      </w:r>
      <w:r w:rsidRPr="004156C2">
        <w:rPr>
          <w:rFonts w:eastAsia="MS Mincho"/>
          <w:szCs w:val="24"/>
          <w:lang w:val="fr-FR" w:eastAsia="ja-JP"/>
        </w:rPr>
        <w:tab/>
        <w:t>est la distance théorique, arrondi</w:t>
      </w:r>
      <w:r>
        <w:rPr>
          <w:rFonts w:eastAsia="MS Mincho"/>
          <w:szCs w:val="24"/>
          <w:lang w:val="fr-FR" w:eastAsia="ja-JP"/>
        </w:rPr>
        <w:t>e</w:t>
      </w:r>
      <w:r w:rsidRPr="004156C2">
        <w:rPr>
          <w:rFonts w:eastAsia="MS Mincho"/>
          <w:szCs w:val="24"/>
          <w:lang w:val="fr-FR" w:eastAsia="ja-JP"/>
        </w:rPr>
        <w:t xml:space="preserve"> au dixième de km près, parcourue pendant un cycle de purge tel que décrit au paragraphe 6.5.3 de la présente annexe, en km.</w:t>
      </w:r>
    </w:p>
    <w:p w14:paraId="27AB82FC" w14:textId="77777777" w:rsidR="00312EE0" w:rsidRPr="004156C2" w:rsidRDefault="00312EE0" w:rsidP="00312EE0">
      <w:pPr>
        <w:pStyle w:val="SingleTxtG"/>
        <w:keepNext/>
        <w:ind w:left="2268" w:hanging="1134"/>
        <w:rPr>
          <w:rFonts w:eastAsia="MS Mincho"/>
          <w:szCs w:val="24"/>
          <w:lang w:val="fr-FR" w:eastAsia="ja-JP"/>
        </w:rPr>
      </w:pPr>
      <w:r>
        <w:rPr>
          <w:rFonts w:eastAsia="MS Mincho"/>
          <w:szCs w:val="24"/>
          <w:lang w:val="fr-FR" w:eastAsia="ja-JP"/>
        </w:rPr>
        <w:t>6.6.1.6</w:t>
      </w:r>
      <w:r w:rsidRPr="004156C2">
        <w:rPr>
          <w:rFonts w:eastAsia="MS Mincho"/>
          <w:szCs w:val="24"/>
          <w:lang w:val="fr-FR" w:eastAsia="ja-JP"/>
        </w:rPr>
        <w:tab/>
        <w:t xml:space="preserve">Préparation du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pour la charge par pertes liées à la dépressurisation</w:t>
      </w:r>
    </w:p>
    <w:p w14:paraId="79CCD4C3"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 xml:space="preserve">Une fois 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chargé et purg</w:t>
      </w:r>
      <w:r>
        <w:rPr>
          <w:rFonts w:eastAsia="MS Mincho"/>
          <w:szCs w:val="24"/>
          <w:lang w:val="fr-FR" w:eastAsia="ja-JP"/>
        </w:rPr>
        <w:t>é</w:t>
      </w:r>
      <w:r w:rsidRPr="004156C2">
        <w:rPr>
          <w:rFonts w:eastAsia="MS Mincho"/>
          <w:szCs w:val="24"/>
          <w:lang w:val="fr-FR" w:eastAsia="ja-JP"/>
        </w:rPr>
        <w:t>, le véhicule soumis à l’essai doit être placé dans une enceinte, soit une enceinte étanche de mesure des émissions par évaporation (SHED) soit une chambre climatique appropriée.</w:t>
      </w:r>
      <w:r w:rsidRPr="004156C2">
        <w:rPr>
          <w:rFonts w:eastAsia="MS Mincho"/>
          <w:lang w:val="fr-FR"/>
        </w:rPr>
        <w:t xml:space="preserve"> </w:t>
      </w:r>
      <w:r w:rsidRPr="004156C2">
        <w:rPr>
          <w:rFonts w:eastAsia="MS Mincho"/>
          <w:lang w:val="fr-FR" w:eastAsia="ja-JP"/>
        </w:rPr>
        <w:t xml:space="preserve">Il doit être démontré que le système est étanche et que la pressurisation est effectuée de façon normale, pendant l’essai ou au moyen d’un essai distinct (par exemple, à l’aide d’un capteur de pression sur le véhicule). </w:t>
      </w:r>
      <w:r w:rsidRPr="004156C2">
        <w:rPr>
          <w:rFonts w:eastAsia="MS Mincho"/>
          <w:color w:val="000000"/>
          <w:kern w:val="24"/>
          <w:lang w:val="fr-FR"/>
        </w:rPr>
        <w:t xml:space="preserve">Le véhicule soumis à l’essai doit ensuite être exposé à un </w:t>
      </w:r>
      <w:r w:rsidRPr="004156C2">
        <w:rPr>
          <w:rFonts w:eastAsia="MS Mincho"/>
          <w:lang w:val="fr-FR"/>
        </w:rPr>
        <w:t>cycle de température ambiante selon le premier profil de 11</w:t>
      </w:r>
      <w:r w:rsidR="00797FC4">
        <w:rPr>
          <w:rFonts w:eastAsia="MS Mincho"/>
          <w:lang w:val="fr-FR"/>
        </w:rPr>
        <w:t> </w:t>
      </w:r>
      <w:r w:rsidRPr="004156C2">
        <w:rPr>
          <w:rFonts w:eastAsia="MS Mincho"/>
          <w:lang w:val="fr-FR"/>
        </w:rPr>
        <w:t xml:space="preserve">h </w:t>
      </w:r>
      <w:r>
        <w:rPr>
          <w:rFonts w:eastAsia="MS Mincho"/>
          <w:lang w:val="fr-FR"/>
        </w:rPr>
        <w:t xml:space="preserve">prescrit </w:t>
      </w:r>
      <w:r w:rsidRPr="004156C2">
        <w:rPr>
          <w:rFonts w:eastAsia="MS Mincho"/>
          <w:lang w:val="fr-FR"/>
        </w:rPr>
        <w:t xml:space="preserve">pour l’essai d’émissions diurne décrit </w:t>
      </w:r>
      <w:r w:rsidRPr="004156C2">
        <w:rPr>
          <w:rFonts w:eastAsia="MS Mincho"/>
          <w:color w:val="000000"/>
          <w:kern w:val="24"/>
          <w:lang w:val="fr-FR"/>
        </w:rPr>
        <w:t>à l’appendice</w:t>
      </w:r>
      <w:r w:rsidR="00797FC4">
        <w:rPr>
          <w:rFonts w:eastAsia="MS Mincho"/>
          <w:lang w:val="fr-FR"/>
        </w:rPr>
        <w:t> </w:t>
      </w:r>
      <w:r w:rsidRPr="004156C2">
        <w:rPr>
          <w:rFonts w:eastAsia="MS Mincho"/>
          <w:lang w:val="fr-FR"/>
        </w:rPr>
        <w:t>2</w:t>
      </w:r>
      <w:r w:rsidRPr="004156C2">
        <w:rPr>
          <w:rFonts w:eastAsia="MS Mincho"/>
          <w:szCs w:val="24"/>
          <w:lang w:val="fr-FR" w:eastAsia="ja-JP"/>
        </w:rPr>
        <w:t xml:space="preserve"> de l’annexe</w:t>
      </w:r>
      <w:r w:rsidR="00797FC4">
        <w:rPr>
          <w:rFonts w:eastAsia="MS Mincho"/>
          <w:szCs w:val="24"/>
          <w:lang w:val="fr-FR" w:eastAsia="ja-JP"/>
        </w:rPr>
        <w:t> </w:t>
      </w:r>
      <w:r w:rsidRPr="004156C2">
        <w:rPr>
          <w:rFonts w:eastAsia="MS Mincho"/>
          <w:szCs w:val="24"/>
          <w:lang w:val="fr-FR" w:eastAsia="ja-JP"/>
        </w:rPr>
        <w:t xml:space="preserve">7 du Règlement </w:t>
      </w:r>
      <w:r>
        <w:rPr>
          <w:rFonts w:eastAsia="MS Mincho"/>
          <w:szCs w:val="24"/>
          <w:lang w:val="fr-FR" w:eastAsia="ja-JP"/>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83 (série</w:t>
      </w:r>
      <w:r w:rsidR="00797FC4">
        <w:rPr>
          <w:rFonts w:eastAsia="MS Mincho"/>
          <w:lang w:val="fr-FR"/>
        </w:rPr>
        <w:t> </w:t>
      </w:r>
      <w:r w:rsidRPr="004156C2">
        <w:rPr>
          <w:rFonts w:eastAsia="MS Mincho"/>
          <w:lang w:val="fr-FR"/>
        </w:rPr>
        <w:t xml:space="preserve">07 d’amendements), avec un écart maximal de </w:t>
      </w:r>
      <w:r w:rsidRPr="004156C2">
        <w:rPr>
          <w:rFonts w:eastAsia="MS Mincho"/>
          <w:lang w:val="fr-FR"/>
        </w:rPr>
        <w:sym w:font="Symbol" w:char="F0B1"/>
      </w:r>
      <w:r w:rsidR="00797FC4">
        <w:rPr>
          <w:rFonts w:eastAsia="MS Mincho"/>
          <w:lang w:val="fr-FR"/>
        </w:rPr>
        <w:t xml:space="preserve"> </w:t>
      </w:r>
      <w:r w:rsidRPr="004156C2">
        <w:rPr>
          <w:rFonts w:eastAsia="MS Mincho"/>
          <w:lang w:val="fr-FR"/>
        </w:rPr>
        <w:t>2 </w:t>
      </w:r>
      <w:r w:rsidRPr="004156C2">
        <w:rPr>
          <w:rFonts w:eastAsia="MS Mincho"/>
          <w:szCs w:val="24"/>
          <w:lang w:val="fr-FR" w:eastAsia="ja-JP"/>
        </w:rPr>
        <w:t>°C</w:t>
      </w:r>
      <w:r w:rsidRPr="004156C2">
        <w:rPr>
          <w:rFonts w:eastAsia="MS Mincho"/>
          <w:lang w:val="fr-FR"/>
        </w:rPr>
        <w:t xml:space="preserve"> à tout moment. L’écart de température moyen par rapport au profil, calculé sur la base de la valeur absolue de chaque écart mesuré, ne doit pas dépasser </w:t>
      </w:r>
      <w:r w:rsidRPr="004156C2">
        <w:rPr>
          <w:rFonts w:eastAsia="MS Mincho"/>
          <w:lang w:val="fr-FR"/>
        </w:rPr>
        <w:sym w:font="Symbol" w:char="F0B1"/>
      </w:r>
      <w:r w:rsidR="00797FC4">
        <w:rPr>
          <w:rFonts w:eastAsia="MS Mincho"/>
          <w:lang w:val="fr-FR"/>
        </w:rPr>
        <w:t xml:space="preserve"> </w:t>
      </w:r>
      <w:r w:rsidRPr="004156C2">
        <w:rPr>
          <w:rFonts w:eastAsia="MS Mincho"/>
          <w:lang w:val="fr-FR"/>
        </w:rPr>
        <w:t>1 °C. La température ambiante doit être mesurée et consignée au moins toutes les 10</w:t>
      </w:r>
      <w:r w:rsidR="00797FC4">
        <w:rPr>
          <w:rFonts w:eastAsia="MS Mincho"/>
          <w:lang w:val="fr-FR"/>
        </w:rPr>
        <w:t> </w:t>
      </w:r>
      <w:r w:rsidRPr="004156C2">
        <w:rPr>
          <w:rFonts w:eastAsia="MS Mincho"/>
          <w:lang w:val="fr-FR"/>
        </w:rPr>
        <w:t>min.</w:t>
      </w:r>
    </w:p>
    <w:p w14:paraId="420B272A"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6.6.1.7</w:t>
      </w:r>
      <w:r w:rsidRPr="004156C2">
        <w:rPr>
          <w:rFonts w:eastAsia="MS Mincho"/>
          <w:szCs w:val="24"/>
          <w:lang w:val="fr-FR" w:eastAsia="ja-JP"/>
        </w:rPr>
        <w:tab/>
        <w:t xml:space="preserve">Charge du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par pertes liées à la dépressurisation</w:t>
      </w:r>
    </w:p>
    <w:p w14:paraId="40EA4682"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6.6.1.7.1</w:t>
      </w:r>
      <w:r w:rsidRPr="004156C2">
        <w:rPr>
          <w:rFonts w:eastAsia="MS Mincho"/>
          <w:szCs w:val="24"/>
          <w:lang w:val="fr-FR" w:eastAsia="ja-JP"/>
        </w:rPr>
        <w:tab/>
        <w:t>Dépressurisation du réservoir avant remplissage</w:t>
      </w:r>
    </w:p>
    <w:p w14:paraId="769FB14E" w14:textId="77777777" w:rsidR="00312EE0" w:rsidRPr="004156C2" w:rsidRDefault="00312EE0" w:rsidP="00312EE0">
      <w:pPr>
        <w:pStyle w:val="SingleTxtG"/>
        <w:keepNext/>
        <w:ind w:left="2268"/>
        <w:rPr>
          <w:rFonts w:eastAsia="MS Mincho"/>
          <w:szCs w:val="24"/>
          <w:lang w:val="fr-FR" w:eastAsia="ja-JP"/>
        </w:rPr>
      </w:pPr>
      <w:r w:rsidRPr="004156C2">
        <w:rPr>
          <w:rFonts w:eastAsia="MS Mincho"/>
          <w:lang w:val="fr-FR" w:eastAsia="ja-JP"/>
        </w:rPr>
        <w:t xml:space="preserve">Le constructeur doit veiller à ce que l’opération de remplissage ne puisse pas débuter avant que le réservoir à carburant étanche ait été dépressurisé jusqu’à atteindre une pression qui ne soit pas supérieure de plus de 2,5 kPa à la pression ambiante, dans les conditions normales de fonctionnement et d’utilisation du véhicule. À la demande de l’autorité compétente, le constructeur doit fournir des renseignements détaillés à ce sujet ou apporter la preuve du fonctionnement du système (par exemple, à l’aide d’un capteur de pression installé sur le véhicule). Toute autre solution technique peut être autorisée sous réserve qu’elle garantisse un remplissage en toute sécurité et qu’il n’y ait pas d’émissions excessives libérées dans l’atmosphère avant le raccordement du dispositif de remplissage au véhicule. </w:t>
      </w:r>
    </w:p>
    <w:p w14:paraId="6761F37F" w14:textId="77777777" w:rsidR="00312EE0" w:rsidRPr="004156C2" w:rsidRDefault="00312EE0" w:rsidP="00312EE0">
      <w:pPr>
        <w:pStyle w:val="SingleTxtG"/>
        <w:ind w:left="2268" w:hanging="1134"/>
        <w:rPr>
          <w:rFonts w:eastAsia="MS Mincho"/>
          <w:lang w:val="fr-FR" w:eastAsia="ja-JP"/>
        </w:rPr>
      </w:pPr>
      <w:r w:rsidRPr="004156C2">
        <w:rPr>
          <w:rFonts w:eastAsia="MS Mincho"/>
          <w:szCs w:val="24"/>
          <w:lang w:val="fr-FR" w:eastAsia="ja-JP"/>
        </w:rPr>
        <w:t>6.6.1.7.2</w:t>
      </w:r>
      <w:r w:rsidRPr="004156C2">
        <w:rPr>
          <w:rFonts w:eastAsia="MS Mincho"/>
          <w:szCs w:val="24"/>
          <w:lang w:val="fr-FR" w:eastAsia="ja-JP"/>
        </w:rPr>
        <w:tab/>
      </w:r>
      <w:r w:rsidRPr="004156C2">
        <w:rPr>
          <w:rFonts w:eastAsia="MS Mincho"/>
          <w:lang w:val="fr-FR" w:eastAsia="ja-JP"/>
        </w:rPr>
        <w:t>Dans les 15</w:t>
      </w:r>
      <w:r w:rsidR="00797FC4">
        <w:rPr>
          <w:rFonts w:eastAsia="MS Mincho"/>
          <w:lang w:val="fr-FR" w:eastAsia="ja-JP"/>
        </w:rPr>
        <w:t> </w:t>
      </w:r>
      <w:r w:rsidRPr="004156C2">
        <w:rPr>
          <w:rFonts w:eastAsia="MS Mincho"/>
          <w:lang w:val="fr-FR" w:eastAsia="ja-JP"/>
        </w:rPr>
        <w:t>min qui suivent l’instant où la température ambiante atteint 35</w:t>
      </w:r>
      <w:r w:rsidR="00797FC4">
        <w:rPr>
          <w:rFonts w:eastAsia="MS Mincho"/>
          <w:lang w:val="fr-FR" w:eastAsia="ja-JP"/>
        </w:rPr>
        <w:t> </w:t>
      </w:r>
      <w:r w:rsidRPr="004156C2">
        <w:rPr>
          <w:rFonts w:eastAsia="MS Mincho"/>
          <w:szCs w:val="24"/>
          <w:lang w:val="fr-FR" w:eastAsia="ja-JP"/>
        </w:rPr>
        <w:t>°C,</w:t>
      </w:r>
      <w:r w:rsidRPr="004156C2">
        <w:rPr>
          <w:rFonts w:eastAsia="MS Mincho"/>
          <w:lang w:val="fr-FR" w:eastAsia="ja-JP"/>
        </w:rPr>
        <w:t xml:space="preserve"> la soupape de surpression du réservoir doit être ouverte afin de charger le </w:t>
      </w:r>
      <w:proofErr w:type="spellStart"/>
      <w:r w:rsidRPr="004156C2">
        <w:rPr>
          <w:rFonts w:eastAsia="MS Mincho"/>
          <w:lang w:val="fr-FR" w:eastAsia="ja-JP"/>
        </w:rPr>
        <w:t>canister</w:t>
      </w:r>
      <w:proofErr w:type="spellEnd"/>
      <w:r w:rsidRPr="004156C2">
        <w:rPr>
          <w:rFonts w:eastAsia="MS Mincho"/>
          <w:lang w:val="fr-FR" w:eastAsia="ja-JP"/>
        </w:rPr>
        <w:t xml:space="preserve">. La charge peut être effectuée à l’intérieur ou à l’extérieur de l’enceinte. Une fois chargé conformément aux dispositions du présent paragraphe, le </w:t>
      </w:r>
      <w:proofErr w:type="spellStart"/>
      <w:r w:rsidRPr="004156C2">
        <w:rPr>
          <w:rFonts w:eastAsia="MS Mincho"/>
          <w:lang w:val="fr-FR" w:eastAsia="ja-JP"/>
        </w:rPr>
        <w:t>canister</w:t>
      </w:r>
      <w:proofErr w:type="spellEnd"/>
      <w:r w:rsidRPr="004156C2">
        <w:rPr>
          <w:rFonts w:eastAsia="MS Mincho"/>
          <w:lang w:val="fr-FR" w:eastAsia="ja-JP"/>
        </w:rPr>
        <w:t xml:space="preserve"> doit être déconnecté et conservé dans la zone de stabilisation. </w:t>
      </w:r>
    </w:p>
    <w:p w14:paraId="33C73A36" w14:textId="77777777" w:rsidR="00312EE0" w:rsidRDefault="00312EE0" w:rsidP="00312EE0">
      <w:pPr>
        <w:pStyle w:val="SingleTxtG"/>
        <w:ind w:left="2268" w:hanging="1134"/>
        <w:rPr>
          <w:rFonts w:eastAsia="MS Mincho"/>
          <w:lang w:val="fr-FR" w:eastAsia="ja-JP"/>
        </w:rPr>
      </w:pPr>
      <w:r w:rsidRPr="004156C2">
        <w:rPr>
          <w:rFonts w:eastAsia="MS Mincho"/>
          <w:lang w:val="fr-FR" w:eastAsia="ja-JP"/>
        </w:rPr>
        <w:t>6.6.1.8</w:t>
      </w:r>
      <w:r w:rsidRPr="004156C2">
        <w:rPr>
          <w:rFonts w:eastAsia="MS Mincho"/>
          <w:lang w:val="fr-FR" w:eastAsia="ja-JP"/>
        </w:rPr>
        <w:tab/>
        <w:t>Mesure du trop-plein de pertes liées à la dépressurisation</w:t>
      </w:r>
    </w:p>
    <w:p w14:paraId="7D10F2BE" w14:textId="77777777" w:rsidR="00312EE0" w:rsidRPr="004156C2" w:rsidRDefault="00312EE0" w:rsidP="00312EE0">
      <w:pPr>
        <w:pStyle w:val="SingleTxtG"/>
        <w:ind w:left="2268" w:hanging="1134"/>
        <w:rPr>
          <w:rFonts w:eastAsia="MS Mincho"/>
          <w:lang w:val="fr-FR" w:eastAsia="ja-JP"/>
        </w:rPr>
      </w:pPr>
      <w:r>
        <w:rPr>
          <w:rFonts w:eastAsia="MS Mincho"/>
          <w:lang w:val="fr-FR" w:eastAsia="ja-JP"/>
        </w:rPr>
        <w:tab/>
        <w:t xml:space="preserve">Le trop-plein de pertes liées à la dépressurisation doit être mesuré conformément soit au paragraphe 6.6.1.8.1 soit au paragraphe 6.6.1.8.2 de la présente annexe. </w:t>
      </w:r>
    </w:p>
    <w:p w14:paraId="0E3D6E05" w14:textId="77777777" w:rsidR="00312EE0" w:rsidRPr="004156C2" w:rsidRDefault="00312EE0" w:rsidP="00312EE0">
      <w:pPr>
        <w:pStyle w:val="SingleTxtG"/>
        <w:ind w:left="2268" w:hanging="1134"/>
        <w:rPr>
          <w:rFonts w:eastAsia="MS Mincho"/>
          <w:lang w:val="fr-FR" w:eastAsia="ja-JP"/>
        </w:rPr>
      </w:pPr>
      <w:r w:rsidRPr="004156C2">
        <w:rPr>
          <w:rFonts w:eastAsia="MS Mincho"/>
          <w:lang w:val="fr-FR" w:eastAsia="ja-JP"/>
        </w:rPr>
        <w:t>6.6.1.8.1</w:t>
      </w:r>
      <w:r w:rsidRPr="004156C2">
        <w:rPr>
          <w:rFonts w:eastAsia="MS Mincho"/>
          <w:lang w:val="fr-FR" w:eastAsia="ja-JP"/>
        </w:rPr>
        <w:tab/>
      </w:r>
      <w:r>
        <w:rPr>
          <w:rFonts w:eastAsia="MS Mincho"/>
          <w:lang w:val="fr-FR" w:eastAsia="ja-JP"/>
        </w:rPr>
        <w:t xml:space="preserve">Le trop-plein de pertes liées à la dépressurisation du </w:t>
      </w:r>
      <w:proofErr w:type="spellStart"/>
      <w:r>
        <w:rPr>
          <w:rFonts w:eastAsia="MS Mincho"/>
          <w:lang w:val="fr-FR" w:eastAsia="ja-JP"/>
        </w:rPr>
        <w:t>canister</w:t>
      </w:r>
      <w:proofErr w:type="spellEnd"/>
      <w:r>
        <w:rPr>
          <w:rFonts w:eastAsia="MS Mincho"/>
          <w:lang w:val="fr-FR" w:eastAsia="ja-JP"/>
        </w:rPr>
        <w:t xml:space="preserve"> du véhicule peut être mesuré au moyen d’un </w:t>
      </w:r>
      <w:proofErr w:type="spellStart"/>
      <w:r>
        <w:rPr>
          <w:rFonts w:eastAsia="MS Mincho"/>
          <w:lang w:val="fr-FR" w:eastAsia="ja-JP"/>
        </w:rPr>
        <w:t>canister</w:t>
      </w:r>
      <w:proofErr w:type="spellEnd"/>
      <w:r>
        <w:rPr>
          <w:rFonts w:eastAsia="MS Mincho"/>
          <w:lang w:val="fr-FR" w:eastAsia="ja-JP"/>
        </w:rPr>
        <w:t xml:space="preserve"> auxiliaire identique au premier mais pas nécessairement vieilli. </w:t>
      </w:r>
      <w:r w:rsidRPr="004156C2">
        <w:rPr>
          <w:rFonts w:eastAsia="MS Mincho"/>
          <w:lang w:val="fr-FR" w:eastAsia="ja-JP"/>
        </w:rPr>
        <w:t xml:space="preserve">Le </w:t>
      </w:r>
      <w:proofErr w:type="spellStart"/>
      <w:r w:rsidRPr="004156C2">
        <w:rPr>
          <w:rFonts w:eastAsia="MS Mincho"/>
          <w:lang w:val="fr-FR" w:eastAsia="ja-JP"/>
        </w:rPr>
        <w:t>canister</w:t>
      </w:r>
      <w:proofErr w:type="spellEnd"/>
      <w:r w:rsidRPr="004156C2">
        <w:rPr>
          <w:rFonts w:eastAsia="MS Mincho"/>
          <w:lang w:val="fr-FR" w:eastAsia="ja-JP"/>
        </w:rPr>
        <w:t xml:space="preserve"> auxiliaire doit être </w:t>
      </w:r>
      <w:r>
        <w:rPr>
          <w:rFonts w:eastAsia="MS Mincho"/>
          <w:lang w:val="fr-FR" w:eastAsia="ja-JP"/>
        </w:rPr>
        <w:t xml:space="preserve">entièrement purgé avec de l’air sec avant d’être chargé, et être relié directement à la sortie du </w:t>
      </w:r>
      <w:proofErr w:type="spellStart"/>
      <w:r>
        <w:rPr>
          <w:rFonts w:eastAsia="MS Mincho"/>
          <w:lang w:val="fr-FR" w:eastAsia="ja-JP"/>
        </w:rPr>
        <w:t>canister</w:t>
      </w:r>
      <w:proofErr w:type="spellEnd"/>
      <w:r>
        <w:rPr>
          <w:rFonts w:eastAsia="MS Mincho"/>
          <w:lang w:val="fr-FR" w:eastAsia="ja-JP"/>
        </w:rPr>
        <w:t xml:space="preserve"> </w:t>
      </w:r>
      <w:r>
        <w:rPr>
          <w:rFonts w:eastAsia="MS Mincho"/>
          <w:lang w:val="fr-FR" w:eastAsia="ja-JP"/>
        </w:rPr>
        <w:lastRenderedPageBreak/>
        <w:t xml:space="preserve">du véhicule au moyen d’un tube aussi court que possible. Il doit être </w:t>
      </w:r>
      <w:r w:rsidRPr="004156C2">
        <w:rPr>
          <w:rFonts w:eastAsia="MS Mincho"/>
          <w:lang w:val="fr-FR" w:eastAsia="ja-JP"/>
        </w:rPr>
        <w:t xml:space="preserve">pesé avant et après la procédure décrite au paragraphe 6.6.1.7 de la présente annexe. </w:t>
      </w:r>
    </w:p>
    <w:p w14:paraId="65B26731" w14:textId="77777777" w:rsidR="00312EE0" w:rsidRPr="004156C2" w:rsidRDefault="00312EE0" w:rsidP="00312EE0">
      <w:pPr>
        <w:pStyle w:val="SingleTxtG"/>
        <w:ind w:left="2268" w:hanging="1134"/>
        <w:rPr>
          <w:rFonts w:eastAsia="MS Mincho"/>
          <w:lang w:val="fr-FR" w:eastAsia="ja-JP"/>
        </w:rPr>
      </w:pPr>
      <w:r w:rsidRPr="004156C2">
        <w:rPr>
          <w:rFonts w:eastAsia="MS Mincho"/>
          <w:lang w:val="fr-FR" w:eastAsia="ja-JP"/>
        </w:rPr>
        <w:t>6.6.1.8.2</w:t>
      </w:r>
      <w:r w:rsidRPr="004156C2">
        <w:rPr>
          <w:rFonts w:eastAsia="MS Mincho"/>
          <w:lang w:val="fr-FR" w:eastAsia="ja-JP"/>
        </w:rPr>
        <w:tab/>
        <w:t xml:space="preserve">À défaut, le trop-plein de pertes liées à la dépressurisation </w:t>
      </w:r>
      <w:r>
        <w:rPr>
          <w:rFonts w:eastAsia="MS Mincho"/>
          <w:lang w:val="fr-FR" w:eastAsia="ja-JP"/>
        </w:rPr>
        <w:t xml:space="preserve">provenant du </w:t>
      </w:r>
      <w:proofErr w:type="spellStart"/>
      <w:r>
        <w:rPr>
          <w:rFonts w:eastAsia="MS Mincho"/>
          <w:lang w:val="fr-FR" w:eastAsia="ja-JP"/>
        </w:rPr>
        <w:t>canister</w:t>
      </w:r>
      <w:proofErr w:type="spellEnd"/>
      <w:r>
        <w:rPr>
          <w:rFonts w:eastAsia="MS Mincho"/>
          <w:lang w:val="fr-FR" w:eastAsia="ja-JP"/>
        </w:rPr>
        <w:t xml:space="preserve"> </w:t>
      </w:r>
      <w:r w:rsidRPr="004156C2">
        <w:rPr>
          <w:rFonts w:eastAsia="MS Mincho"/>
          <w:lang w:val="fr-FR" w:eastAsia="ja-JP"/>
        </w:rPr>
        <w:t>peut être mesuré au moyen d’une enceinte SHED.</w:t>
      </w:r>
    </w:p>
    <w:p w14:paraId="082DB78B" w14:textId="77777777" w:rsidR="00312EE0" w:rsidRPr="004156C2" w:rsidRDefault="00312EE0" w:rsidP="00312EE0">
      <w:pPr>
        <w:pStyle w:val="SingleTxtG"/>
        <w:ind w:left="2268"/>
        <w:rPr>
          <w:rFonts w:eastAsia="MS Mincho"/>
          <w:lang w:val="fr-FR" w:eastAsia="ja-JP"/>
        </w:rPr>
      </w:pPr>
      <w:r w:rsidRPr="004156C2">
        <w:rPr>
          <w:rFonts w:eastAsia="MS Mincho"/>
          <w:lang w:val="fr-FR" w:eastAsia="ja-JP"/>
        </w:rPr>
        <w:t>Dans les 15 min qui suivent l’instant où la température ambiante atteint 35 </w:t>
      </w:r>
      <w:r w:rsidRPr="004156C2">
        <w:rPr>
          <w:rFonts w:eastAsia="MS Mincho"/>
          <w:szCs w:val="24"/>
          <w:lang w:val="fr-FR" w:eastAsia="ja-JP"/>
        </w:rPr>
        <w:t>°C</w:t>
      </w:r>
      <w:r w:rsidRPr="004156C2" w:rsidDel="002E7780">
        <w:rPr>
          <w:rFonts w:eastAsia="MS Mincho"/>
          <w:lang w:val="fr-FR" w:eastAsia="ja-JP"/>
        </w:rPr>
        <w:t xml:space="preserve"> </w:t>
      </w:r>
      <w:r w:rsidRPr="004156C2">
        <w:rPr>
          <w:rFonts w:eastAsia="MS Mincho"/>
          <w:lang w:val="fr-FR" w:eastAsia="ja-JP"/>
        </w:rPr>
        <w:t>comme décrit au paragraphe </w:t>
      </w:r>
      <w:r w:rsidRPr="004156C2">
        <w:rPr>
          <w:rFonts w:eastAsia="MS Mincho"/>
          <w:szCs w:val="24"/>
          <w:lang w:val="fr-FR" w:eastAsia="ja-JP"/>
        </w:rPr>
        <w:t>6.6.1.</w:t>
      </w:r>
      <w:r w:rsidR="00797FC4">
        <w:rPr>
          <w:rFonts w:eastAsia="MS Mincho"/>
          <w:szCs w:val="24"/>
          <w:lang w:val="fr-FR" w:eastAsia="ja-JP"/>
        </w:rPr>
        <w:t>6</w:t>
      </w:r>
      <w:r w:rsidRPr="004156C2">
        <w:rPr>
          <w:rFonts w:eastAsia="MS Mincho"/>
          <w:szCs w:val="24"/>
          <w:lang w:val="fr-FR" w:eastAsia="ja-JP"/>
        </w:rPr>
        <w:t xml:space="preserve"> de la présente annexe, l’enceinte doit être scellée et la procédure de mesure doit commencer</w:t>
      </w:r>
      <w:r w:rsidRPr="004156C2">
        <w:rPr>
          <w:rFonts w:eastAsia="MS Mincho"/>
          <w:lang w:val="fr-FR" w:eastAsia="ja-JP"/>
        </w:rPr>
        <w:t xml:space="preserve">. </w:t>
      </w:r>
    </w:p>
    <w:p w14:paraId="5CE702D2" w14:textId="77777777" w:rsidR="00312EE0" w:rsidRPr="004156C2" w:rsidRDefault="00312EE0" w:rsidP="00312EE0">
      <w:pPr>
        <w:pStyle w:val="SingleTxtG"/>
        <w:ind w:left="2268"/>
        <w:rPr>
          <w:rFonts w:eastAsia="MS Mincho"/>
          <w:lang w:val="fr-FR" w:eastAsia="ja-JP"/>
        </w:rPr>
      </w:pPr>
      <w:r w:rsidRPr="004156C2">
        <w:rPr>
          <w:rFonts w:eastAsia="MS Mincho"/>
          <w:lang w:val="fr-FR" w:eastAsia="ja-JP"/>
        </w:rPr>
        <w:t>L’analyseur d’hydrocarbures doit être mis à zéro et calibré, après quoi la concentration en hydrocarbures</w:t>
      </w:r>
      <w:r>
        <w:rPr>
          <w:rFonts w:eastAsia="MS Mincho"/>
          <w:lang w:val="fr-FR" w:eastAsia="ja-JP"/>
        </w:rPr>
        <w:t xml:space="preserve"> </w:t>
      </w:r>
      <w:r>
        <w:rPr>
          <w:lang w:eastAsia="ja-JP"/>
        </w:rPr>
        <w:t>(</w:t>
      </w:r>
      <w:proofErr w:type="spellStart"/>
      <w:r>
        <w:rPr>
          <w:rFonts w:hint="eastAsia"/>
          <w:lang w:eastAsia="ja-JP"/>
        </w:rPr>
        <w:t>C</w:t>
      </w:r>
      <w:r w:rsidRPr="00DB61D7">
        <w:rPr>
          <w:vertAlign w:val="subscript"/>
          <w:lang w:eastAsia="ja-JP"/>
        </w:rPr>
        <w:t>HCi</w:t>
      </w:r>
      <w:proofErr w:type="spellEnd"/>
      <w:r w:rsidRPr="00DB61D7">
        <w:rPr>
          <w:lang w:eastAsia="ja-JP"/>
        </w:rPr>
        <w:t>)</w:t>
      </w:r>
      <w:r w:rsidRPr="006713B0">
        <w:rPr>
          <w:lang w:eastAsia="ja-JP"/>
        </w:rPr>
        <w:t>,</w:t>
      </w:r>
      <w:r w:rsidRPr="004156C2">
        <w:rPr>
          <w:rFonts w:eastAsia="MS Mincho"/>
          <w:lang w:val="fr-FR" w:eastAsia="ja-JP"/>
        </w:rPr>
        <w:t xml:space="preserve"> la température </w:t>
      </w:r>
      <w:r>
        <w:rPr>
          <w:lang w:eastAsia="ja-JP"/>
        </w:rPr>
        <w:t>(T</w:t>
      </w:r>
      <w:r w:rsidRPr="00DB61D7">
        <w:rPr>
          <w:vertAlign w:val="subscript"/>
          <w:lang w:eastAsia="ja-JP"/>
        </w:rPr>
        <w:t>i</w:t>
      </w:r>
      <w:r w:rsidRPr="00DB61D7">
        <w:rPr>
          <w:lang w:eastAsia="ja-JP"/>
        </w:rPr>
        <w:t>)</w:t>
      </w:r>
      <w:r w:rsidRPr="004156C2">
        <w:rPr>
          <w:rFonts w:eastAsia="MS Mincho"/>
          <w:lang w:val="fr-FR" w:eastAsia="ja-JP"/>
        </w:rPr>
        <w:t>, et la pression barométrique</w:t>
      </w:r>
      <w:r>
        <w:rPr>
          <w:rFonts w:eastAsia="MS Mincho"/>
          <w:lang w:val="fr-FR" w:eastAsia="ja-JP"/>
        </w:rPr>
        <w:t xml:space="preserve"> (</w:t>
      </w:r>
      <w:r w:rsidRPr="004156C2">
        <w:rPr>
          <w:rFonts w:eastAsia="MS Mincho"/>
          <w:lang w:val="fr-FR" w:eastAsia="ja-JP"/>
        </w:rPr>
        <w:t>P</w:t>
      </w:r>
      <w:r w:rsidRPr="004156C2">
        <w:rPr>
          <w:rFonts w:eastAsia="MS Mincho"/>
          <w:vertAlign w:val="subscript"/>
          <w:lang w:val="fr-FR" w:eastAsia="ja-JP"/>
        </w:rPr>
        <w:t>i</w:t>
      </w:r>
      <w:r w:rsidRPr="00797FC4">
        <w:rPr>
          <w:rFonts w:eastAsia="MS Mincho"/>
          <w:lang w:val="fr-FR" w:eastAsia="ja-JP"/>
        </w:rPr>
        <w:t>)</w:t>
      </w:r>
      <w:r w:rsidRPr="004156C2">
        <w:rPr>
          <w:rFonts w:eastAsia="MS Mincho"/>
          <w:lang w:val="fr-FR" w:eastAsia="ja-JP"/>
        </w:rPr>
        <w:t xml:space="preserve"> doivent être mesurées afin d’enregistrer les valeurs initiales </w:t>
      </w:r>
      <w:proofErr w:type="spellStart"/>
      <w:r w:rsidRPr="004156C2">
        <w:rPr>
          <w:rFonts w:eastAsia="MS Mincho"/>
          <w:lang w:val="fr-FR" w:eastAsia="ja-JP"/>
        </w:rPr>
        <w:t>C</w:t>
      </w:r>
      <w:r w:rsidRPr="004156C2">
        <w:rPr>
          <w:rFonts w:eastAsia="MS Mincho"/>
          <w:vertAlign w:val="subscript"/>
          <w:lang w:val="fr-FR" w:eastAsia="ja-JP"/>
        </w:rPr>
        <w:t>HCi</w:t>
      </w:r>
      <w:proofErr w:type="spellEnd"/>
      <w:r w:rsidRPr="004156C2">
        <w:rPr>
          <w:rFonts w:eastAsia="MS Mincho"/>
          <w:lang w:val="fr-FR" w:eastAsia="ja-JP"/>
        </w:rPr>
        <w:t>, P</w:t>
      </w:r>
      <w:r w:rsidRPr="004156C2">
        <w:rPr>
          <w:rFonts w:eastAsia="MS Mincho"/>
          <w:vertAlign w:val="subscript"/>
          <w:lang w:val="fr-FR" w:eastAsia="ja-JP"/>
        </w:rPr>
        <w:t>i</w:t>
      </w:r>
      <w:r w:rsidRPr="00797FC4">
        <w:rPr>
          <w:rFonts w:eastAsia="MS Mincho"/>
          <w:lang w:val="fr-FR" w:eastAsia="ja-JP"/>
        </w:rPr>
        <w:t xml:space="preserve"> </w:t>
      </w:r>
      <w:r w:rsidRPr="004156C2">
        <w:rPr>
          <w:rFonts w:eastAsia="MS Mincho"/>
          <w:lang w:val="fr-FR" w:eastAsia="ja-JP"/>
        </w:rPr>
        <w:t>et T</w:t>
      </w:r>
      <w:r w:rsidRPr="004156C2">
        <w:rPr>
          <w:rFonts w:eastAsia="MS Mincho"/>
          <w:vertAlign w:val="subscript"/>
          <w:lang w:val="fr-FR" w:eastAsia="ja-JP"/>
        </w:rPr>
        <w:t>i</w:t>
      </w:r>
      <w:r w:rsidRPr="004156C2">
        <w:rPr>
          <w:rFonts w:eastAsia="MS Mincho"/>
          <w:lang w:val="fr-FR" w:eastAsia="ja-JP"/>
        </w:rPr>
        <w:t xml:space="preserve"> nécessaires à la détermination du trop-plein de pertes liées à la dépressurisation.</w:t>
      </w:r>
    </w:p>
    <w:p w14:paraId="25641C64" w14:textId="77777777" w:rsidR="00312EE0" w:rsidRPr="004156C2" w:rsidRDefault="00312EE0" w:rsidP="00312EE0">
      <w:pPr>
        <w:pStyle w:val="SingleTxtG"/>
        <w:ind w:left="2268"/>
        <w:rPr>
          <w:rFonts w:eastAsia="MS Mincho"/>
          <w:lang w:val="fr-FR" w:eastAsia="ja-JP"/>
        </w:rPr>
      </w:pPr>
      <w:r w:rsidRPr="004156C2">
        <w:rPr>
          <w:rFonts w:eastAsia="MS Mincho"/>
          <w:lang w:val="fr-FR" w:eastAsia="ja-JP"/>
        </w:rPr>
        <w:t>La température ambiante T de l’enceinte ne doit pas être inférieure à 25</w:t>
      </w:r>
      <w:r w:rsidR="00797FC4">
        <w:rPr>
          <w:rFonts w:eastAsia="MS Mincho"/>
          <w:lang w:val="fr-FR" w:eastAsia="ja-JP"/>
        </w:rPr>
        <w:t> </w:t>
      </w:r>
      <w:r w:rsidRPr="004156C2">
        <w:rPr>
          <w:rFonts w:eastAsia="MS Mincho"/>
          <w:szCs w:val="24"/>
          <w:lang w:val="fr-FR" w:eastAsia="ja-JP"/>
        </w:rPr>
        <w:t>°C</w:t>
      </w:r>
      <w:r w:rsidRPr="004156C2">
        <w:rPr>
          <w:rFonts w:eastAsia="MS Mincho"/>
          <w:lang w:val="fr-FR" w:eastAsia="ja-JP"/>
        </w:rPr>
        <w:t xml:space="preserve"> pendant la durée de la procédure de mesure.</w:t>
      </w:r>
    </w:p>
    <w:p w14:paraId="0CA1E39A" w14:textId="77777777" w:rsidR="00312EE0" w:rsidRPr="004156C2" w:rsidRDefault="00312EE0" w:rsidP="00312EE0">
      <w:pPr>
        <w:pStyle w:val="SingleTxtG"/>
        <w:ind w:left="2268"/>
        <w:rPr>
          <w:rFonts w:eastAsia="MS Mincho"/>
          <w:lang w:val="fr-FR" w:eastAsia="ja-JP"/>
        </w:rPr>
      </w:pPr>
      <w:r w:rsidRPr="004156C2">
        <w:rPr>
          <w:rFonts w:eastAsia="MS Mincho"/>
          <w:lang w:val="fr-FR" w:eastAsia="ja-JP"/>
        </w:rPr>
        <w:t>À la fin de la procédure décrite au paragraphe 6.6.1.</w:t>
      </w:r>
      <w:r>
        <w:rPr>
          <w:rFonts w:eastAsia="MS Mincho"/>
          <w:lang w:val="fr-FR" w:eastAsia="ja-JP"/>
        </w:rPr>
        <w:t xml:space="preserve">7.2 </w:t>
      </w:r>
      <w:r w:rsidRPr="004156C2">
        <w:rPr>
          <w:rFonts w:eastAsia="MS Mincho"/>
          <w:lang w:val="fr-FR" w:eastAsia="ja-JP"/>
        </w:rPr>
        <w:t>de la présente annexe, la concentration en hydrocarbures</w:t>
      </w:r>
      <w:r>
        <w:rPr>
          <w:rFonts w:eastAsia="MS Mincho"/>
          <w:lang w:val="fr-FR" w:eastAsia="ja-JP"/>
        </w:rPr>
        <w:t xml:space="preserve"> (</w:t>
      </w:r>
      <w:proofErr w:type="spellStart"/>
      <w:r w:rsidRPr="004156C2">
        <w:rPr>
          <w:rFonts w:eastAsia="MS Mincho"/>
          <w:lang w:val="fr-FR" w:eastAsia="ja-JP"/>
        </w:rPr>
        <w:t>C</w:t>
      </w:r>
      <w:r w:rsidRPr="004156C2">
        <w:rPr>
          <w:rFonts w:eastAsia="MS Mincho"/>
          <w:vertAlign w:val="subscript"/>
          <w:lang w:val="fr-FR" w:eastAsia="ja-JP"/>
        </w:rPr>
        <w:t>HCf</w:t>
      </w:r>
      <w:proofErr w:type="spellEnd"/>
      <w:r w:rsidRPr="004156C2">
        <w:rPr>
          <w:rFonts w:eastAsia="MS Mincho"/>
          <w:lang w:val="fr-FR" w:eastAsia="ja-JP"/>
        </w:rPr>
        <w:t>,</w:t>
      </w:r>
      <w:r>
        <w:rPr>
          <w:rFonts w:eastAsia="MS Mincho"/>
          <w:lang w:val="fr-FR" w:eastAsia="ja-JP"/>
        </w:rPr>
        <w:t>)</w:t>
      </w:r>
      <w:r w:rsidRPr="004156C2">
        <w:rPr>
          <w:rFonts w:eastAsia="MS Mincho"/>
          <w:lang w:val="fr-FR" w:eastAsia="ja-JP"/>
        </w:rPr>
        <w:t xml:space="preserve"> dans l’enceinte doit être mesurée dans un délai de 60</w:t>
      </w:r>
      <w:r w:rsidRPr="004156C2">
        <w:rPr>
          <w:rFonts w:eastAsia="MS Mincho"/>
          <w:color w:val="000000"/>
          <w:kern w:val="24"/>
          <w:lang w:val="fr-FR"/>
        </w:rPr>
        <w:t xml:space="preserve"> </w:t>
      </w:r>
      <w:r>
        <w:rPr>
          <w:rFonts w:eastAsia="MS Mincho"/>
          <w:color w:val="000000"/>
          <w:kern w:val="24"/>
          <w:lang w:val="fr-FR"/>
        </w:rPr>
        <w:sym w:font="Symbol" w:char="F0B1"/>
      </w:r>
      <w:r w:rsidRPr="004156C2">
        <w:rPr>
          <w:rFonts w:eastAsia="MS Mincho"/>
          <w:color w:val="000000"/>
          <w:kern w:val="24"/>
          <w:lang w:val="fr-FR" w:eastAsia="ja-JP"/>
        </w:rPr>
        <w:t xml:space="preserve"> 5 </w:t>
      </w:r>
      <w:r w:rsidRPr="004156C2">
        <w:rPr>
          <w:rFonts w:eastAsia="MS Mincho"/>
          <w:lang w:val="fr-FR" w:eastAsia="ja-JP"/>
        </w:rPr>
        <w:t xml:space="preserve">s. La température et la pression barométrique doivent aussi être mesurées. Ces mesures correspondent aux valeurs finales </w:t>
      </w:r>
      <w:proofErr w:type="spellStart"/>
      <w:r w:rsidRPr="004156C2">
        <w:rPr>
          <w:rFonts w:eastAsia="MS Mincho"/>
          <w:lang w:val="fr-FR" w:eastAsia="ja-JP"/>
        </w:rPr>
        <w:t>C</w:t>
      </w:r>
      <w:r w:rsidRPr="004156C2">
        <w:rPr>
          <w:rFonts w:eastAsia="MS Mincho"/>
          <w:vertAlign w:val="subscript"/>
          <w:lang w:val="fr-FR" w:eastAsia="ja-JP"/>
        </w:rPr>
        <w:t>HCf</w:t>
      </w:r>
      <w:proofErr w:type="spellEnd"/>
      <w:r w:rsidRPr="004156C2">
        <w:rPr>
          <w:rFonts w:eastAsia="MS Mincho"/>
          <w:lang w:val="fr-FR" w:eastAsia="ja-JP"/>
        </w:rPr>
        <w:t>, P</w:t>
      </w:r>
      <w:r w:rsidRPr="004156C2">
        <w:rPr>
          <w:rFonts w:eastAsia="MS Mincho"/>
          <w:vertAlign w:val="subscript"/>
          <w:lang w:val="fr-FR" w:eastAsia="ja-JP"/>
        </w:rPr>
        <w:t>f</w:t>
      </w:r>
      <w:r w:rsidRPr="004156C2">
        <w:rPr>
          <w:rFonts w:eastAsia="MS Mincho"/>
          <w:lang w:val="fr-FR" w:eastAsia="ja-JP"/>
        </w:rPr>
        <w:t xml:space="preserve"> et T</w:t>
      </w:r>
      <w:r w:rsidRPr="004156C2">
        <w:rPr>
          <w:rFonts w:eastAsia="MS Mincho"/>
          <w:vertAlign w:val="subscript"/>
          <w:lang w:val="fr-FR" w:eastAsia="ja-JP"/>
        </w:rPr>
        <w:t>f</w:t>
      </w:r>
      <w:r>
        <w:rPr>
          <w:rFonts w:eastAsia="MS Mincho"/>
          <w:lang w:val="fr-FR" w:eastAsia="ja-JP"/>
        </w:rPr>
        <w:t xml:space="preserve"> pour le trop-plein de pertes liées à la dépressurisation du réservoir étanche.</w:t>
      </w:r>
    </w:p>
    <w:p w14:paraId="39A5320F" w14:textId="77777777" w:rsidR="00312EE0" w:rsidRPr="004156C2" w:rsidRDefault="00312EE0" w:rsidP="00312EE0">
      <w:pPr>
        <w:pStyle w:val="SingleTxtG"/>
        <w:ind w:left="2268"/>
        <w:rPr>
          <w:rFonts w:eastAsia="MS Mincho"/>
          <w:lang w:val="fr-FR" w:eastAsia="ja-JP"/>
        </w:rPr>
      </w:pPr>
      <w:r w:rsidRPr="004156C2">
        <w:rPr>
          <w:rFonts w:eastAsia="MS Mincho"/>
          <w:lang w:val="fr-FR" w:eastAsia="ja-JP"/>
        </w:rPr>
        <w:t>Le trop-plein de pertes liées à la dépressurisation</w:t>
      </w:r>
      <w:r>
        <w:rPr>
          <w:rFonts w:eastAsia="MS Mincho"/>
          <w:lang w:val="fr-FR" w:eastAsia="ja-JP"/>
        </w:rPr>
        <w:t xml:space="preserve"> du réservoir étanche</w:t>
      </w:r>
      <w:r w:rsidRPr="004156C2">
        <w:rPr>
          <w:rFonts w:eastAsia="MS Mincho"/>
          <w:lang w:val="fr-FR" w:eastAsia="ja-JP"/>
        </w:rPr>
        <w:t xml:space="preserve"> doit être calculé conformément au paragraphe 7.1 de la présente annexe et consigné.</w:t>
      </w:r>
    </w:p>
    <w:p w14:paraId="117E3C40" w14:textId="77777777" w:rsidR="00312EE0" w:rsidRPr="004156C2" w:rsidRDefault="00312EE0" w:rsidP="00312EE0">
      <w:pPr>
        <w:pStyle w:val="SingleTxtG"/>
        <w:ind w:left="2268" w:hanging="1134"/>
        <w:rPr>
          <w:rFonts w:eastAsia="MS Mincho"/>
          <w:lang w:val="fr-FR" w:eastAsia="ja-JP"/>
        </w:rPr>
      </w:pPr>
      <w:r w:rsidRPr="004156C2">
        <w:rPr>
          <w:rFonts w:eastAsia="MS Mincho"/>
          <w:lang w:val="fr-FR" w:eastAsia="ja-JP"/>
        </w:rPr>
        <w:t>6.6.1.8.3</w:t>
      </w:r>
      <w:r w:rsidRPr="004156C2">
        <w:rPr>
          <w:rFonts w:eastAsia="MS Mincho"/>
          <w:lang w:val="fr-FR" w:eastAsia="ja-JP"/>
        </w:rPr>
        <w:tab/>
      </w:r>
      <w:r>
        <w:rPr>
          <w:rFonts w:eastAsia="MS Mincho"/>
          <w:lang w:val="fr-FR" w:eastAsia="ja-JP"/>
        </w:rPr>
        <w:t>Ni l</w:t>
      </w:r>
      <w:r w:rsidRPr="004156C2">
        <w:rPr>
          <w:rFonts w:eastAsia="MS Mincho"/>
          <w:lang w:val="fr-FR" w:eastAsia="ja-JP"/>
        </w:rPr>
        <w:t xml:space="preserve">e poids du </w:t>
      </w:r>
      <w:proofErr w:type="spellStart"/>
      <w:r w:rsidRPr="004156C2">
        <w:rPr>
          <w:rFonts w:eastAsia="MS Mincho"/>
          <w:lang w:val="fr-FR" w:eastAsia="ja-JP"/>
        </w:rPr>
        <w:t>canister</w:t>
      </w:r>
      <w:proofErr w:type="spellEnd"/>
      <w:r w:rsidRPr="004156C2">
        <w:rPr>
          <w:rFonts w:eastAsia="MS Mincho"/>
          <w:lang w:val="fr-FR" w:eastAsia="ja-JP"/>
        </w:rPr>
        <w:t xml:space="preserve"> auxiliaire</w:t>
      </w:r>
      <w:r w:rsidR="00797FC4">
        <w:rPr>
          <w:rFonts w:eastAsia="MS Mincho"/>
          <w:lang w:val="fr-FR" w:eastAsia="ja-JP"/>
        </w:rPr>
        <w:t>,</w:t>
      </w:r>
      <w:r w:rsidRPr="004156C2">
        <w:rPr>
          <w:rFonts w:eastAsia="MS Mincho"/>
          <w:lang w:val="fr-FR" w:eastAsia="ja-JP"/>
        </w:rPr>
        <w:t xml:space="preserve"> </w:t>
      </w:r>
      <w:r w:rsidR="00797FC4">
        <w:rPr>
          <w:rFonts w:eastAsia="MS Mincho"/>
          <w:lang w:val="fr-FR" w:eastAsia="ja-JP"/>
        </w:rPr>
        <w:t xml:space="preserve">lorsque l’essai est effectué conformément au paragraphe 6.6.1.8.1, </w:t>
      </w:r>
      <w:r>
        <w:rPr>
          <w:rFonts w:eastAsia="MS Mincho"/>
          <w:lang w:val="fr-FR" w:eastAsia="ja-JP"/>
        </w:rPr>
        <w:t>ni</w:t>
      </w:r>
      <w:r w:rsidRPr="004156C2">
        <w:rPr>
          <w:rFonts w:eastAsia="MS Mincho"/>
          <w:lang w:val="fr-FR" w:eastAsia="ja-JP"/>
        </w:rPr>
        <w:t xml:space="preserve"> le résultat de l’essai SHED</w:t>
      </w:r>
      <w:r>
        <w:rPr>
          <w:rFonts w:eastAsia="MS Mincho"/>
          <w:lang w:val="fr-FR" w:eastAsia="ja-JP"/>
        </w:rPr>
        <w:t xml:space="preserve">, lorsque l’essai est effectué conformément au paragraphe 6.6.1.8.2, ne doivent </w:t>
      </w:r>
      <w:r w:rsidRPr="004156C2">
        <w:rPr>
          <w:rFonts w:eastAsia="MS Mincho"/>
          <w:lang w:val="fr-FR" w:eastAsia="ja-JP"/>
        </w:rPr>
        <w:t xml:space="preserve">varier, dans des limites de tolérance de </w:t>
      </w:r>
      <w:r>
        <w:rPr>
          <w:rFonts w:eastAsia="MS Mincho"/>
          <w:szCs w:val="24"/>
          <w:lang w:val="fr-FR" w:eastAsia="ja-JP"/>
        </w:rPr>
        <w:sym w:font="Symbol" w:char="F0B1"/>
      </w:r>
      <w:r w:rsidR="00797FC4">
        <w:rPr>
          <w:rFonts w:eastAsia="MS Mincho"/>
          <w:szCs w:val="24"/>
          <w:lang w:val="fr-FR" w:eastAsia="ja-JP"/>
        </w:rPr>
        <w:t xml:space="preserve"> </w:t>
      </w:r>
      <w:r w:rsidRPr="004156C2">
        <w:rPr>
          <w:rFonts w:eastAsia="MS Mincho"/>
          <w:lang w:val="fr-FR" w:eastAsia="ja-JP"/>
        </w:rPr>
        <w:t>0,5 g.</w:t>
      </w:r>
    </w:p>
    <w:p w14:paraId="32DA0BB6" w14:textId="77777777" w:rsidR="00312EE0" w:rsidRPr="004156C2" w:rsidRDefault="00312EE0" w:rsidP="00312EE0">
      <w:pPr>
        <w:pStyle w:val="SingleTxtG"/>
        <w:keepNext/>
        <w:ind w:left="2268" w:hanging="1134"/>
        <w:rPr>
          <w:rFonts w:eastAsia="MS Mincho"/>
          <w:lang w:val="fr-FR" w:eastAsia="ja-JP"/>
        </w:rPr>
      </w:pPr>
      <w:r w:rsidRPr="004156C2">
        <w:rPr>
          <w:rFonts w:eastAsia="MS Mincho"/>
          <w:lang w:val="fr-FR" w:eastAsia="ja-JP"/>
        </w:rPr>
        <w:t>6.6.1.9</w:t>
      </w:r>
      <w:r w:rsidRPr="004156C2">
        <w:rPr>
          <w:rFonts w:eastAsia="MS Mincho"/>
          <w:lang w:val="fr-FR" w:eastAsia="ja-JP"/>
        </w:rPr>
        <w:tab/>
        <w:t>Stabilisation</w:t>
      </w:r>
    </w:p>
    <w:p w14:paraId="72002240" w14:textId="77777777" w:rsidR="00312EE0" w:rsidRPr="004156C2" w:rsidRDefault="00312EE0" w:rsidP="00312EE0">
      <w:pPr>
        <w:pStyle w:val="SingleTxtG"/>
        <w:ind w:left="2268"/>
        <w:rPr>
          <w:rFonts w:eastAsia="MS Mincho"/>
          <w:szCs w:val="24"/>
          <w:lang w:val="fr-FR" w:eastAsia="ja-JP"/>
        </w:rPr>
      </w:pPr>
      <w:r>
        <w:rPr>
          <w:rFonts w:eastAsia="MS Mincho"/>
          <w:szCs w:val="24"/>
          <w:lang w:val="fr-FR" w:eastAsia="ja-JP"/>
        </w:rPr>
        <w:t xml:space="preserve">Après avoir été chargé par les pertes liées à la dépressurisation, le </w:t>
      </w:r>
      <w:proofErr w:type="spellStart"/>
      <w:r w:rsidRPr="004156C2">
        <w:rPr>
          <w:rFonts w:eastAsia="MS Mincho"/>
          <w:szCs w:val="24"/>
          <w:lang w:val="fr-FR" w:eastAsia="ja-JP"/>
        </w:rPr>
        <w:t>canister</w:t>
      </w:r>
      <w:proofErr w:type="spellEnd"/>
      <w:r>
        <w:rPr>
          <w:rFonts w:eastAsia="MS Mincho"/>
          <w:szCs w:val="24"/>
          <w:lang w:val="fr-FR" w:eastAsia="ja-JP"/>
        </w:rPr>
        <w:t xml:space="preserve"> du</w:t>
      </w:r>
      <w:r w:rsidRPr="004156C2">
        <w:rPr>
          <w:rFonts w:eastAsia="MS Mincho"/>
          <w:szCs w:val="24"/>
          <w:lang w:val="fr-FR" w:eastAsia="ja-JP"/>
        </w:rPr>
        <w:t xml:space="preserve"> véhicule </w:t>
      </w:r>
      <w:r>
        <w:rPr>
          <w:rFonts w:eastAsia="MS Mincho"/>
          <w:szCs w:val="24"/>
          <w:lang w:val="fr-FR" w:eastAsia="ja-JP"/>
        </w:rPr>
        <w:t xml:space="preserve">est remplacé par un </w:t>
      </w:r>
      <w:proofErr w:type="spellStart"/>
      <w:r>
        <w:rPr>
          <w:rFonts w:eastAsia="MS Mincho"/>
          <w:szCs w:val="24"/>
          <w:lang w:val="fr-FR" w:eastAsia="ja-JP"/>
        </w:rPr>
        <w:t>canister</w:t>
      </w:r>
      <w:proofErr w:type="spellEnd"/>
      <w:r>
        <w:rPr>
          <w:rFonts w:eastAsia="MS Mincho"/>
          <w:szCs w:val="24"/>
          <w:lang w:val="fr-FR" w:eastAsia="ja-JP"/>
        </w:rPr>
        <w:t xml:space="preserve"> factice (présentant les mêmes caractéristiques que l’original, mais pas nécessairement vieilli), après quoi le véhicule </w:t>
      </w:r>
      <w:r w:rsidRPr="004156C2">
        <w:rPr>
          <w:rFonts w:eastAsia="MS Mincho"/>
          <w:szCs w:val="24"/>
          <w:lang w:val="fr-FR" w:eastAsia="ja-JP"/>
        </w:rPr>
        <w:t xml:space="preserve">doit être stabilisé à une température de 23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 pendant 6 à 36 h.</w:t>
      </w:r>
    </w:p>
    <w:p w14:paraId="0A2EE8FD"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6.6.1.9.1</w:t>
      </w:r>
      <w:r w:rsidRPr="004156C2">
        <w:rPr>
          <w:rFonts w:eastAsia="MS Mincho"/>
          <w:szCs w:val="24"/>
          <w:lang w:val="fr-FR" w:eastAsia="ja-JP"/>
        </w:rPr>
        <w:tab/>
        <w:t>Charge du SRSEE</w:t>
      </w:r>
    </w:p>
    <w:p w14:paraId="44ACEF94"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 xml:space="preserve">Pour les VHE-RE, le SRSEE doit être chargé à 100 % conformément aux prescriptions énoncées au paragraphe 2.2.3 de l’appendice 4 de l’annexe 8 du RTM </w:t>
      </w:r>
      <w:r>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 pendant la phase de stabilisation décrite au paragraphe 6.6.1.9 de la présente annexe.</w:t>
      </w:r>
    </w:p>
    <w:p w14:paraId="396FC70D"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6.6.1.10</w:t>
      </w:r>
      <w:r w:rsidRPr="004156C2">
        <w:rPr>
          <w:rFonts w:eastAsia="MS Mincho"/>
          <w:szCs w:val="24"/>
          <w:lang w:val="fr-FR" w:eastAsia="ja-JP"/>
        </w:rPr>
        <w:tab/>
      </w:r>
      <w:r>
        <w:rPr>
          <w:rFonts w:eastAsia="MS Mincho"/>
          <w:szCs w:val="24"/>
          <w:lang w:val="fr-FR" w:eastAsia="ja-JP"/>
        </w:rPr>
        <w:t>V</w:t>
      </w:r>
      <w:r w:rsidRPr="004156C2">
        <w:rPr>
          <w:rFonts w:eastAsia="MS Mincho"/>
          <w:szCs w:val="24"/>
          <w:lang w:val="fr-FR" w:eastAsia="ja-JP"/>
        </w:rPr>
        <w:t>idange et remplissage du réservoir</w:t>
      </w:r>
    </w:p>
    <w:p w14:paraId="1033FFBD"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Le réservoir du véhicule doit être vidangé puis rempli à 40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 avec du carburant de référence à 18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w:t>
      </w:r>
    </w:p>
    <w:p w14:paraId="35E6AA1C"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6.6.1.11</w:t>
      </w:r>
      <w:r w:rsidRPr="004156C2">
        <w:rPr>
          <w:rFonts w:eastAsia="MS Mincho"/>
          <w:szCs w:val="24"/>
          <w:lang w:val="fr-FR" w:eastAsia="ja-JP"/>
        </w:rPr>
        <w:tab/>
        <w:t>Stabilisation</w:t>
      </w:r>
    </w:p>
    <w:p w14:paraId="6D18D3B4"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Le véhicule doit ensuite être plac</w:t>
      </w:r>
      <w:r>
        <w:rPr>
          <w:rFonts w:eastAsia="MS Mincho"/>
          <w:szCs w:val="24"/>
          <w:lang w:val="fr-FR" w:eastAsia="ja-JP"/>
        </w:rPr>
        <w:t>é</w:t>
      </w:r>
      <w:r w:rsidRPr="004156C2">
        <w:rPr>
          <w:rFonts w:eastAsia="MS Mincho"/>
          <w:szCs w:val="24"/>
          <w:lang w:val="fr-FR" w:eastAsia="ja-JP"/>
        </w:rPr>
        <w:t xml:space="preserve"> dans la zone de stabilisation pendant au minimum 6 h et au maximum 36 h à une température de 20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w:t>
      </w:r>
      <w:r>
        <w:rPr>
          <w:rFonts w:eastAsia="MS Mincho"/>
          <w:szCs w:val="24"/>
          <w:lang w:val="fr-FR" w:eastAsia="ja-JP"/>
        </w:rPr>
        <w:t xml:space="preserve"> afin de stabiliser la température du carburant</w:t>
      </w:r>
      <w:r w:rsidRPr="004156C2">
        <w:rPr>
          <w:rFonts w:eastAsia="MS Mincho"/>
          <w:szCs w:val="24"/>
          <w:lang w:val="fr-FR" w:eastAsia="ja-JP"/>
        </w:rPr>
        <w:t xml:space="preserve">. </w:t>
      </w:r>
    </w:p>
    <w:p w14:paraId="6C7E90EE"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6.6.1.12</w:t>
      </w:r>
      <w:r w:rsidRPr="004156C2">
        <w:rPr>
          <w:rFonts w:eastAsia="MS Mincho"/>
          <w:szCs w:val="24"/>
          <w:lang w:val="fr-FR" w:eastAsia="ja-JP"/>
        </w:rPr>
        <w:tab/>
        <w:t>Dépressurisation du réservoir</w:t>
      </w:r>
    </w:p>
    <w:p w14:paraId="4E8AF412"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La pression dans le réservoir doit ensuite être relâchée de manière à ce qu’elle ne monte pas anormalement. Pour cela, on peut ouvrir le bouchon du réservoir à carburant du véhicule</w:t>
      </w:r>
      <w:r w:rsidRPr="004156C2">
        <w:rPr>
          <w:rFonts w:eastAsia="MS Mincho"/>
          <w:color w:val="000000"/>
          <w:kern w:val="24"/>
          <w:lang w:val="fr-FR" w:eastAsia="ja-JP"/>
        </w:rPr>
        <w:t>. Quelle que soit la méthode de dépressurisation utilisée, le véhicule doit être ramené à son état initial dans un délai d</w:t>
      </w:r>
      <w:r>
        <w:rPr>
          <w:rFonts w:eastAsia="MS Mincho"/>
          <w:color w:val="000000"/>
          <w:kern w:val="24"/>
          <w:lang w:val="fr-FR" w:eastAsia="ja-JP"/>
        </w:rPr>
        <w:t>e 1</w:t>
      </w:r>
      <w:r w:rsidRPr="004156C2">
        <w:rPr>
          <w:rFonts w:eastAsia="MS Mincho"/>
          <w:color w:val="000000"/>
          <w:kern w:val="24"/>
          <w:lang w:val="fr-FR" w:eastAsia="ja-JP"/>
        </w:rPr>
        <w:t xml:space="preserve"> min. Une fois cette opération terminée, </w:t>
      </w:r>
      <w:r>
        <w:rPr>
          <w:rFonts w:eastAsia="MS Mincho"/>
          <w:color w:val="000000"/>
          <w:kern w:val="24"/>
          <w:lang w:val="fr-FR" w:eastAsia="ja-JP"/>
        </w:rPr>
        <w:t xml:space="preserve">le </w:t>
      </w:r>
      <w:proofErr w:type="spellStart"/>
      <w:r>
        <w:rPr>
          <w:rFonts w:eastAsia="MS Mincho"/>
          <w:color w:val="000000"/>
          <w:kern w:val="24"/>
          <w:lang w:val="fr-FR" w:eastAsia="ja-JP"/>
        </w:rPr>
        <w:t>canister</w:t>
      </w:r>
      <w:proofErr w:type="spellEnd"/>
      <w:r>
        <w:rPr>
          <w:rFonts w:eastAsia="MS Mincho"/>
          <w:color w:val="000000"/>
          <w:kern w:val="24"/>
          <w:lang w:val="fr-FR" w:eastAsia="ja-JP"/>
        </w:rPr>
        <w:t xml:space="preserve"> </w:t>
      </w:r>
      <w:r w:rsidRPr="004156C2">
        <w:rPr>
          <w:rFonts w:eastAsia="MS Mincho"/>
          <w:color w:val="000000"/>
          <w:kern w:val="24"/>
          <w:lang w:val="fr-FR" w:eastAsia="ja-JP"/>
        </w:rPr>
        <w:t>doit être reconnecté</w:t>
      </w:r>
      <w:r w:rsidRPr="004156C2">
        <w:rPr>
          <w:rFonts w:eastAsia="MS Mincho"/>
          <w:szCs w:val="24"/>
          <w:lang w:val="fr-FR" w:eastAsia="ja-JP"/>
        </w:rPr>
        <w:t>.</w:t>
      </w:r>
    </w:p>
    <w:p w14:paraId="43C228E3"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szCs w:val="24"/>
          <w:lang w:val="fr-FR" w:eastAsia="ja-JP"/>
        </w:rPr>
        <w:t>6.6.1.13</w:t>
      </w:r>
      <w:r w:rsidRPr="004156C2">
        <w:rPr>
          <w:rFonts w:eastAsia="MS Mincho"/>
          <w:szCs w:val="24"/>
          <w:lang w:val="fr-FR" w:eastAsia="ja-JP"/>
        </w:rPr>
        <w:tab/>
        <w:t>Les procédures décrites aux paragraphes 6.5.6 à 6.5.9.8 de la présente annexe doivent être suivies.</w:t>
      </w:r>
    </w:p>
    <w:p w14:paraId="0AA757D9"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lastRenderedPageBreak/>
        <w:t>6.6.2</w:t>
      </w:r>
      <w:r w:rsidRPr="004156C2">
        <w:rPr>
          <w:rFonts w:eastAsia="MS Mincho"/>
          <w:szCs w:val="24"/>
          <w:lang w:val="fr-FR" w:eastAsia="ja-JP"/>
        </w:rPr>
        <w:tab/>
        <w:t>Si la pression de décharge du réservoir de carburant est inférieure à 30 kPa</w:t>
      </w:r>
    </w:p>
    <w:p w14:paraId="50E1C8F8" w14:textId="77777777" w:rsidR="00312EE0" w:rsidRPr="004156C2" w:rsidRDefault="00312EE0" w:rsidP="00312EE0">
      <w:pPr>
        <w:pStyle w:val="SingleTxtG"/>
        <w:ind w:left="2268"/>
        <w:rPr>
          <w:rFonts w:eastAsia="MS Mincho"/>
          <w:lang w:val="fr-FR" w:eastAsia="ja-JP"/>
        </w:rPr>
      </w:pPr>
      <w:r w:rsidRPr="004156C2">
        <w:rPr>
          <w:rFonts w:eastAsia="MS Mincho"/>
          <w:szCs w:val="24"/>
          <w:lang w:val="fr-FR" w:eastAsia="ja-JP"/>
        </w:rPr>
        <w:tab/>
        <w:t xml:space="preserve">L’essai doit être réalisé comme décrit aux </w:t>
      </w:r>
      <w:r w:rsidRPr="004156C2">
        <w:rPr>
          <w:rFonts w:eastAsia="MS Mincho"/>
          <w:lang w:val="fr-FR"/>
        </w:rPr>
        <w:t>paragraphes </w:t>
      </w:r>
      <w:r w:rsidRPr="004156C2">
        <w:rPr>
          <w:rFonts w:eastAsia="MS Mincho"/>
          <w:lang w:val="fr-FR" w:eastAsia="ja-JP"/>
        </w:rPr>
        <w:t xml:space="preserve">6.6.1.1 à 6.6.1.13 de la présente </w:t>
      </w:r>
      <w:r w:rsidRPr="004156C2">
        <w:rPr>
          <w:rFonts w:eastAsia="MS Mincho"/>
          <w:lang w:val="fr-FR"/>
        </w:rPr>
        <w:t xml:space="preserve">annexe. Toutefois, dans ce cas, le cycle de température ambiante indiqué au </w:t>
      </w:r>
      <w:r w:rsidRPr="004156C2">
        <w:rPr>
          <w:rFonts w:eastAsia="MS Mincho"/>
          <w:szCs w:val="24"/>
          <w:lang w:val="fr-FR" w:eastAsia="ja-JP"/>
        </w:rPr>
        <w:t xml:space="preserve">paragraphe 6.5.9.1 de la présente annexe doit être remplacé par le profil décrit dans le tableau </w:t>
      </w:r>
      <w:r w:rsidRPr="004156C2">
        <w:rPr>
          <w:rFonts w:eastAsia="MS Mincho"/>
          <w:lang w:val="fr-FR"/>
        </w:rPr>
        <w:t>A1/1</w:t>
      </w:r>
      <w:r w:rsidRPr="004156C2">
        <w:rPr>
          <w:rFonts w:eastAsia="MS Mincho"/>
          <w:lang w:val="fr-FR" w:eastAsia="ja-JP"/>
        </w:rPr>
        <w:t xml:space="preserve"> ci-après pour l’essai d’émissions diurne</w:t>
      </w:r>
      <w:r w:rsidRPr="004156C2">
        <w:rPr>
          <w:rFonts w:eastAsia="MS Mincho"/>
          <w:lang w:val="fr-FR"/>
        </w:rPr>
        <w:t xml:space="preserve">. </w:t>
      </w:r>
    </w:p>
    <w:p w14:paraId="00E7A139" w14:textId="77777777" w:rsidR="00312EE0" w:rsidRPr="007938A4" w:rsidRDefault="00312EE0" w:rsidP="00312EE0">
      <w:pPr>
        <w:pStyle w:val="Heading1"/>
        <w:spacing w:after="120"/>
        <w:rPr>
          <w:b/>
          <w:szCs w:val="24"/>
          <w:lang w:val="fr-FR" w:eastAsia="ja-JP"/>
        </w:rPr>
      </w:pPr>
      <w:r w:rsidRPr="004156C2">
        <w:rPr>
          <w:lang w:val="fr-FR" w:eastAsia="ja-JP"/>
        </w:rPr>
        <w:t>Tableau A1/1</w:t>
      </w:r>
      <w:r w:rsidRPr="004156C2">
        <w:rPr>
          <w:lang w:val="fr-FR" w:eastAsia="ja-JP"/>
        </w:rPr>
        <w:br/>
      </w:r>
      <w:r w:rsidRPr="007938A4">
        <w:rPr>
          <w:b/>
          <w:lang w:val="fr-FR"/>
        </w:rPr>
        <w:t>Profil de température ambiante de la séquence de remplacement pour un système</w:t>
      </w:r>
      <w:r w:rsidRPr="007938A4">
        <w:rPr>
          <w:b/>
          <w:lang w:val="fr-FR"/>
        </w:rPr>
        <w:br/>
        <w:t>de réservoir étanche</w:t>
      </w:r>
    </w:p>
    <w:tbl>
      <w:tblPr>
        <w:tblStyle w:val="Grilledutableau11"/>
        <w:tblW w:w="7370" w:type="dxa"/>
        <w:tblInd w:w="1134" w:type="dxa"/>
        <w:tblLayout w:type="fixed"/>
        <w:tblLook w:val="04A0" w:firstRow="1" w:lastRow="0" w:firstColumn="1" w:lastColumn="0" w:noHBand="0" w:noVBand="1"/>
      </w:tblPr>
      <w:tblGrid>
        <w:gridCol w:w="3296"/>
        <w:gridCol w:w="4074"/>
      </w:tblGrid>
      <w:tr w:rsidR="00312EE0" w:rsidRPr="007938A4" w14:paraId="6B628DBC" w14:textId="77777777" w:rsidTr="007F6101">
        <w:trPr>
          <w:tblHeader/>
        </w:trPr>
        <w:tc>
          <w:tcPr>
            <w:tcW w:w="3296" w:type="dxa"/>
            <w:shd w:val="clear" w:color="auto" w:fill="auto"/>
            <w:vAlign w:val="bottom"/>
            <w:hideMark/>
          </w:tcPr>
          <w:p w14:paraId="5120B3FD" w14:textId="77777777" w:rsidR="00312EE0" w:rsidRPr="007938A4" w:rsidRDefault="00312EE0" w:rsidP="007F6101">
            <w:pPr>
              <w:suppressAutoHyphens w:val="0"/>
              <w:spacing w:before="80" w:after="80" w:line="200" w:lineRule="exact"/>
              <w:ind w:left="113" w:right="113"/>
              <w:jc w:val="center"/>
              <w:rPr>
                <w:i/>
                <w:sz w:val="16"/>
                <w:lang w:val="fr-FR"/>
              </w:rPr>
            </w:pPr>
            <w:r w:rsidRPr="007938A4">
              <w:rPr>
                <w:i/>
                <w:sz w:val="16"/>
                <w:lang w:val="fr-FR"/>
              </w:rPr>
              <w:t>Temps(h)</w:t>
            </w:r>
          </w:p>
        </w:tc>
        <w:tc>
          <w:tcPr>
            <w:tcW w:w="4074" w:type="dxa"/>
            <w:shd w:val="clear" w:color="auto" w:fill="auto"/>
            <w:vAlign w:val="bottom"/>
            <w:hideMark/>
          </w:tcPr>
          <w:p w14:paraId="6EA5D829" w14:textId="77777777" w:rsidR="00312EE0" w:rsidRPr="007938A4" w:rsidRDefault="00312EE0" w:rsidP="007F6101">
            <w:pPr>
              <w:suppressAutoHyphens w:val="0"/>
              <w:spacing w:before="80" w:after="80" w:line="200" w:lineRule="exact"/>
              <w:ind w:left="113" w:right="113"/>
              <w:jc w:val="center"/>
              <w:rPr>
                <w:i/>
                <w:sz w:val="16"/>
                <w:lang w:val="fr-FR"/>
              </w:rPr>
            </w:pPr>
            <w:r w:rsidRPr="007938A4">
              <w:rPr>
                <w:i/>
                <w:sz w:val="16"/>
                <w:lang w:val="fr-FR"/>
              </w:rPr>
              <w:t>Température (</w:t>
            </w:r>
            <w:r w:rsidRPr="007938A4">
              <w:rPr>
                <w:i/>
                <w:sz w:val="16"/>
                <w:lang w:val="fr-FR" w:eastAsia="ja-JP"/>
              </w:rPr>
              <w:t>°</w:t>
            </w:r>
            <w:r w:rsidRPr="007938A4">
              <w:rPr>
                <w:i/>
                <w:sz w:val="16"/>
                <w:lang w:val="fr-FR"/>
              </w:rPr>
              <w:t>C)</w:t>
            </w:r>
          </w:p>
        </w:tc>
      </w:tr>
      <w:tr w:rsidR="00312EE0" w:rsidRPr="007938A4" w14:paraId="59E44F2C" w14:textId="77777777" w:rsidTr="007F6101">
        <w:tc>
          <w:tcPr>
            <w:tcW w:w="3296" w:type="dxa"/>
            <w:shd w:val="clear" w:color="auto" w:fill="auto"/>
            <w:hideMark/>
          </w:tcPr>
          <w:p w14:paraId="3EE4546A"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0/24</w:t>
            </w:r>
          </w:p>
        </w:tc>
        <w:tc>
          <w:tcPr>
            <w:tcW w:w="4074" w:type="dxa"/>
            <w:shd w:val="clear" w:color="auto" w:fill="auto"/>
            <w:vAlign w:val="bottom"/>
            <w:hideMark/>
          </w:tcPr>
          <w:p w14:paraId="58874EBB"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20,0</w:t>
            </w:r>
          </w:p>
        </w:tc>
      </w:tr>
      <w:tr w:rsidR="00312EE0" w:rsidRPr="007938A4" w14:paraId="59E52D34" w14:textId="77777777" w:rsidTr="007F6101">
        <w:tc>
          <w:tcPr>
            <w:tcW w:w="3296" w:type="dxa"/>
            <w:shd w:val="clear" w:color="auto" w:fill="auto"/>
            <w:hideMark/>
          </w:tcPr>
          <w:p w14:paraId="26BE32C3"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w:t>
            </w:r>
          </w:p>
        </w:tc>
        <w:tc>
          <w:tcPr>
            <w:tcW w:w="4074" w:type="dxa"/>
            <w:shd w:val="clear" w:color="auto" w:fill="auto"/>
            <w:vAlign w:val="bottom"/>
            <w:hideMark/>
          </w:tcPr>
          <w:p w14:paraId="69AE2C44"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20,4</w:t>
            </w:r>
          </w:p>
        </w:tc>
      </w:tr>
      <w:tr w:rsidR="00312EE0" w:rsidRPr="007938A4" w14:paraId="13259CF2" w14:textId="77777777" w:rsidTr="007F6101">
        <w:tc>
          <w:tcPr>
            <w:tcW w:w="3296" w:type="dxa"/>
            <w:shd w:val="clear" w:color="auto" w:fill="auto"/>
            <w:hideMark/>
          </w:tcPr>
          <w:p w14:paraId="48041170"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w:t>
            </w:r>
          </w:p>
        </w:tc>
        <w:tc>
          <w:tcPr>
            <w:tcW w:w="4074" w:type="dxa"/>
            <w:shd w:val="clear" w:color="auto" w:fill="auto"/>
            <w:vAlign w:val="bottom"/>
            <w:hideMark/>
          </w:tcPr>
          <w:p w14:paraId="5F1DBE97"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20,8</w:t>
            </w:r>
          </w:p>
        </w:tc>
      </w:tr>
      <w:tr w:rsidR="00312EE0" w:rsidRPr="007938A4" w14:paraId="488BEB85" w14:textId="77777777" w:rsidTr="007F6101">
        <w:tc>
          <w:tcPr>
            <w:tcW w:w="3296" w:type="dxa"/>
            <w:shd w:val="clear" w:color="auto" w:fill="auto"/>
            <w:hideMark/>
          </w:tcPr>
          <w:p w14:paraId="2502AD95"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w:t>
            </w:r>
          </w:p>
        </w:tc>
        <w:tc>
          <w:tcPr>
            <w:tcW w:w="4074" w:type="dxa"/>
            <w:shd w:val="clear" w:color="auto" w:fill="auto"/>
            <w:vAlign w:val="bottom"/>
            <w:hideMark/>
          </w:tcPr>
          <w:p w14:paraId="72C9F369"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21,7</w:t>
            </w:r>
          </w:p>
        </w:tc>
      </w:tr>
      <w:tr w:rsidR="00312EE0" w:rsidRPr="007938A4" w14:paraId="675C9DBF" w14:textId="77777777" w:rsidTr="007F6101">
        <w:tc>
          <w:tcPr>
            <w:tcW w:w="3296" w:type="dxa"/>
            <w:shd w:val="clear" w:color="auto" w:fill="auto"/>
            <w:hideMark/>
          </w:tcPr>
          <w:p w14:paraId="3AD72834"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4</w:t>
            </w:r>
          </w:p>
        </w:tc>
        <w:tc>
          <w:tcPr>
            <w:tcW w:w="4074" w:type="dxa"/>
            <w:shd w:val="clear" w:color="auto" w:fill="auto"/>
            <w:vAlign w:val="bottom"/>
            <w:hideMark/>
          </w:tcPr>
          <w:p w14:paraId="6B2E3964"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23,9</w:t>
            </w:r>
          </w:p>
        </w:tc>
      </w:tr>
      <w:tr w:rsidR="00312EE0" w:rsidRPr="007938A4" w14:paraId="005AA79F" w14:textId="77777777" w:rsidTr="007F6101">
        <w:tc>
          <w:tcPr>
            <w:tcW w:w="3296" w:type="dxa"/>
            <w:shd w:val="clear" w:color="auto" w:fill="auto"/>
            <w:hideMark/>
          </w:tcPr>
          <w:p w14:paraId="671CA24B"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5</w:t>
            </w:r>
          </w:p>
        </w:tc>
        <w:tc>
          <w:tcPr>
            <w:tcW w:w="4074" w:type="dxa"/>
            <w:shd w:val="clear" w:color="auto" w:fill="auto"/>
            <w:vAlign w:val="bottom"/>
            <w:hideMark/>
          </w:tcPr>
          <w:p w14:paraId="508B0564"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26,1</w:t>
            </w:r>
          </w:p>
        </w:tc>
      </w:tr>
      <w:tr w:rsidR="00312EE0" w:rsidRPr="007938A4" w14:paraId="0AC7070C" w14:textId="77777777" w:rsidTr="007F6101">
        <w:tc>
          <w:tcPr>
            <w:tcW w:w="3296" w:type="dxa"/>
            <w:shd w:val="clear" w:color="auto" w:fill="auto"/>
            <w:hideMark/>
          </w:tcPr>
          <w:p w14:paraId="30DD2D85"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6</w:t>
            </w:r>
          </w:p>
        </w:tc>
        <w:tc>
          <w:tcPr>
            <w:tcW w:w="4074" w:type="dxa"/>
            <w:shd w:val="clear" w:color="auto" w:fill="auto"/>
            <w:vAlign w:val="bottom"/>
            <w:hideMark/>
          </w:tcPr>
          <w:p w14:paraId="302807FB"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28,5</w:t>
            </w:r>
          </w:p>
        </w:tc>
      </w:tr>
      <w:tr w:rsidR="00312EE0" w:rsidRPr="007938A4" w14:paraId="558FF34D" w14:textId="77777777" w:rsidTr="007F6101">
        <w:tc>
          <w:tcPr>
            <w:tcW w:w="3296" w:type="dxa"/>
            <w:shd w:val="clear" w:color="auto" w:fill="auto"/>
            <w:hideMark/>
          </w:tcPr>
          <w:p w14:paraId="10660931"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7</w:t>
            </w:r>
          </w:p>
        </w:tc>
        <w:tc>
          <w:tcPr>
            <w:tcW w:w="4074" w:type="dxa"/>
            <w:shd w:val="clear" w:color="auto" w:fill="auto"/>
            <w:vAlign w:val="bottom"/>
            <w:hideMark/>
          </w:tcPr>
          <w:p w14:paraId="357B4843"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31,4</w:t>
            </w:r>
          </w:p>
        </w:tc>
      </w:tr>
      <w:tr w:rsidR="00312EE0" w:rsidRPr="007938A4" w14:paraId="7673652D" w14:textId="77777777" w:rsidTr="007F6101">
        <w:tc>
          <w:tcPr>
            <w:tcW w:w="3296" w:type="dxa"/>
            <w:shd w:val="clear" w:color="auto" w:fill="auto"/>
            <w:hideMark/>
          </w:tcPr>
          <w:p w14:paraId="0E75BD53"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8</w:t>
            </w:r>
          </w:p>
        </w:tc>
        <w:tc>
          <w:tcPr>
            <w:tcW w:w="4074" w:type="dxa"/>
            <w:shd w:val="clear" w:color="auto" w:fill="auto"/>
            <w:vAlign w:val="bottom"/>
            <w:hideMark/>
          </w:tcPr>
          <w:p w14:paraId="55ECBF4A"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33,8</w:t>
            </w:r>
          </w:p>
        </w:tc>
      </w:tr>
      <w:tr w:rsidR="00312EE0" w:rsidRPr="007938A4" w14:paraId="6DC94554" w14:textId="77777777" w:rsidTr="007F6101">
        <w:tc>
          <w:tcPr>
            <w:tcW w:w="3296" w:type="dxa"/>
            <w:shd w:val="clear" w:color="auto" w:fill="auto"/>
            <w:hideMark/>
          </w:tcPr>
          <w:p w14:paraId="43FD73BF"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9</w:t>
            </w:r>
          </w:p>
        </w:tc>
        <w:tc>
          <w:tcPr>
            <w:tcW w:w="4074" w:type="dxa"/>
            <w:shd w:val="clear" w:color="auto" w:fill="auto"/>
            <w:vAlign w:val="bottom"/>
            <w:hideMark/>
          </w:tcPr>
          <w:p w14:paraId="6D4E3EBA"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35,6</w:t>
            </w:r>
          </w:p>
        </w:tc>
      </w:tr>
      <w:tr w:rsidR="00312EE0" w:rsidRPr="007938A4" w14:paraId="454CF452" w14:textId="77777777" w:rsidTr="007F6101">
        <w:tc>
          <w:tcPr>
            <w:tcW w:w="3296" w:type="dxa"/>
            <w:shd w:val="clear" w:color="auto" w:fill="auto"/>
            <w:hideMark/>
          </w:tcPr>
          <w:p w14:paraId="5D7586BF"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10</w:t>
            </w:r>
          </w:p>
        </w:tc>
        <w:tc>
          <w:tcPr>
            <w:tcW w:w="4074" w:type="dxa"/>
            <w:shd w:val="clear" w:color="auto" w:fill="auto"/>
            <w:vAlign w:val="bottom"/>
            <w:hideMark/>
          </w:tcPr>
          <w:p w14:paraId="00BF4880"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37,1</w:t>
            </w:r>
          </w:p>
        </w:tc>
      </w:tr>
      <w:tr w:rsidR="00312EE0" w:rsidRPr="007938A4" w14:paraId="1A18FF19" w14:textId="77777777" w:rsidTr="007F6101">
        <w:tc>
          <w:tcPr>
            <w:tcW w:w="3296" w:type="dxa"/>
            <w:shd w:val="clear" w:color="auto" w:fill="auto"/>
            <w:hideMark/>
          </w:tcPr>
          <w:p w14:paraId="3445D2DF"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11</w:t>
            </w:r>
          </w:p>
        </w:tc>
        <w:tc>
          <w:tcPr>
            <w:tcW w:w="4074" w:type="dxa"/>
            <w:shd w:val="clear" w:color="auto" w:fill="auto"/>
            <w:vAlign w:val="bottom"/>
            <w:hideMark/>
          </w:tcPr>
          <w:p w14:paraId="75B77539"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38,0</w:t>
            </w:r>
          </w:p>
        </w:tc>
      </w:tr>
      <w:tr w:rsidR="00312EE0" w:rsidRPr="007938A4" w14:paraId="7309EC7A" w14:textId="77777777" w:rsidTr="007F6101">
        <w:tc>
          <w:tcPr>
            <w:tcW w:w="3296" w:type="dxa"/>
            <w:shd w:val="clear" w:color="auto" w:fill="auto"/>
            <w:hideMark/>
          </w:tcPr>
          <w:p w14:paraId="4BFF316E"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12</w:t>
            </w:r>
          </w:p>
        </w:tc>
        <w:tc>
          <w:tcPr>
            <w:tcW w:w="4074" w:type="dxa"/>
            <w:shd w:val="clear" w:color="auto" w:fill="auto"/>
            <w:vAlign w:val="bottom"/>
            <w:hideMark/>
          </w:tcPr>
          <w:p w14:paraId="18183084"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37,7</w:t>
            </w:r>
          </w:p>
        </w:tc>
      </w:tr>
      <w:tr w:rsidR="00312EE0" w:rsidRPr="007938A4" w14:paraId="37232797" w14:textId="77777777" w:rsidTr="007F6101">
        <w:tc>
          <w:tcPr>
            <w:tcW w:w="3296" w:type="dxa"/>
            <w:shd w:val="clear" w:color="auto" w:fill="auto"/>
            <w:hideMark/>
          </w:tcPr>
          <w:p w14:paraId="5EC1EAD2"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13</w:t>
            </w:r>
          </w:p>
        </w:tc>
        <w:tc>
          <w:tcPr>
            <w:tcW w:w="4074" w:type="dxa"/>
            <w:shd w:val="clear" w:color="auto" w:fill="auto"/>
            <w:vAlign w:val="bottom"/>
            <w:hideMark/>
          </w:tcPr>
          <w:p w14:paraId="505A66B6"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36,4</w:t>
            </w:r>
          </w:p>
        </w:tc>
      </w:tr>
      <w:tr w:rsidR="00312EE0" w:rsidRPr="007938A4" w14:paraId="2A5CE827" w14:textId="77777777" w:rsidTr="007F6101">
        <w:tc>
          <w:tcPr>
            <w:tcW w:w="3296" w:type="dxa"/>
            <w:shd w:val="clear" w:color="auto" w:fill="auto"/>
            <w:hideMark/>
          </w:tcPr>
          <w:p w14:paraId="5AB28CAB"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14</w:t>
            </w:r>
          </w:p>
        </w:tc>
        <w:tc>
          <w:tcPr>
            <w:tcW w:w="4074" w:type="dxa"/>
            <w:shd w:val="clear" w:color="auto" w:fill="auto"/>
            <w:vAlign w:val="bottom"/>
            <w:hideMark/>
          </w:tcPr>
          <w:p w14:paraId="0ECB5A89"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34,2</w:t>
            </w:r>
          </w:p>
        </w:tc>
      </w:tr>
      <w:tr w:rsidR="00312EE0" w:rsidRPr="007938A4" w14:paraId="61FEC80A" w14:textId="77777777" w:rsidTr="007F6101">
        <w:tc>
          <w:tcPr>
            <w:tcW w:w="3296" w:type="dxa"/>
            <w:shd w:val="clear" w:color="auto" w:fill="auto"/>
            <w:hideMark/>
          </w:tcPr>
          <w:p w14:paraId="4942E45A"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15</w:t>
            </w:r>
          </w:p>
        </w:tc>
        <w:tc>
          <w:tcPr>
            <w:tcW w:w="4074" w:type="dxa"/>
            <w:shd w:val="clear" w:color="auto" w:fill="auto"/>
            <w:vAlign w:val="bottom"/>
            <w:hideMark/>
          </w:tcPr>
          <w:p w14:paraId="263F35C7"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31,9</w:t>
            </w:r>
          </w:p>
        </w:tc>
      </w:tr>
      <w:tr w:rsidR="00312EE0" w:rsidRPr="007938A4" w14:paraId="13E158E6" w14:textId="77777777" w:rsidTr="007F6101">
        <w:tc>
          <w:tcPr>
            <w:tcW w:w="3296" w:type="dxa"/>
            <w:shd w:val="clear" w:color="auto" w:fill="auto"/>
            <w:hideMark/>
          </w:tcPr>
          <w:p w14:paraId="064D230B"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16</w:t>
            </w:r>
          </w:p>
        </w:tc>
        <w:tc>
          <w:tcPr>
            <w:tcW w:w="4074" w:type="dxa"/>
            <w:shd w:val="clear" w:color="auto" w:fill="auto"/>
            <w:vAlign w:val="bottom"/>
            <w:hideMark/>
          </w:tcPr>
          <w:p w14:paraId="584616B1"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29,9</w:t>
            </w:r>
          </w:p>
        </w:tc>
      </w:tr>
      <w:tr w:rsidR="00312EE0" w:rsidRPr="007938A4" w14:paraId="2BEE441C" w14:textId="77777777" w:rsidTr="007F6101">
        <w:tc>
          <w:tcPr>
            <w:tcW w:w="3296" w:type="dxa"/>
            <w:shd w:val="clear" w:color="auto" w:fill="auto"/>
            <w:hideMark/>
          </w:tcPr>
          <w:p w14:paraId="471C25CD"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17</w:t>
            </w:r>
          </w:p>
        </w:tc>
        <w:tc>
          <w:tcPr>
            <w:tcW w:w="4074" w:type="dxa"/>
            <w:shd w:val="clear" w:color="auto" w:fill="auto"/>
            <w:vAlign w:val="bottom"/>
            <w:hideMark/>
          </w:tcPr>
          <w:p w14:paraId="1DE316CC"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28,2</w:t>
            </w:r>
          </w:p>
        </w:tc>
      </w:tr>
      <w:tr w:rsidR="00312EE0" w:rsidRPr="007938A4" w14:paraId="2A59EEF3" w14:textId="77777777" w:rsidTr="007F6101">
        <w:tc>
          <w:tcPr>
            <w:tcW w:w="3296" w:type="dxa"/>
            <w:shd w:val="clear" w:color="auto" w:fill="auto"/>
            <w:hideMark/>
          </w:tcPr>
          <w:p w14:paraId="6EB7C242"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18</w:t>
            </w:r>
          </w:p>
        </w:tc>
        <w:tc>
          <w:tcPr>
            <w:tcW w:w="4074" w:type="dxa"/>
            <w:shd w:val="clear" w:color="auto" w:fill="auto"/>
            <w:vAlign w:val="bottom"/>
            <w:hideMark/>
          </w:tcPr>
          <w:p w14:paraId="1AA440E2"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26,2</w:t>
            </w:r>
          </w:p>
        </w:tc>
      </w:tr>
      <w:tr w:rsidR="00312EE0" w:rsidRPr="007938A4" w14:paraId="0F80C2FA" w14:textId="77777777" w:rsidTr="007F6101">
        <w:tc>
          <w:tcPr>
            <w:tcW w:w="3296" w:type="dxa"/>
            <w:shd w:val="clear" w:color="auto" w:fill="auto"/>
            <w:hideMark/>
          </w:tcPr>
          <w:p w14:paraId="5730B9BE"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19</w:t>
            </w:r>
          </w:p>
        </w:tc>
        <w:tc>
          <w:tcPr>
            <w:tcW w:w="4074" w:type="dxa"/>
            <w:shd w:val="clear" w:color="auto" w:fill="auto"/>
            <w:vAlign w:val="bottom"/>
            <w:hideMark/>
          </w:tcPr>
          <w:p w14:paraId="03528339"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24,7</w:t>
            </w:r>
          </w:p>
        </w:tc>
      </w:tr>
      <w:tr w:rsidR="00312EE0" w:rsidRPr="007938A4" w14:paraId="15FD748C" w14:textId="77777777" w:rsidTr="007F6101">
        <w:tc>
          <w:tcPr>
            <w:tcW w:w="3296" w:type="dxa"/>
            <w:shd w:val="clear" w:color="auto" w:fill="auto"/>
            <w:hideMark/>
          </w:tcPr>
          <w:p w14:paraId="59C4BD2C"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20</w:t>
            </w:r>
          </w:p>
        </w:tc>
        <w:tc>
          <w:tcPr>
            <w:tcW w:w="4074" w:type="dxa"/>
            <w:shd w:val="clear" w:color="auto" w:fill="auto"/>
            <w:vAlign w:val="bottom"/>
            <w:hideMark/>
          </w:tcPr>
          <w:p w14:paraId="6B9A3558"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23,5</w:t>
            </w:r>
          </w:p>
        </w:tc>
      </w:tr>
      <w:tr w:rsidR="00312EE0" w:rsidRPr="007938A4" w14:paraId="3038EA96" w14:textId="77777777" w:rsidTr="007F6101">
        <w:tc>
          <w:tcPr>
            <w:tcW w:w="3296" w:type="dxa"/>
            <w:shd w:val="clear" w:color="auto" w:fill="auto"/>
            <w:hideMark/>
          </w:tcPr>
          <w:p w14:paraId="376CD0D6"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21</w:t>
            </w:r>
          </w:p>
        </w:tc>
        <w:tc>
          <w:tcPr>
            <w:tcW w:w="4074" w:type="dxa"/>
            <w:shd w:val="clear" w:color="auto" w:fill="auto"/>
            <w:vAlign w:val="bottom"/>
            <w:hideMark/>
          </w:tcPr>
          <w:p w14:paraId="64948180"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22,3</w:t>
            </w:r>
          </w:p>
        </w:tc>
      </w:tr>
      <w:tr w:rsidR="00312EE0" w:rsidRPr="007938A4" w14:paraId="3C089C7E" w14:textId="77777777" w:rsidTr="007F6101">
        <w:tc>
          <w:tcPr>
            <w:tcW w:w="3296" w:type="dxa"/>
            <w:shd w:val="clear" w:color="auto" w:fill="auto"/>
            <w:hideMark/>
          </w:tcPr>
          <w:p w14:paraId="128C433A"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22</w:t>
            </w:r>
          </w:p>
        </w:tc>
        <w:tc>
          <w:tcPr>
            <w:tcW w:w="4074" w:type="dxa"/>
            <w:shd w:val="clear" w:color="auto" w:fill="auto"/>
            <w:vAlign w:val="bottom"/>
            <w:hideMark/>
          </w:tcPr>
          <w:p w14:paraId="29FBCD88"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21,0</w:t>
            </w:r>
          </w:p>
        </w:tc>
      </w:tr>
      <w:tr w:rsidR="00312EE0" w:rsidRPr="007938A4" w14:paraId="3D97A88E" w14:textId="77777777" w:rsidTr="007F6101">
        <w:tc>
          <w:tcPr>
            <w:tcW w:w="3296" w:type="dxa"/>
            <w:shd w:val="clear" w:color="auto" w:fill="auto"/>
            <w:hideMark/>
          </w:tcPr>
          <w:p w14:paraId="31686F8E"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23</w:t>
            </w:r>
          </w:p>
        </w:tc>
        <w:tc>
          <w:tcPr>
            <w:tcW w:w="4074" w:type="dxa"/>
            <w:shd w:val="clear" w:color="auto" w:fill="auto"/>
            <w:vAlign w:val="bottom"/>
            <w:hideMark/>
          </w:tcPr>
          <w:p w14:paraId="0E8C7600"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20,2</w:t>
            </w:r>
          </w:p>
        </w:tc>
      </w:tr>
    </w:tbl>
    <w:p w14:paraId="7E2A1F28" w14:textId="77777777" w:rsidR="00312EE0" w:rsidRPr="004156C2" w:rsidRDefault="00312EE0" w:rsidP="00312EE0">
      <w:pPr>
        <w:pStyle w:val="SingleTxtG"/>
        <w:spacing w:before="240"/>
        <w:ind w:left="2268" w:hanging="1134"/>
        <w:rPr>
          <w:rFonts w:eastAsia="MS Mincho"/>
          <w:szCs w:val="24"/>
          <w:lang w:val="fr-FR" w:eastAsia="ja-JP"/>
        </w:rPr>
      </w:pPr>
      <w:r w:rsidRPr="004156C2">
        <w:rPr>
          <w:rFonts w:eastAsia="MS Mincho"/>
          <w:szCs w:val="24"/>
          <w:lang w:val="fr-FR" w:eastAsia="ja-JP"/>
        </w:rPr>
        <w:t>6.7</w:t>
      </w:r>
      <w:r w:rsidRPr="004156C2">
        <w:rPr>
          <w:rFonts w:eastAsia="MS Mincho"/>
          <w:szCs w:val="24"/>
          <w:lang w:val="fr-FR" w:eastAsia="ja-JP"/>
        </w:rPr>
        <w:tab/>
        <w:t>Procédure d’essai indépendante pour les systèmes de réservoirs étanches</w:t>
      </w:r>
    </w:p>
    <w:p w14:paraId="30FA3DFD"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szCs w:val="24"/>
          <w:lang w:val="fr-FR" w:eastAsia="ja-JP"/>
        </w:rPr>
        <w:t>6.7.1</w:t>
      </w:r>
      <w:r w:rsidRPr="004156C2">
        <w:rPr>
          <w:rFonts w:eastAsia="MS Mincho"/>
          <w:szCs w:val="24"/>
          <w:lang w:val="fr-FR" w:eastAsia="ja-JP"/>
        </w:rPr>
        <w:tab/>
        <w:t>Mesure de la masse de charge par pertes liées à la dépressurisation</w:t>
      </w:r>
      <w:r w:rsidRPr="004156C2" w:rsidDel="007A19EA">
        <w:rPr>
          <w:rFonts w:eastAsia="MS Mincho"/>
          <w:szCs w:val="24"/>
          <w:lang w:val="fr-FR" w:eastAsia="ja-JP"/>
        </w:rPr>
        <w:t xml:space="preserve"> </w:t>
      </w:r>
    </w:p>
    <w:p w14:paraId="0B28E183" w14:textId="77777777" w:rsidR="00312EE0" w:rsidRPr="004156C2" w:rsidRDefault="00312EE0" w:rsidP="00312EE0">
      <w:pPr>
        <w:pStyle w:val="SingleTxtG"/>
        <w:ind w:left="2268" w:hanging="1134"/>
        <w:rPr>
          <w:rFonts w:eastAsia="MS Mincho"/>
          <w:lang w:val="fr-FR" w:eastAsia="ja-JP"/>
        </w:rPr>
      </w:pPr>
      <w:r w:rsidRPr="004156C2">
        <w:rPr>
          <w:rFonts w:eastAsia="MS Mincho"/>
          <w:szCs w:val="24"/>
          <w:lang w:val="fr-FR" w:eastAsia="ja-JP"/>
        </w:rPr>
        <w:t>6.7.1.1</w:t>
      </w:r>
      <w:r w:rsidRPr="004156C2">
        <w:rPr>
          <w:rFonts w:eastAsia="MS Mincho"/>
          <w:szCs w:val="24"/>
          <w:lang w:val="fr-FR" w:eastAsia="ja-JP"/>
        </w:rPr>
        <w:tab/>
        <w:t>Les procédures décrites aux paragraphes 6.6.1.1 à 6.6.1.7.2 de la présente annexe doivent être suivies.</w:t>
      </w:r>
      <w:r w:rsidRPr="004156C2">
        <w:rPr>
          <w:rFonts w:eastAsia="MS Mincho"/>
          <w:lang w:val="fr-FR" w:eastAsia="ja-JP"/>
        </w:rPr>
        <w:t xml:space="preserve"> La </w:t>
      </w:r>
      <w:r w:rsidRPr="004156C2">
        <w:rPr>
          <w:rFonts w:eastAsia="MS Mincho"/>
          <w:szCs w:val="24"/>
          <w:lang w:val="fr-FR" w:eastAsia="ja-JP"/>
        </w:rPr>
        <w:t xml:space="preserve">masse de charge par pertes liées à la dépressurisation correspond à l’écart entre la masse du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du véhicule </w:t>
      </w:r>
      <w:r w:rsidRPr="004156C2">
        <w:rPr>
          <w:rFonts w:eastAsia="MS Mincho"/>
          <w:lang w:val="fr-FR" w:eastAsia="ja-JP"/>
        </w:rPr>
        <w:t>avant l</w:t>
      </w:r>
      <w:r>
        <w:rPr>
          <w:rFonts w:eastAsia="MS Mincho"/>
          <w:lang w:val="fr-FR" w:eastAsia="ja-JP"/>
        </w:rPr>
        <w:t>’application du</w:t>
      </w:r>
      <w:r w:rsidRPr="004156C2">
        <w:rPr>
          <w:rFonts w:eastAsia="MS Mincho"/>
          <w:lang w:val="fr-FR" w:eastAsia="ja-JP"/>
        </w:rPr>
        <w:t xml:space="preserve"> paragraphe 6.6.1.6 de la présente annexe et sa masse après l</w:t>
      </w:r>
      <w:r>
        <w:rPr>
          <w:rFonts w:eastAsia="MS Mincho"/>
          <w:lang w:val="fr-FR" w:eastAsia="ja-JP"/>
        </w:rPr>
        <w:t>’application du</w:t>
      </w:r>
      <w:r w:rsidRPr="004156C2">
        <w:rPr>
          <w:rFonts w:eastAsia="MS Mincho"/>
          <w:lang w:val="fr-FR" w:eastAsia="ja-JP"/>
        </w:rPr>
        <w:t xml:space="preserve"> paragraphe</w:t>
      </w:r>
      <w:r w:rsidRPr="004156C2">
        <w:t> </w:t>
      </w:r>
      <w:r w:rsidRPr="004156C2">
        <w:rPr>
          <w:rFonts w:eastAsia="MS Mincho"/>
          <w:lang w:val="fr-FR" w:eastAsia="ja-JP"/>
        </w:rPr>
        <w:t>6.6.1.7.2 de ladite annexe.</w:t>
      </w:r>
    </w:p>
    <w:p w14:paraId="3A6026D2" w14:textId="77777777" w:rsidR="00312EE0" w:rsidRPr="004156C2" w:rsidRDefault="00312EE0" w:rsidP="00312EE0">
      <w:pPr>
        <w:pStyle w:val="SingleTxtG"/>
        <w:ind w:left="2268" w:hanging="1134"/>
        <w:rPr>
          <w:rFonts w:eastAsia="MS Mincho"/>
          <w:lang w:val="fr-FR" w:eastAsia="ja-JP"/>
        </w:rPr>
      </w:pPr>
      <w:r w:rsidRPr="004156C2">
        <w:rPr>
          <w:rFonts w:eastAsia="MS Mincho"/>
          <w:lang w:val="fr-FR" w:eastAsia="ja-JP"/>
        </w:rPr>
        <w:t>6.7.1.2</w:t>
      </w:r>
      <w:r w:rsidRPr="004156C2">
        <w:rPr>
          <w:rFonts w:eastAsia="MS Mincho"/>
          <w:lang w:val="fr-FR" w:eastAsia="ja-JP"/>
        </w:rPr>
        <w:tab/>
        <w:t xml:space="preserve">Le trop-plein de pertes liées à la dépressurisation qui n’est pas absorbé par le </w:t>
      </w:r>
      <w:proofErr w:type="spellStart"/>
      <w:r w:rsidRPr="004156C2">
        <w:rPr>
          <w:rFonts w:eastAsia="MS Mincho"/>
          <w:lang w:val="fr-FR" w:eastAsia="ja-JP"/>
        </w:rPr>
        <w:t>canister</w:t>
      </w:r>
      <w:proofErr w:type="spellEnd"/>
      <w:r w:rsidRPr="004156C2">
        <w:rPr>
          <w:rFonts w:eastAsia="MS Mincho"/>
          <w:lang w:val="fr-FR" w:eastAsia="ja-JP"/>
        </w:rPr>
        <w:t xml:space="preserve"> doit être mesuré conformément aux paragraphes 6.6.1.8</w:t>
      </w:r>
      <w:r>
        <w:rPr>
          <w:rFonts w:eastAsia="MS Mincho"/>
          <w:lang w:val="fr-FR" w:eastAsia="ja-JP"/>
        </w:rPr>
        <w:t>.1</w:t>
      </w:r>
      <w:r w:rsidRPr="004156C2">
        <w:rPr>
          <w:rFonts w:eastAsia="MS Mincho"/>
          <w:lang w:val="fr-FR" w:eastAsia="ja-JP"/>
        </w:rPr>
        <w:t xml:space="preserve"> </w:t>
      </w:r>
      <w:r>
        <w:rPr>
          <w:rFonts w:eastAsia="MS Mincho"/>
          <w:lang w:val="fr-FR" w:eastAsia="ja-JP"/>
        </w:rPr>
        <w:t>et</w:t>
      </w:r>
      <w:r w:rsidRPr="004156C2">
        <w:rPr>
          <w:rFonts w:eastAsia="MS Mincho"/>
          <w:lang w:val="fr-FR" w:eastAsia="ja-JP"/>
        </w:rPr>
        <w:t xml:space="preserve"> 6.6.1.8.2 </w:t>
      </w:r>
      <w:r w:rsidRPr="004156C2">
        <w:rPr>
          <w:rFonts w:eastAsia="MS Mincho"/>
          <w:lang w:val="fr-FR"/>
        </w:rPr>
        <w:t xml:space="preserve">de la présente annexe et satisfaire aux prescriptions du </w:t>
      </w:r>
      <w:r w:rsidRPr="004156C2">
        <w:rPr>
          <w:rFonts w:eastAsia="MS Mincho"/>
          <w:lang w:val="fr-FR" w:eastAsia="ja-JP"/>
        </w:rPr>
        <w:t>paragraphe 6.6.1.8.3 de ladite annexe.</w:t>
      </w:r>
    </w:p>
    <w:p w14:paraId="15BE2407"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lastRenderedPageBreak/>
        <w:t>6.7.2</w:t>
      </w:r>
      <w:r w:rsidRPr="004156C2">
        <w:rPr>
          <w:rFonts w:eastAsia="MS Mincho"/>
          <w:szCs w:val="24"/>
          <w:lang w:val="fr-FR" w:eastAsia="ja-JP"/>
        </w:rPr>
        <w:tab/>
        <w:t xml:space="preserve">Essai de pertes par </w:t>
      </w:r>
      <w:r w:rsidRPr="004156C2">
        <w:rPr>
          <w:rFonts w:eastAsia="MS Mincho"/>
          <w:lang w:val="fr-FR"/>
        </w:rPr>
        <w:t>accumulation de chaleur et de pertes par respiration diurne</w:t>
      </w:r>
    </w:p>
    <w:p w14:paraId="3A78DCF0"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6.7.2.1</w:t>
      </w:r>
      <w:r w:rsidRPr="004156C2">
        <w:rPr>
          <w:rFonts w:eastAsia="MS Mincho"/>
          <w:szCs w:val="24"/>
          <w:lang w:val="fr-FR" w:eastAsia="ja-JP"/>
        </w:rPr>
        <w:tab/>
        <w:t>Si la pression de décharge du réservoir de carburant est supérieure ou égale à 30 kPa :</w:t>
      </w:r>
    </w:p>
    <w:p w14:paraId="49C0A619" w14:textId="77777777" w:rsidR="00312EE0" w:rsidRPr="004156C2" w:rsidRDefault="00312EE0" w:rsidP="00312EE0">
      <w:pPr>
        <w:pStyle w:val="SingleTxtG"/>
        <w:keepNext/>
        <w:ind w:left="2268" w:hanging="1134"/>
        <w:rPr>
          <w:rFonts w:eastAsia="MS Mincho"/>
          <w:lang w:val="fr-FR"/>
        </w:rPr>
      </w:pPr>
      <w:r w:rsidRPr="004156C2">
        <w:rPr>
          <w:rFonts w:eastAsia="MS Mincho"/>
          <w:szCs w:val="24"/>
          <w:lang w:val="fr-FR" w:eastAsia="ja-JP"/>
        </w:rPr>
        <w:t>6.7.2.1.1</w:t>
      </w:r>
      <w:r w:rsidRPr="004156C2">
        <w:rPr>
          <w:rFonts w:eastAsia="MS Mincho"/>
          <w:szCs w:val="24"/>
          <w:lang w:val="fr-FR" w:eastAsia="ja-JP"/>
        </w:rPr>
        <w:tab/>
      </w:r>
      <w:r w:rsidRPr="004156C2">
        <w:rPr>
          <w:rFonts w:eastAsia="MS Mincho"/>
          <w:lang w:val="fr-FR" w:eastAsia="ja-JP"/>
        </w:rPr>
        <w:t xml:space="preserve">L’essai doit être réalisé comme décrit aux </w:t>
      </w:r>
      <w:r w:rsidRPr="004156C2">
        <w:rPr>
          <w:rFonts w:eastAsia="MS Mincho"/>
          <w:lang w:val="fr-FR"/>
        </w:rPr>
        <w:t>paragraphes </w:t>
      </w:r>
      <w:r w:rsidRPr="004156C2">
        <w:rPr>
          <w:rFonts w:eastAsia="MS Mincho"/>
          <w:lang w:val="fr-FR" w:eastAsia="ja-JP"/>
        </w:rPr>
        <w:t xml:space="preserve">6.5.1 à </w:t>
      </w:r>
      <w:r w:rsidRPr="004156C2">
        <w:rPr>
          <w:rFonts w:eastAsia="MS Mincho"/>
          <w:lang w:val="fr-FR"/>
        </w:rPr>
        <w:t>6.</w:t>
      </w:r>
      <w:r w:rsidRPr="004156C2">
        <w:rPr>
          <w:rFonts w:eastAsia="MS Mincho"/>
          <w:lang w:val="fr-FR" w:eastAsia="ja-JP"/>
        </w:rPr>
        <w:t>5</w:t>
      </w:r>
      <w:r w:rsidRPr="004156C2">
        <w:rPr>
          <w:rFonts w:eastAsia="MS Mincho"/>
          <w:lang w:val="fr-FR"/>
        </w:rPr>
        <w:t>.</w:t>
      </w:r>
      <w:r w:rsidRPr="004156C2">
        <w:rPr>
          <w:rFonts w:eastAsia="MS Mincho"/>
          <w:lang w:val="fr-FR" w:eastAsia="ja-JP"/>
        </w:rPr>
        <w:t>3</w:t>
      </w:r>
      <w:r w:rsidRPr="004156C2">
        <w:rPr>
          <w:rFonts w:eastAsia="MS Mincho"/>
          <w:lang w:val="fr-FR"/>
        </w:rPr>
        <w:t xml:space="preserve"> </w:t>
      </w:r>
      <w:r w:rsidRPr="004156C2">
        <w:rPr>
          <w:rFonts w:eastAsia="MS Mincho"/>
          <w:lang w:val="fr-FR" w:eastAsia="ja-JP"/>
        </w:rPr>
        <w:t xml:space="preserve">et 6.6.1.9 à 6.6.1.9.1 de la présente </w:t>
      </w:r>
      <w:r w:rsidRPr="004156C2">
        <w:rPr>
          <w:rFonts w:eastAsia="MS Mincho"/>
          <w:lang w:val="fr-FR"/>
        </w:rPr>
        <w:t>annexe.</w:t>
      </w:r>
    </w:p>
    <w:p w14:paraId="7EB0EEC9" w14:textId="77777777" w:rsidR="00312EE0" w:rsidRPr="004156C2" w:rsidRDefault="00312EE0" w:rsidP="00312EE0">
      <w:pPr>
        <w:pStyle w:val="SingleTxtG"/>
        <w:ind w:left="2268" w:hanging="1134"/>
        <w:rPr>
          <w:rFonts w:eastAsia="MS Mincho"/>
          <w:lang w:val="fr-FR"/>
        </w:rPr>
      </w:pPr>
      <w:r w:rsidRPr="004156C2">
        <w:rPr>
          <w:rFonts w:eastAsia="MS Mincho"/>
          <w:lang w:val="fr-FR"/>
        </w:rPr>
        <w:t>6.</w:t>
      </w:r>
      <w:r w:rsidRPr="004156C2">
        <w:rPr>
          <w:rFonts w:eastAsia="MS Mincho"/>
          <w:lang w:val="fr-FR" w:eastAsia="ja-JP"/>
        </w:rPr>
        <w:t>7</w:t>
      </w:r>
      <w:r w:rsidRPr="004156C2">
        <w:rPr>
          <w:rFonts w:eastAsia="MS Mincho"/>
          <w:lang w:val="fr-FR"/>
        </w:rPr>
        <w:t>.</w:t>
      </w:r>
      <w:r w:rsidRPr="004156C2">
        <w:rPr>
          <w:rFonts w:eastAsia="MS Mincho"/>
          <w:lang w:val="fr-FR" w:eastAsia="ja-JP"/>
        </w:rPr>
        <w:t>2.1.2</w:t>
      </w:r>
      <w:r w:rsidRPr="004156C2">
        <w:rPr>
          <w:rFonts w:eastAsia="MS Mincho"/>
          <w:lang w:val="fr-FR"/>
        </w:rPr>
        <w:tab/>
        <w:t xml:space="preserve">Le </w:t>
      </w:r>
      <w:proofErr w:type="spellStart"/>
      <w:r w:rsidRPr="004156C2">
        <w:rPr>
          <w:rFonts w:eastAsia="MS Mincho"/>
          <w:lang w:val="fr-FR"/>
        </w:rPr>
        <w:t>canister</w:t>
      </w:r>
      <w:proofErr w:type="spellEnd"/>
      <w:r w:rsidRPr="004156C2">
        <w:rPr>
          <w:rFonts w:eastAsia="MS Mincho"/>
          <w:lang w:val="fr-FR"/>
        </w:rPr>
        <w:t>, ayant subi un vieillissement conformément au</w:t>
      </w:r>
      <w:r>
        <w:rPr>
          <w:rFonts w:eastAsia="MS Mincho"/>
          <w:lang w:val="fr-FR"/>
        </w:rPr>
        <w:t>x</w:t>
      </w:r>
      <w:r w:rsidRPr="004156C2">
        <w:rPr>
          <w:rFonts w:eastAsia="MS Mincho"/>
          <w:lang w:val="fr-FR"/>
        </w:rPr>
        <w:t xml:space="preserve"> paragraphe</w:t>
      </w:r>
      <w:r>
        <w:rPr>
          <w:rFonts w:eastAsia="MS Mincho"/>
          <w:lang w:val="fr-FR"/>
        </w:rPr>
        <w:t>s</w:t>
      </w:r>
      <w:r w:rsidRPr="004156C2">
        <w:rPr>
          <w:rFonts w:eastAsia="MS Mincho"/>
          <w:lang w:val="fr-FR"/>
        </w:rPr>
        <w:t xml:space="preserve"> 5.1 </w:t>
      </w:r>
      <w:r>
        <w:rPr>
          <w:rFonts w:eastAsia="MS Mincho"/>
          <w:lang w:val="fr-FR"/>
        </w:rPr>
        <w:t xml:space="preserve">à 5.1.3.1.3 </w:t>
      </w:r>
      <w:r w:rsidRPr="004156C2">
        <w:rPr>
          <w:rFonts w:eastAsia="MS Mincho"/>
          <w:lang w:val="fr-FR"/>
        </w:rPr>
        <w:t>de la présente annexe, doit être chargé et purgé conformément au paragraphe 6.</w:t>
      </w:r>
      <w:r w:rsidRPr="004156C2">
        <w:rPr>
          <w:rFonts w:eastAsia="MS Mincho"/>
          <w:lang w:val="fr-FR" w:eastAsia="ja-JP"/>
        </w:rPr>
        <w:t>6.1.5 de la présente</w:t>
      </w:r>
      <w:r w:rsidRPr="004156C2">
        <w:rPr>
          <w:rFonts w:eastAsia="MS Mincho"/>
          <w:lang w:val="fr-FR"/>
        </w:rPr>
        <w:t xml:space="preserve"> annexe.</w:t>
      </w:r>
    </w:p>
    <w:p w14:paraId="64C58FD3" w14:textId="77777777" w:rsidR="00312EE0" w:rsidRDefault="00312EE0" w:rsidP="00312EE0">
      <w:pPr>
        <w:pStyle w:val="SingleTxtG"/>
        <w:ind w:left="2268" w:hanging="1134"/>
        <w:rPr>
          <w:rFonts w:eastAsia="MS Mincho"/>
          <w:szCs w:val="24"/>
          <w:lang w:val="fr-FR" w:eastAsia="ja-JP"/>
        </w:rPr>
      </w:pPr>
      <w:r w:rsidRPr="004156C2">
        <w:rPr>
          <w:rFonts w:eastAsia="MS Mincho"/>
          <w:lang w:val="fr-FR"/>
        </w:rPr>
        <w:t>6.</w:t>
      </w:r>
      <w:r w:rsidRPr="004156C2">
        <w:rPr>
          <w:rFonts w:eastAsia="MS Mincho"/>
          <w:lang w:val="fr-FR" w:eastAsia="ja-JP"/>
        </w:rPr>
        <w:t>7</w:t>
      </w:r>
      <w:r w:rsidRPr="004156C2">
        <w:rPr>
          <w:rFonts w:eastAsia="MS Mincho"/>
          <w:lang w:val="fr-FR"/>
        </w:rPr>
        <w:t>.</w:t>
      </w:r>
      <w:r w:rsidRPr="004156C2">
        <w:rPr>
          <w:rFonts w:eastAsia="MS Mincho"/>
          <w:lang w:val="fr-FR" w:eastAsia="ja-JP"/>
        </w:rPr>
        <w:t>2.1.3</w:t>
      </w:r>
      <w:r w:rsidRPr="004156C2">
        <w:rPr>
          <w:rFonts w:eastAsia="MS Mincho"/>
          <w:lang w:val="fr-FR"/>
        </w:rPr>
        <w:tab/>
      </w:r>
      <w:r w:rsidRPr="004156C2">
        <w:rPr>
          <w:rFonts w:eastAsia="MS Mincho"/>
          <w:lang w:val="fr-FR" w:eastAsia="ja-JP"/>
        </w:rPr>
        <w:t xml:space="preserve">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vieilli doit ensuite être chargé conformément à la procédure décrite au paragraphe 5.1.6 de l’annexe 7 du Règlement </w:t>
      </w:r>
      <w:r>
        <w:rPr>
          <w:rFonts w:eastAsia="MS Mincho"/>
          <w:szCs w:val="24"/>
          <w:lang w:val="fr-FR" w:eastAsia="ja-JP"/>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83 (série 07 d’amendements), à l’exception de la masse de charge</w:t>
      </w:r>
      <w:r w:rsidRPr="004156C2">
        <w:rPr>
          <w:rFonts w:eastAsia="MS Mincho"/>
          <w:szCs w:val="24"/>
          <w:lang w:val="fr-FR" w:eastAsia="ja-JP"/>
        </w:rPr>
        <w:t xml:space="preserve">. La masse de charge totale doit être déterminée conformément au paragraphe 6.7.1.1 de la présente annexe. À la demande du constructeur, le carburant de référence peut être utilisé au lieu du butane. 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doit être déconnecté.</w:t>
      </w:r>
    </w:p>
    <w:p w14:paraId="0A2B86C5"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szCs w:val="24"/>
          <w:lang w:val="fr-FR" w:eastAsia="ja-JP"/>
        </w:rPr>
        <w:t>6.7.2.1.4</w:t>
      </w:r>
      <w:r w:rsidRPr="004156C2">
        <w:rPr>
          <w:rFonts w:eastAsia="MS Mincho"/>
          <w:szCs w:val="24"/>
          <w:lang w:val="fr-FR" w:eastAsia="ja-JP"/>
        </w:rPr>
        <w:tab/>
        <w:t xml:space="preserve">Les procédures décrites aux paragraphes 6.6.1.10 à 6.6.1.13 de la présente annexe doivent être suivies. </w:t>
      </w:r>
    </w:p>
    <w:p w14:paraId="42DDE35F"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szCs w:val="24"/>
          <w:lang w:val="fr-FR" w:eastAsia="ja-JP"/>
        </w:rPr>
        <w:t>6.7.2.2</w:t>
      </w:r>
      <w:r w:rsidRPr="004156C2">
        <w:rPr>
          <w:rFonts w:eastAsia="MS Mincho"/>
          <w:szCs w:val="24"/>
          <w:lang w:val="fr-FR" w:eastAsia="ja-JP"/>
        </w:rPr>
        <w:tab/>
        <w:t>Si la pression de décharge du réservoir de carburant est inférieure à 30 kPa</w:t>
      </w:r>
    </w:p>
    <w:p w14:paraId="55688901" w14:textId="77777777" w:rsidR="00312EE0" w:rsidRPr="004156C2" w:rsidRDefault="00312EE0" w:rsidP="00312EE0">
      <w:pPr>
        <w:pStyle w:val="SingleTxtG"/>
        <w:ind w:left="2268"/>
        <w:rPr>
          <w:rFonts w:eastAsia="MS Mincho"/>
          <w:spacing w:val="1"/>
          <w:lang w:val="fr-FR"/>
        </w:rPr>
      </w:pPr>
      <w:r w:rsidRPr="004156C2">
        <w:rPr>
          <w:rFonts w:eastAsia="MS Mincho"/>
          <w:szCs w:val="24"/>
          <w:lang w:val="fr-FR" w:eastAsia="ja-JP"/>
        </w:rPr>
        <w:t xml:space="preserve">L’essai doit être réalisé comme décrit aux </w:t>
      </w:r>
      <w:r w:rsidRPr="004156C2">
        <w:rPr>
          <w:rFonts w:eastAsia="MS Mincho"/>
          <w:lang w:val="fr-FR"/>
        </w:rPr>
        <w:t>paragraphes </w:t>
      </w:r>
      <w:r w:rsidRPr="004156C2">
        <w:rPr>
          <w:rFonts w:eastAsia="MS Mincho"/>
          <w:lang w:val="fr-FR" w:eastAsia="ja-JP"/>
        </w:rPr>
        <w:t>6.7.2.1.1 à 6.7.2.1.4 de la présence annexe</w:t>
      </w:r>
      <w:r w:rsidRPr="004156C2">
        <w:rPr>
          <w:rFonts w:eastAsia="MS Mincho"/>
          <w:szCs w:val="24"/>
          <w:lang w:val="fr-FR" w:eastAsia="ja-JP"/>
        </w:rPr>
        <w:t xml:space="preserve">. </w:t>
      </w:r>
      <w:r w:rsidRPr="004156C2">
        <w:rPr>
          <w:rFonts w:eastAsia="MS Mincho"/>
          <w:lang w:val="fr-FR"/>
        </w:rPr>
        <w:t xml:space="preserve">Toutefois, dans ce cas, le cycle de température ambiante indiqué au </w:t>
      </w:r>
      <w:r w:rsidRPr="004156C2">
        <w:rPr>
          <w:rFonts w:eastAsia="MS Mincho"/>
          <w:szCs w:val="24"/>
          <w:lang w:val="fr-FR" w:eastAsia="ja-JP"/>
        </w:rPr>
        <w:t>paragraphe 6.5.9.1 de la présente annexe doit être remplacé par le profil décrit dans le tableau</w:t>
      </w:r>
      <w:r w:rsidRPr="004156C2" w:rsidDel="00813E3B">
        <w:rPr>
          <w:rFonts w:eastAsia="MS Mincho"/>
          <w:szCs w:val="24"/>
          <w:lang w:val="fr-FR" w:eastAsia="ja-JP"/>
        </w:rPr>
        <w:t xml:space="preserve"> </w:t>
      </w:r>
      <w:r w:rsidRPr="004156C2">
        <w:rPr>
          <w:rFonts w:eastAsia="MS Mincho"/>
          <w:lang w:val="fr-FR"/>
        </w:rPr>
        <w:t>A1/1</w:t>
      </w:r>
      <w:r w:rsidRPr="004156C2">
        <w:rPr>
          <w:rFonts w:eastAsia="MS Mincho"/>
          <w:lang w:val="fr-FR" w:eastAsia="ja-JP"/>
        </w:rPr>
        <w:t xml:space="preserve"> de ladite annexe pour l’essai d’émissions diurne</w:t>
      </w:r>
      <w:r w:rsidRPr="004156C2">
        <w:rPr>
          <w:rFonts w:eastAsia="MS Mincho"/>
          <w:lang w:val="fr-FR"/>
        </w:rPr>
        <w:t>.</w:t>
      </w:r>
    </w:p>
    <w:p w14:paraId="265CCEDF"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7.</w:t>
      </w:r>
      <w:r w:rsidRPr="004156C2">
        <w:rPr>
          <w:rFonts w:eastAsia="MS Mincho"/>
          <w:lang w:val="fr-FR"/>
        </w:rPr>
        <w:tab/>
        <w:t>Calcul des résultats des essais d’émissions par évaporation</w:t>
      </w:r>
    </w:p>
    <w:p w14:paraId="5178FCE1"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7.1</w:t>
      </w:r>
      <w:r w:rsidRPr="004156C2">
        <w:rPr>
          <w:rFonts w:eastAsia="MS Mincho"/>
          <w:szCs w:val="24"/>
          <w:lang w:val="fr-FR" w:eastAsia="ja-JP"/>
        </w:rPr>
        <w:tab/>
        <w:t xml:space="preserve">Les essais d’émissions par évaporation décrits dans la présente annexe permettent de calculer les émissions d’hydrocarbures à l’issue de l’essai de trop-plein de pertes liées à la dépressurisation, de l’essai diurne et de l’essai </w:t>
      </w:r>
      <w:r w:rsidRPr="004156C2">
        <w:rPr>
          <w:rFonts w:eastAsia="MS Mincho"/>
          <w:lang w:val="fr-FR"/>
        </w:rPr>
        <w:t>d’émissions après accumulation de chaleur</w:t>
      </w:r>
      <w:r w:rsidRPr="004156C2">
        <w:rPr>
          <w:rFonts w:eastAsia="MS Mincho"/>
          <w:szCs w:val="24"/>
          <w:lang w:val="fr-FR" w:eastAsia="ja-JP"/>
        </w:rPr>
        <w:t>. Les pertes par évaporation au cours de chacun de ces essais doivent être calculées en utilisant les valeurs initiales et finales pour la concentration en hydrocarbures, la température et la pression, ainsi que le volume net de l’enceinte.</w:t>
      </w:r>
    </w:p>
    <w:p w14:paraId="298A2299" w14:textId="77777777" w:rsidR="00312EE0" w:rsidRPr="004156C2" w:rsidRDefault="00312EE0" w:rsidP="00312EE0">
      <w:pPr>
        <w:pStyle w:val="SingleTxtG"/>
        <w:ind w:left="2268"/>
        <w:rPr>
          <w:rFonts w:eastAsia="MS Mincho"/>
          <w:szCs w:val="24"/>
          <w:lang w:val="fr-FR" w:eastAsia="ja-JP"/>
        </w:rPr>
      </w:pPr>
      <w:r w:rsidRPr="004156C2">
        <w:rPr>
          <w:rFonts w:eastAsia="MS Mincho"/>
          <w:szCs w:val="24"/>
          <w:lang w:val="fr-FR" w:eastAsia="ja-JP"/>
        </w:rPr>
        <w:t>L’équation à utiliser est la suivante :</w:t>
      </w:r>
    </w:p>
    <w:p w14:paraId="335E1FC6" w14:textId="77777777" w:rsidR="00312EE0" w:rsidRPr="004156C2" w:rsidRDefault="00312EE0" w:rsidP="00312EE0">
      <w:pPr>
        <w:kinsoku/>
        <w:overflowPunct/>
        <w:autoSpaceDE/>
        <w:autoSpaceDN/>
        <w:adjustRightInd/>
        <w:snapToGrid/>
        <w:spacing w:before="120" w:after="120"/>
        <w:ind w:left="2268" w:right="1134"/>
        <w:jc w:val="both"/>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w:t>
      </w:r>
      <m:oMath>
        <m:r>
          <w:rPr>
            <w:rFonts w:ascii="Cambria Math" w:eastAsia="MS Mincho" w:hAnsi="Cambria Math"/>
            <w:vertAlign w:val="subscript"/>
            <w:lang w:val="fr-FR" w:eastAsia="ja-JP"/>
          </w:rPr>
          <m:t xml:space="preserve"> </m:t>
        </m:r>
        <m:r>
          <m:rPr>
            <m:sty m:val="p"/>
          </m:rPr>
          <w:rPr>
            <w:rFonts w:ascii="Cambria Math" w:eastAsia="MS Mincho" w:hAnsi="Cambria Math"/>
            <w:lang w:val="fr-FR" w:eastAsia="ja-JP"/>
          </w:rPr>
          <m:t>=k × V ×</m:t>
        </m:r>
        <m:d>
          <m:dPr>
            <m:ctrlPr>
              <w:rPr>
                <w:rFonts w:ascii="Cambria Math" w:eastAsia="MS Mincho" w:hAnsi="Cambria Math"/>
                <w:lang w:val="fr-FR" w:eastAsia="ja-JP"/>
              </w:rPr>
            </m:ctrlPr>
          </m:dPr>
          <m:e>
            <m:f>
              <m:fPr>
                <m:ctrlPr>
                  <w:rPr>
                    <w:rFonts w:ascii="Cambria Math" w:eastAsia="MS Mincho" w:hAnsi="Cambria Math"/>
                    <w:lang w:val="fr-FR" w:eastAsia="ja-JP"/>
                  </w:rPr>
                </m:ctrlPr>
              </m:fPr>
              <m:num>
                <m:sSub>
                  <m:sSubPr>
                    <m:ctrlPr>
                      <w:rPr>
                        <w:rFonts w:ascii="Cambria Math" w:eastAsia="MS Mincho" w:hAnsi="Cambria Math"/>
                        <w:lang w:val="fr-FR" w:eastAsia="ja-JP"/>
                      </w:rPr>
                    </m:ctrlPr>
                  </m:sSubPr>
                  <m:e>
                    <m:r>
                      <m:rPr>
                        <m:sty m:val="p"/>
                      </m:rPr>
                      <w:rPr>
                        <w:rFonts w:ascii="Cambria Math" w:eastAsia="MS Mincho" w:hAnsi="Cambria Math"/>
                        <w:lang w:val="fr-FR" w:eastAsia="ja-JP"/>
                      </w:rPr>
                      <m:t>C</m:t>
                    </m:r>
                  </m:e>
                  <m:sub>
                    <m:r>
                      <m:rPr>
                        <m:sty m:val="p"/>
                      </m:rPr>
                      <w:rPr>
                        <w:rFonts w:ascii="Cambria Math" w:eastAsia="MS Mincho" w:hAnsi="Cambria Math"/>
                        <w:lang w:val="fr-FR" w:eastAsia="ja-JP"/>
                      </w:rPr>
                      <m:t>HCf</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f</m:t>
                    </m:r>
                  </m:sub>
                </m:sSub>
              </m:num>
              <m:den>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f</m:t>
                    </m:r>
                  </m:sub>
                </m:sSub>
              </m:den>
            </m:f>
            <m:r>
              <m:rPr>
                <m:sty m:val="p"/>
              </m:rPr>
              <w:rPr>
                <w:rFonts w:ascii="Cambria Math" w:eastAsia="MS Mincho" w:hAnsi="Cambria Math"/>
                <w:lang w:val="fr-FR" w:eastAsia="ja-JP"/>
              </w:rPr>
              <m:t xml:space="preserve">- </m:t>
            </m:r>
            <m:f>
              <m:fPr>
                <m:ctrlPr>
                  <w:rPr>
                    <w:rFonts w:ascii="Cambria Math" w:eastAsia="MS Mincho" w:hAnsi="Cambria Math"/>
                    <w:lang w:val="fr-FR" w:eastAsia="ja-JP"/>
                  </w:rPr>
                </m:ctrlPr>
              </m:fPr>
              <m:num>
                <m:sSub>
                  <m:sSubPr>
                    <m:ctrlPr>
                      <w:rPr>
                        <w:rFonts w:ascii="Cambria Math" w:eastAsia="MS Mincho" w:hAnsi="Cambria Math"/>
                        <w:lang w:val="fr-FR" w:eastAsia="ja-JP"/>
                      </w:rPr>
                    </m:ctrlPr>
                  </m:sSubPr>
                  <m:e>
                    <m:r>
                      <m:rPr>
                        <m:sty m:val="p"/>
                      </m:rPr>
                      <w:rPr>
                        <w:rFonts w:ascii="Cambria Math" w:eastAsia="MS Mincho" w:hAnsi="Cambria Math"/>
                        <w:lang w:val="fr-FR" w:eastAsia="ja-JP"/>
                      </w:rPr>
                      <m:t>C</m:t>
                    </m:r>
                  </m:e>
                  <m:sub>
                    <m:r>
                      <m:rPr>
                        <m:sty m:val="p"/>
                      </m:rPr>
                      <w:rPr>
                        <w:rFonts w:ascii="Cambria Math" w:eastAsia="MS Mincho" w:hAnsi="Cambria Math"/>
                        <w:lang w:val="fr-FR" w:eastAsia="ja-JP"/>
                      </w:rPr>
                      <m:t>HCi</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i</m:t>
                    </m:r>
                  </m:sub>
                </m:sSub>
              </m:num>
              <m:den>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i</m:t>
                    </m:r>
                  </m:sub>
                </m:sSub>
              </m:den>
            </m:f>
          </m:e>
        </m:d>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M</m:t>
            </m:r>
          </m:e>
          <m:sub>
            <m:r>
              <m:rPr>
                <m:sty m:val="p"/>
              </m:rPr>
              <w:rPr>
                <w:rFonts w:ascii="Cambria Math" w:eastAsia="MS Mincho" w:hAnsi="Cambria Math"/>
                <w:lang w:val="fr-FR" w:eastAsia="ja-JP"/>
              </w:rPr>
              <m:t>HC,out</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M</m:t>
            </m:r>
          </m:e>
          <m:sub>
            <m:r>
              <m:rPr>
                <m:sty m:val="p"/>
              </m:rPr>
              <w:rPr>
                <w:rFonts w:ascii="Cambria Math" w:eastAsia="MS Mincho" w:hAnsi="Cambria Math"/>
                <w:lang w:val="fr-FR" w:eastAsia="ja-JP"/>
              </w:rPr>
              <m:t>HC,in</m:t>
            </m:r>
          </m:sub>
        </m:sSub>
      </m:oMath>
    </w:p>
    <w:p w14:paraId="3CF5C0C0" w14:textId="77777777" w:rsidR="00312EE0" w:rsidRPr="004156C2" w:rsidRDefault="00312EE0" w:rsidP="00312EE0">
      <w:pPr>
        <w:pStyle w:val="SingleTxtG"/>
        <w:ind w:left="2268"/>
        <w:rPr>
          <w:rFonts w:eastAsia="MS Mincho"/>
          <w:lang w:val="fr-FR" w:eastAsia="ja-JP"/>
        </w:rPr>
      </w:pPr>
      <w:r>
        <w:rPr>
          <w:rFonts w:eastAsia="MS Mincho"/>
          <w:lang w:val="fr-FR" w:eastAsia="ja-JP"/>
        </w:rPr>
        <w:t>o</w:t>
      </w:r>
      <w:r w:rsidRPr="004156C2">
        <w:rPr>
          <w:rFonts w:eastAsia="MS Mincho"/>
          <w:lang w:val="fr-FR" w:eastAsia="ja-JP"/>
        </w:rPr>
        <w:t>ù :</w:t>
      </w:r>
    </w:p>
    <w:p w14:paraId="3AF06D14" w14:textId="77777777" w:rsidR="00312EE0" w:rsidRPr="004156C2" w:rsidRDefault="00312EE0" w:rsidP="00312EE0">
      <w:pPr>
        <w:pStyle w:val="SingleTxtG"/>
        <w:ind w:left="3119" w:hanging="851"/>
        <w:rPr>
          <w:lang w:val="fr-FR" w:eastAsia="ja-JP"/>
        </w:rPr>
      </w:pPr>
      <w:r w:rsidRPr="004156C2">
        <w:rPr>
          <w:lang w:val="fr-FR" w:eastAsia="ja-JP"/>
        </w:rPr>
        <w:t>M</w:t>
      </w:r>
      <w:r w:rsidRPr="004156C2">
        <w:rPr>
          <w:vertAlign w:val="subscript"/>
          <w:lang w:val="fr-FR" w:eastAsia="ja-JP"/>
        </w:rPr>
        <w:t>HC</w:t>
      </w:r>
      <w:r w:rsidRPr="004156C2">
        <w:rPr>
          <w:lang w:val="fr-FR" w:eastAsia="ja-JP"/>
        </w:rPr>
        <w:t xml:space="preserve"> </w:t>
      </w:r>
      <w:r w:rsidRPr="004156C2">
        <w:rPr>
          <w:lang w:val="fr-FR" w:eastAsia="ja-JP"/>
        </w:rPr>
        <w:tab/>
        <w:t>est la masse d’hydrocarbures, en g ;</w:t>
      </w:r>
    </w:p>
    <w:p w14:paraId="34955E40" w14:textId="77777777" w:rsidR="00312EE0" w:rsidRPr="004156C2" w:rsidRDefault="00312EE0" w:rsidP="00312EE0">
      <w:pPr>
        <w:pStyle w:val="SingleTxtG"/>
        <w:ind w:left="3119" w:hanging="851"/>
        <w:rPr>
          <w:rFonts w:eastAsia="MS Mincho"/>
          <w:lang w:val="fr-FR" w:eastAsia="ja-JP"/>
        </w:rPr>
      </w:pPr>
      <w:proofErr w:type="spellStart"/>
      <w:r w:rsidRPr="004156C2">
        <w:rPr>
          <w:rFonts w:eastAsia="MS Mincho"/>
          <w:lang w:val="fr-FR" w:eastAsia="ja-JP"/>
        </w:rPr>
        <w:t>M</w:t>
      </w:r>
      <w:r w:rsidRPr="004156C2">
        <w:rPr>
          <w:rFonts w:eastAsia="MS Mincho"/>
          <w:vertAlign w:val="subscript"/>
          <w:lang w:val="fr-FR" w:eastAsia="ja-JP"/>
        </w:rPr>
        <w:t>HC,out</w:t>
      </w:r>
      <w:proofErr w:type="spellEnd"/>
      <w:r>
        <w:rPr>
          <w:rFonts w:eastAsia="MS Mincho"/>
          <w:lang w:val="fr-FR" w:eastAsia="ja-JP"/>
        </w:rPr>
        <w:tab/>
      </w:r>
      <w:r w:rsidRPr="004156C2">
        <w:rPr>
          <w:rFonts w:eastAsia="MS Mincho"/>
          <w:lang w:val="fr-FR" w:eastAsia="ja-JP"/>
        </w:rPr>
        <w:t>est la masse d’hydrocarbures</w:t>
      </w:r>
      <w:r w:rsidRPr="004156C2" w:rsidDel="00641B56">
        <w:rPr>
          <w:rFonts w:eastAsia="MS Mincho"/>
          <w:lang w:val="fr-FR" w:eastAsia="ja-JP"/>
        </w:rPr>
        <w:t xml:space="preserve"> </w:t>
      </w:r>
      <w:r w:rsidRPr="004156C2">
        <w:rPr>
          <w:rFonts w:eastAsia="MS Mincho"/>
          <w:lang w:val="fr-FR" w:eastAsia="ja-JP"/>
        </w:rPr>
        <w:t>ayant quitté l’enceinte dans le cas d’une enceinte à volume fixe, pour les essais d’émissions diurnes, en g ;</w:t>
      </w:r>
    </w:p>
    <w:p w14:paraId="614D89C0" w14:textId="77777777" w:rsidR="00312EE0" w:rsidRPr="004156C2" w:rsidRDefault="00312EE0" w:rsidP="00312EE0">
      <w:pPr>
        <w:pStyle w:val="SingleTxtG"/>
        <w:ind w:left="3119" w:hanging="851"/>
        <w:rPr>
          <w:rFonts w:eastAsia="MS Mincho"/>
          <w:lang w:val="fr-FR" w:eastAsia="ja-JP"/>
        </w:rPr>
      </w:pPr>
      <w:proofErr w:type="spellStart"/>
      <w:r w:rsidRPr="004156C2">
        <w:rPr>
          <w:rFonts w:eastAsia="MS Mincho"/>
          <w:lang w:val="fr-FR" w:eastAsia="ja-JP"/>
        </w:rPr>
        <w:t>M</w:t>
      </w:r>
      <w:r w:rsidRPr="004156C2">
        <w:rPr>
          <w:rFonts w:eastAsia="MS Mincho"/>
          <w:vertAlign w:val="subscript"/>
          <w:lang w:val="fr-FR" w:eastAsia="ja-JP"/>
        </w:rPr>
        <w:t>HC,in</w:t>
      </w:r>
      <w:proofErr w:type="spellEnd"/>
      <w:r w:rsidRPr="004156C2">
        <w:rPr>
          <w:rFonts w:eastAsia="MS Mincho"/>
          <w:lang w:val="fr-FR" w:eastAsia="ja-JP"/>
        </w:rPr>
        <w:t xml:space="preserve"> </w:t>
      </w:r>
      <w:r w:rsidRPr="004156C2">
        <w:rPr>
          <w:rFonts w:eastAsia="MS Mincho"/>
          <w:lang w:val="fr-FR" w:eastAsia="ja-JP"/>
        </w:rPr>
        <w:tab/>
        <w:t>est la masse d’hydrocarbures</w:t>
      </w:r>
      <w:r w:rsidRPr="004156C2" w:rsidDel="00641B56">
        <w:rPr>
          <w:rFonts w:eastAsia="MS Mincho"/>
          <w:lang w:val="fr-FR" w:eastAsia="ja-JP"/>
        </w:rPr>
        <w:t xml:space="preserve"> </w:t>
      </w:r>
      <w:r w:rsidRPr="004156C2">
        <w:rPr>
          <w:rFonts w:eastAsia="MS Mincho"/>
          <w:lang w:val="fr-FR" w:eastAsia="ja-JP"/>
        </w:rPr>
        <w:t>ayant pénétré dans l’enceinte dans le cas d’une enceinte à volume fixe, pour les essais d’émissions diurnes, en g</w:t>
      </w:r>
      <w:r w:rsidRPr="004156C2">
        <w:rPr>
          <w:rFonts w:eastAsia="MS Mincho"/>
          <w:lang w:val="fr-FR"/>
        </w:rPr>
        <w:t> ;</w:t>
      </w:r>
    </w:p>
    <w:p w14:paraId="76AA760B"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C</w:t>
      </w:r>
      <w:r w:rsidRPr="004156C2">
        <w:rPr>
          <w:rFonts w:eastAsia="MS Mincho"/>
          <w:vertAlign w:val="subscript"/>
          <w:lang w:val="fr-FR" w:eastAsia="ja-JP"/>
        </w:rPr>
        <w:t>HC</w:t>
      </w:r>
      <w:r w:rsidRPr="004156C2">
        <w:rPr>
          <w:rFonts w:eastAsia="MS Mincho"/>
          <w:lang w:val="fr-FR" w:eastAsia="ja-JP"/>
        </w:rPr>
        <w:tab/>
        <w:t>est la concentration en hydrocarbures mesurée dans l’enceinte, en ppm (volume) en équivalent C</w:t>
      </w:r>
      <w:r w:rsidRPr="004156C2">
        <w:rPr>
          <w:rFonts w:eastAsia="MS Mincho"/>
          <w:vertAlign w:val="subscript"/>
          <w:lang w:val="fr-FR" w:eastAsia="ja-JP"/>
        </w:rPr>
        <w:t>1</w:t>
      </w:r>
      <w:r w:rsidRPr="004156C2">
        <w:rPr>
          <w:rFonts w:eastAsia="MS Mincho"/>
          <w:lang w:val="fr-FR" w:eastAsia="ja-JP"/>
        </w:rPr>
        <w:t> ;</w:t>
      </w:r>
    </w:p>
    <w:p w14:paraId="047F8866"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V</w:t>
      </w:r>
      <w:r w:rsidRPr="004156C2">
        <w:rPr>
          <w:rFonts w:eastAsia="MS Mincho"/>
          <w:lang w:val="fr-FR" w:eastAsia="ja-JP"/>
        </w:rPr>
        <w:tab/>
        <w:t>est le volume net de l’enceinte, corrigé du volume du véhicule fenêtres et compartiment à bagage ouverts, en m</w:t>
      </w:r>
      <w:r w:rsidRPr="004156C2">
        <w:rPr>
          <w:rFonts w:eastAsia="MS Mincho"/>
          <w:vertAlign w:val="superscript"/>
          <w:lang w:val="fr-FR" w:eastAsia="ja-JP"/>
        </w:rPr>
        <w:t>3</w:t>
      </w:r>
      <w:r w:rsidRPr="004156C2">
        <w:rPr>
          <w:rFonts w:eastAsia="MS Mincho"/>
          <w:lang w:val="fr-FR" w:eastAsia="ja-JP"/>
        </w:rPr>
        <w:t>. Si le volume du véhicule n’est pas connu, on soustrait un volume de 1,42 m</w:t>
      </w:r>
      <w:r w:rsidRPr="004156C2">
        <w:rPr>
          <w:rFonts w:eastAsia="MS Mincho"/>
          <w:vertAlign w:val="superscript"/>
          <w:lang w:val="fr-FR" w:eastAsia="ja-JP"/>
        </w:rPr>
        <w:t>3</w:t>
      </w:r>
      <w:r w:rsidRPr="004156C2">
        <w:rPr>
          <w:rFonts w:eastAsia="MS Mincho"/>
          <w:lang w:val="fr-FR" w:eastAsia="ja-JP"/>
        </w:rPr>
        <w:t> ;</w:t>
      </w:r>
    </w:p>
    <w:p w14:paraId="2BA06309"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T</w:t>
      </w:r>
      <w:r w:rsidRPr="004156C2">
        <w:rPr>
          <w:rFonts w:eastAsia="MS Mincho"/>
          <w:lang w:val="fr-FR" w:eastAsia="ja-JP"/>
        </w:rPr>
        <w:tab/>
        <w:t>est la température ambiante de l’enceinte, en K ;</w:t>
      </w:r>
    </w:p>
    <w:p w14:paraId="430409AA"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P</w:t>
      </w:r>
      <w:r w:rsidRPr="004156C2">
        <w:rPr>
          <w:rFonts w:eastAsia="MS Mincho"/>
          <w:lang w:val="fr-FR" w:eastAsia="ja-JP"/>
        </w:rPr>
        <w:tab/>
        <w:t>est la pression barométrique, en kPa ;</w:t>
      </w:r>
    </w:p>
    <w:p w14:paraId="0CF39DD8" w14:textId="77777777" w:rsidR="00312EE0" w:rsidRDefault="00312EE0" w:rsidP="00312EE0">
      <w:pPr>
        <w:pStyle w:val="SingleTxtG"/>
        <w:ind w:left="3119" w:hanging="851"/>
        <w:rPr>
          <w:rFonts w:eastAsia="MS Mincho"/>
          <w:lang w:val="fr-FR" w:eastAsia="ja-JP"/>
        </w:rPr>
      </w:pPr>
      <w:r w:rsidRPr="004156C2">
        <w:rPr>
          <w:rFonts w:eastAsia="MS Mincho"/>
          <w:lang w:val="fr-FR" w:eastAsia="ja-JP"/>
        </w:rPr>
        <w:t>H/C</w:t>
      </w:r>
      <w:r w:rsidRPr="004156C2">
        <w:rPr>
          <w:rFonts w:eastAsia="MS Mincho"/>
          <w:lang w:val="fr-FR" w:eastAsia="ja-JP"/>
        </w:rPr>
        <w:tab/>
        <w:t>est le rapport hydrogène/carbone</w:t>
      </w:r>
      <w:r>
        <w:rPr>
          <w:rFonts w:eastAsia="MS Mincho"/>
          <w:lang w:val="fr-FR" w:eastAsia="ja-JP"/>
        </w:rPr>
        <w:t> </w:t>
      </w:r>
      <w:r w:rsidRPr="004156C2">
        <w:rPr>
          <w:rFonts w:eastAsia="MS Mincho"/>
          <w:lang w:val="fr-FR" w:eastAsia="ja-JP"/>
        </w:rPr>
        <w:t>;</w:t>
      </w:r>
    </w:p>
    <w:p w14:paraId="78FB2E33" w14:textId="77777777" w:rsidR="00312EE0" w:rsidRDefault="00312EE0" w:rsidP="00312EE0">
      <w:pPr>
        <w:pStyle w:val="SingleTxtG"/>
        <w:ind w:left="3119" w:hanging="851"/>
        <w:rPr>
          <w:rFonts w:eastAsia="MS Mincho"/>
          <w:lang w:val="fr-FR" w:eastAsia="ja-JP"/>
        </w:rPr>
      </w:pPr>
      <w:r>
        <w:rPr>
          <w:rFonts w:eastAsia="MS Mincho"/>
          <w:lang w:val="fr-FR" w:eastAsia="ja-JP"/>
        </w:rPr>
        <w:lastRenderedPageBreak/>
        <w:t>H/C</w:t>
      </w:r>
      <w:r>
        <w:rPr>
          <w:rFonts w:eastAsia="MS Mincho"/>
          <w:lang w:val="fr-FR" w:eastAsia="ja-JP"/>
        </w:rPr>
        <w:tab/>
        <w:t>est réputé égal à 2,33 pour le trop-plein de pertes liées à la dépressurisation dans une enceinte SHED et à l’essai diurne ;</w:t>
      </w:r>
    </w:p>
    <w:p w14:paraId="57284659" w14:textId="77777777" w:rsidR="00312EE0" w:rsidRPr="004156C2" w:rsidRDefault="00312EE0" w:rsidP="00312EE0">
      <w:pPr>
        <w:pStyle w:val="SingleTxtG"/>
        <w:ind w:left="3119" w:hanging="851"/>
        <w:rPr>
          <w:rFonts w:eastAsia="MS Mincho"/>
          <w:lang w:val="fr-FR" w:eastAsia="ja-JP"/>
        </w:rPr>
      </w:pPr>
      <w:r>
        <w:rPr>
          <w:rFonts w:eastAsia="MS Mincho"/>
          <w:lang w:val="fr-FR" w:eastAsia="ja-JP"/>
        </w:rPr>
        <w:t>H/C</w:t>
      </w:r>
      <w:r>
        <w:rPr>
          <w:rFonts w:eastAsia="MS Mincho"/>
          <w:lang w:val="fr-FR" w:eastAsia="ja-JP"/>
        </w:rPr>
        <w:tab/>
        <w:t>est réputé égal à 2,20 pour les pertes par imprégnation à chaud ;</w:t>
      </w:r>
    </w:p>
    <w:p w14:paraId="3F1FACDB"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k</w:t>
      </w:r>
      <w:r w:rsidRPr="004156C2">
        <w:rPr>
          <w:rFonts w:eastAsia="MS Mincho"/>
          <w:lang w:val="fr-FR" w:eastAsia="ja-JP"/>
        </w:rPr>
        <w:tab/>
        <w:t>est égal à 1,2 × 10</w:t>
      </w:r>
      <w:r w:rsidRPr="004156C2">
        <w:rPr>
          <w:rFonts w:eastAsia="MS Mincho"/>
          <w:vertAlign w:val="superscript"/>
          <w:lang w:val="fr-FR" w:eastAsia="ja-JP"/>
        </w:rPr>
        <w:t>-4</w:t>
      </w:r>
      <w:r w:rsidRPr="004156C2">
        <w:rPr>
          <w:rFonts w:eastAsia="MS Mincho"/>
          <w:lang w:val="fr-FR" w:eastAsia="ja-JP"/>
        </w:rPr>
        <w:t xml:space="preserve"> × (12 + H/C), en (g × K/(m³ × kPa)) ;</w:t>
      </w:r>
    </w:p>
    <w:p w14:paraId="3D37364F"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i</w:t>
      </w:r>
      <w:r w:rsidRPr="004156C2">
        <w:rPr>
          <w:rFonts w:eastAsia="MS Mincho"/>
          <w:lang w:val="fr-FR" w:eastAsia="ja-JP"/>
        </w:rPr>
        <w:tab/>
        <w:t>est la valeur mesurée initiale ;</w:t>
      </w:r>
    </w:p>
    <w:p w14:paraId="0A2B4BFF" w14:textId="77777777" w:rsidR="00312EE0" w:rsidRDefault="00312EE0" w:rsidP="00312EE0">
      <w:pPr>
        <w:pStyle w:val="SingleTxtG"/>
        <w:ind w:left="3119" w:hanging="851"/>
        <w:rPr>
          <w:rFonts w:eastAsia="MS Mincho"/>
          <w:lang w:val="fr-FR" w:eastAsia="ja-JP"/>
        </w:rPr>
      </w:pPr>
      <w:r w:rsidRPr="004156C2">
        <w:rPr>
          <w:rFonts w:eastAsia="MS Mincho"/>
          <w:lang w:val="fr-FR" w:eastAsia="ja-JP"/>
        </w:rPr>
        <w:t>f</w:t>
      </w:r>
      <w:r w:rsidRPr="004156C2">
        <w:rPr>
          <w:rFonts w:eastAsia="MS Mincho"/>
          <w:lang w:val="fr-FR" w:eastAsia="ja-JP"/>
        </w:rPr>
        <w:tab/>
        <w:t>est la valeur mesurée finale</w:t>
      </w:r>
      <w:r w:rsidR="00242C31">
        <w:rPr>
          <w:rFonts w:eastAsia="MS Mincho"/>
          <w:lang w:val="fr-FR" w:eastAsia="ja-JP"/>
        </w:rPr>
        <w:t>.</w:t>
      </w:r>
    </w:p>
    <w:p w14:paraId="3A0F1A34" w14:textId="77777777" w:rsidR="00312EE0" w:rsidRDefault="00312EE0" w:rsidP="00312EE0">
      <w:pPr>
        <w:pStyle w:val="SingleTxtG"/>
        <w:keepNext/>
        <w:ind w:left="2268" w:hanging="1134"/>
        <w:rPr>
          <w:rFonts w:eastAsia="MS Mincho"/>
          <w:lang w:val="fr-FR"/>
        </w:rPr>
      </w:pPr>
      <w:r>
        <w:rPr>
          <w:rFonts w:eastAsia="MS Mincho"/>
          <w:lang w:val="fr-FR"/>
        </w:rPr>
        <w:t>7.1.1</w:t>
      </w:r>
      <w:r>
        <w:rPr>
          <w:rFonts w:eastAsia="MS Mincho"/>
          <w:lang w:val="fr-FR"/>
        </w:rPr>
        <w:tab/>
        <w:t>À la place de l’équation du paragraphe 7.1 ci-dessus, on peut utiliser, pour les enceintes à volume variable, l’équation ci-dessous si le constructeur le souhaite :</w:t>
      </w:r>
    </w:p>
    <w:p w14:paraId="706D08F1" w14:textId="77777777" w:rsidR="00312EE0" w:rsidRPr="007221C7" w:rsidRDefault="00312EE0" w:rsidP="00312EE0">
      <w:pPr>
        <w:pStyle w:val="SingleTxtG"/>
        <w:spacing w:before="120"/>
        <w:ind w:left="2268"/>
        <w:rPr>
          <w:lang w:val="de-DE" w:eastAsia="ja-JP"/>
        </w:rPr>
      </w:pPr>
      <w:r>
        <w:rPr>
          <w:lang w:eastAsia="ja-JP"/>
        </w:rPr>
        <w:tab/>
      </w:r>
      <w:r w:rsidRPr="007221C7">
        <w:rPr>
          <w:lang w:val="de-DE" w:eastAsia="ja-JP"/>
        </w:rPr>
        <w:t>M</w:t>
      </w:r>
      <w:r w:rsidRPr="007221C7">
        <w:rPr>
          <w:vertAlign w:val="subscript"/>
          <w:lang w:val="de-DE" w:eastAsia="ja-JP"/>
        </w:rPr>
        <w:t>HC</w:t>
      </w:r>
      <m:oMath>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p>
    <w:p w14:paraId="21FCED67" w14:textId="77777777" w:rsidR="00312EE0" w:rsidRDefault="00312EE0" w:rsidP="00312EE0">
      <w:pPr>
        <w:pStyle w:val="SingleTxtG"/>
        <w:ind w:left="2268"/>
        <w:rPr>
          <w:rFonts w:eastAsia="MS Mincho"/>
          <w:lang w:val="fr-FR" w:eastAsia="ja-JP"/>
        </w:rPr>
      </w:pPr>
      <w:r>
        <w:rPr>
          <w:rFonts w:eastAsia="MS Mincho"/>
          <w:lang w:val="fr-FR" w:eastAsia="ja-JP"/>
        </w:rPr>
        <w:t>où :</w:t>
      </w:r>
    </w:p>
    <w:p w14:paraId="7F2C58F6"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w:t>
      </w:r>
      <w:r w:rsidRPr="004156C2">
        <w:rPr>
          <w:rFonts w:eastAsia="MS Mincho"/>
          <w:lang w:val="fr-FR" w:eastAsia="ja-JP"/>
        </w:rPr>
        <w:t xml:space="preserve"> </w:t>
      </w:r>
      <w:r w:rsidRPr="004156C2">
        <w:rPr>
          <w:rFonts w:eastAsia="MS Mincho"/>
          <w:lang w:val="fr-FR" w:eastAsia="ja-JP"/>
        </w:rPr>
        <w:tab/>
        <w:t>est la masse d’hydrocarbures, en g ;</w:t>
      </w:r>
    </w:p>
    <w:p w14:paraId="635DDFAF"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C</w:t>
      </w:r>
      <w:r w:rsidRPr="004156C2">
        <w:rPr>
          <w:rFonts w:eastAsia="MS Mincho"/>
          <w:vertAlign w:val="subscript"/>
          <w:lang w:val="fr-FR" w:eastAsia="ja-JP"/>
        </w:rPr>
        <w:t>HC</w:t>
      </w:r>
      <w:r w:rsidRPr="004156C2">
        <w:rPr>
          <w:rFonts w:eastAsia="MS Mincho"/>
          <w:lang w:val="fr-FR" w:eastAsia="ja-JP"/>
        </w:rPr>
        <w:tab/>
        <w:t>est la concentration en hydrocarbures mesurée dans l’enceinte, en ppm (volume) en équivalent C</w:t>
      </w:r>
      <w:r w:rsidRPr="004156C2">
        <w:rPr>
          <w:rFonts w:eastAsia="MS Mincho"/>
          <w:vertAlign w:val="subscript"/>
          <w:lang w:val="fr-FR" w:eastAsia="ja-JP"/>
        </w:rPr>
        <w:t>1</w:t>
      </w:r>
      <w:r w:rsidRPr="004156C2">
        <w:rPr>
          <w:rFonts w:eastAsia="MS Mincho"/>
          <w:lang w:val="fr-FR" w:eastAsia="ja-JP"/>
        </w:rPr>
        <w:t> ;</w:t>
      </w:r>
    </w:p>
    <w:p w14:paraId="235B2267"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V</w:t>
      </w:r>
      <w:r w:rsidRPr="004156C2">
        <w:rPr>
          <w:rFonts w:eastAsia="MS Mincho"/>
          <w:lang w:val="fr-FR" w:eastAsia="ja-JP"/>
        </w:rPr>
        <w:tab/>
        <w:t>est le volume net de l’enceinte, corrigé du volume du véhicule fenêtres et compartiment à bagage ouverts, en m</w:t>
      </w:r>
      <w:r w:rsidRPr="004156C2">
        <w:rPr>
          <w:rFonts w:eastAsia="MS Mincho"/>
          <w:vertAlign w:val="superscript"/>
          <w:lang w:val="fr-FR" w:eastAsia="ja-JP"/>
        </w:rPr>
        <w:t>3</w:t>
      </w:r>
      <w:r w:rsidRPr="004156C2">
        <w:rPr>
          <w:rFonts w:eastAsia="MS Mincho"/>
          <w:lang w:val="fr-FR" w:eastAsia="ja-JP"/>
        </w:rPr>
        <w:t>. Si le volume du véhicule n’est pas connu, on soustrait un volume de 1,42 m</w:t>
      </w:r>
      <w:r w:rsidRPr="004156C2">
        <w:rPr>
          <w:rFonts w:eastAsia="MS Mincho"/>
          <w:vertAlign w:val="superscript"/>
          <w:lang w:val="fr-FR" w:eastAsia="ja-JP"/>
        </w:rPr>
        <w:t>3</w:t>
      </w:r>
      <w:r w:rsidRPr="004156C2">
        <w:rPr>
          <w:rFonts w:eastAsia="MS Mincho"/>
          <w:lang w:val="fr-FR" w:eastAsia="ja-JP"/>
        </w:rPr>
        <w:t> ;</w:t>
      </w:r>
    </w:p>
    <w:p w14:paraId="7A439D7C" w14:textId="77777777" w:rsidR="00312EE0" w:rsidRPr="004156C2" w:rsidRDefault="008C0C6D" w:rsidP="00312EE0">
      <w:pPr>
        <w:pStyle w:val="SingleTxtG"/>
        <w:ind w:left="3119" w:hanging="851"/>
        <w:rPr>
          <w:rFonts w:eastAsia="MS Mincho"/>
          <w:lang w:val="fr-FR" w:eastAsia="ja-JP"/>
        </w:rPr>
      </w:pPr>
      <m:oMath>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i</m:t>
            </m:r>
          </m:sub>
        </m:sSub>
      </m:oMath>
      <w:r w:rsidR="00312EE0" w:rsidRPr="004156C2">
        <w:rPr>
          <w:rFonts w:eastAsia="MS Mincho"/>
          <w:lang w:val="fr-FR" w:eastAsia="ja-JP"/>
        </w:rPr>
        <w:tab/>
        <w:t>est la température ambiante</w:t>
      </w:r>
      <w:r w:rsidR="00312EE0">
        <w:rPr>
          <w:rFonts w:eastAsia="MS Mincho"/>
          <w:lang w:val="fr-FR" w:eastAsia="ja-JP"/>
        </w:rPr>
        <w:t xml:space="preserve"> initiale</w:t>
      </w:r>
      <w:r w:rsidR="00312EE0" w:rsidRPr="004156C2">
        <w:rPr>
          <w:rFonts w:eastAsia="MS Mincho"/>
          <w:lang w:val="fr-FR" w:eastAsia="ja-JP"/>
        </w:rPr>
        <w:t xml:space="preserve"> de l’enceinte, en K ;</w:t>
      </w:r>
    </w:p>
    <w:p w14:paraId="0EFD969C" w14:textId="77777777" w:rsidR="00312EE0" w:rsidRPr="004156C2" w:rsidRDefault="008C0C6D" w:rsidP="00312EE0">
      <w:pPr>
        <w:pStyle w:val="SingleTxtG"/>
        <w:ind w:left="3119" w:hanging="851"/>
        <w:rPr>
          <w:rFonts w:eastAsia="MS Mincho"/>
          <w:lang w:val="fr-FR" w:eastAsia="ja-JP"/>
        </w:rPr>
      </w:pPr>
      <m:oMath>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i</m:t>
            </m:r>
          </m:sub>
        </m:sSub>
      </m:oMath>
      <w:r w:rsidR="00312EE0" w:rsidRPr="004156C2">
        <w:rPr>
          <w:rFonts w:eastAsia="MS Mincho"/>
          <w:lang w:val="fr-FR" w:eastAsia="ja-JP"/>
        </w:rPr>
        <w:t xml:space="preserve"> </w:t>
      </w:r>
      <w:r w:rsidR="00312EE0" w:rsidRPr="004156C2">
        <w:rPr>
          <w:rFonts w:eastAsia="MS Mincho"/>
          <w:lang w:val="fr-FR" w:eastAsia="ja-JP"/>
        </w:rPr>
        <w:tab/>
        <w:t>est la pression barométrique</w:t>
      </w:r>
      <w:r w:rsidR="00312EE0">
        <w:rPr>
          <w:rFonts w:eastAsia="MS Mincho"/>
          <w:lang w:val="fr-FR" w:eastAsia="ja-JP"/>
        </w:rPr>
        <w:t xml:space="preserve"> initiale</w:t>
      </w:r>
      <w:r w:rsidR="00312EE0" w:rsidRPr="004156C2">
        <w:rPr>
          <w:rFonts w:eastAsia="MS Mincho"/>
          <w:lang w:val="fr-FR" w:eastAsia="ja-JP"/>
        </w:rPr>
        <w:t>, en kPa ;</w:t>
      </w:r>
    </w:p>
    <w:p w14:paraId="31879C30" w14:textId="77777777" w:rsidR="00312EE0" w:rsidRDefault="00312EE0" w:rsidP="00312EE0">
      <w:pPr>
        <w:pStyle w:val="SingleTxtG"/>
        <w:ind w:left="3119" w:hanging="851"/>
        <w:rPr>
          <w:rFonts w:eastAsia="MS Mincho"/>
          <w:lang w:val="fr-FR" w:eastAsia="ja-JP"/>
        </w:rPr>
      </w:pPr>
      <w:r w:rsidRPr="004156C2">
        <w:rPr>
          <w:rFonts w:eastAsia="MS Mincho"/>
          <w:lang w:val="fr-FR" w:eastAsia="ja-JP"/>
        </w:rPr>
        <w:t>H/C</w:t>
      </w:r>
      <w:r w:rsidRPr="004156C2">
        <w:rPr>
          <w:rFonts w:eastAsia="MS Mincho"/>
          <w:lang w:val="fr-FR" w:eastAsia="ja-JP"/>
        </w:rPr>
        <w:tab/>
        <w:t>est le rapport hydrogène/carbone</w:t>
      </w:r>
      <w:r>
        <w:rPr>
          <w:rFonts w:eastAsia="MS Mincho"/>
          <w:lang w:val="fr-FR" w:eastAsia="ja-JP"/>
        </w:rPr>
        <w:t> </w:t>
      </w:r>
      <w:r w:rsidRPr="004156C2">
        <w:rPr>
          <w:rFonts w:eastAsia="MS Mincho"/>
          <w:lang w:val="fr-FR" w:eastAsia="ja-JP"/>
        </w:rPr>
        <w:t>;</w:t>
      </w:r>
    </w:p>
    <w:p w14:paraId="3A7FBC26" w14:textId="77777777" w:rsidR="00312EE0" w:rsidRDefault="00312EE0" w:rsidP="00312EE0">
      <w:pPr>
        <w:pStyle w:val="SingleTxtG"/>
        <w:ind w:left="3119" w:hanging="851"/>
        <w:rPr>
          <w:rFonts w:eastAsia="MS Mincho"/>
          <w:lang w:val="fr-FR" w:eastAsia="ja-JP"/>
        </w:rPr>
      </w:pPr>
      <w:r>
        <w:rPr>
          <w:rFonts w:eastAsia="MS Mincho"/>
          <w:lang w:val="fr-FR" w:eastAsia="ja-JP"/>
        </w:rPr>
        <w:t>H/C</w:t>
      </w:r>
      <w:r>
        <w:rPr>
          <w:rFonts w:eastAsia="MS Mincho"/>
          <w:lang w:val="fr-FR" w:eastAsia="ja-JP"/>
        </w:rPr>
        <w:tab/>
        <w:t>est réputé égal à 2,33 pour le trop-plein de pertes liées à la dépressurisation dans une enceinte SHED et à l’essai diurne ;</w:t>
      </w:r>
    </w:p>
    <w:p w14:paraId="5161C80F" w14:textId="77777777" w:rsidR="00312EE0" w:rsidRPr="004156C2" w:rsidRDefault="00312EE0" w:rsidP="00312EE0">
      <w:pPr>
        <w:pStyle w:val="SingleTxtG"/>
        <w:ind w:left="3119" w:hanging="851"/>
        <w:rPr>
          <w:rFonts w:eastAsia="MS Mincho"/>
          <w:lang w:val="fr-FR" w:eastAsia="ja-JP"/>
        </w:rPr>
      </w:pPr>
      <w:r>
        <w:rPr>
          <w:rFonts w:eastAsia="MS Mincho"/>
          <w:lang w:val="fr-FR" w:eastAsia="ja-JP"/>
        </w:rPr>
        <w:t>H/C</w:t>
      </w:r>
      <w:r>
        <w:rPr>
          <w:rFonts w:eastAsia="MS Mincho"/>
          <w:lang w:val="fr-FR" w:eastAsia="ja-JP"/>
        </w:rPr>
        <w:tab/>
        <w:t>est réputé égal à 2,20 pour les pertes par imprégnation à chaud ;</w:t>
      </w:r>
    </w:p>
    <w:p w14:paraId="2F44C184"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k</w:t>
      </w:r>
      <w:r w:rsidRPr="004156C2">
        <w:rPr>
          <w:rFonts w:eastAsia="MS Mincho"/>
          <w:lang w:val="fr-FR" w:eastAsia="ja-JP"/>
        </w:rPr>
        <w:tab/>
        <w:t>est égal à 1,2 × 10</w:t>
      </w:r>
      <w:r w:rsidRPr="004156C2">
        <w:rPr>
          <w:rFonts w:eastAsia="MS Mincho"/>
          <w:vertAlign w:val="superscript"/>
          <w:lang w:val="fr-FR" w:eastAsia="ja-JP"/>
        </w:rPr>
        <w:t>-4</w:t>
      </w:r>
      <w:r w:rsidRPr="004156C2">
        <w:rPr>
          <w:rFonts w:eastAsia="MS Mincho"/>
          <w:lang w:val="fr-FR" w:eastAsia="ja-JP"/>
        </w:rPr>
        <w:t xml:space="preserve"> × (12</w:t>
      </w:r>
      <w:r>
        <w:rPr>
          <w:rFonts w:eastAsia="MS Mincho"/>
          <w:lang w:val="fr-FR" w:eastAsia="ja-JP"/>
        </w:rPr>
        <w:t xml:space="preserve"> + H/C), en (g × K/(m³ × kPa)).</w:t>
      </w:r>
    </w:p>
    <w:p w14:paraId="7BC0A52A" w14:textId="77777777" w:rsidR="00312EE0" w:rsidRPr="004156C2" w:rsidRDefault="00312EE0" w:rsidP="00312EE0">
      <w:pPr>
        <w:pStyle w:val="SingleTxtG"/>
        <w:ind w:left="2268" w:hanging="1134"/>
        <w:rPr>
          <w:rFonts w:eastAsia="MS Mincho"/>
          <w:lang w:val="fr-FR"/>
        </w:rPr>
      </w:pPr>
      <w:r w:rsidRPr="004156C2">
        <w:rPr>
          <w:rFonts w:eastAsia="MS Mincho"/>
          <w:lang w:val="fr-FR"/>
        </w:rPr>
        <w:t>7.2</w:t>
      </w:r>
      <w:r w:rsidRPr="004156C2">
        <w:rPr>
          <w:rFonts w:eastAsia="MS Mincho"/>
          <w:lang w:val="fr-FR"/>
        </w:rPr>
        <w:tab/>
        <w:t>Le résultat de M</w:t>
      </w:r>
      <w:r w:rsidRPr="004156C2">
        <w:rPr>
          <w:rFonts w:eastAsia="MS Mincho"/>
          <w:vertAlign w:val="subscript"/>
          <w:lang w:val="fr-FR"/>
        </w:rPr>
        <w:t xml:space="preserve">HS </w:t>
      </w:r>
      <w:r w:rsidRPr="004156C2">
        <w:rPr>
          <w:rFonts w:eastAsia="MS Mincho"/>
          <w:lang w:val="fr-FR"/>
        </w:rPr>
        <w:t>+ M</w:t>
      </w:r>
      <w:r w:rsidRPr="004156C2">
        <w:rPr>
          <w:rFonts w:eastAsia="MS Mincho"/>
          <w:vertAlign w:val="subscript"/>
          <w:lang w:val="fr-FR"/>
        </w:rPr>
        <w:t xml:space="preserve">D1 </w:t>
      </w:r>
      <w:r w:rsidRPr="004156C2">
        <w:rPr>
          <w:rFonts w:eastAsia="MS Mincho"/>
          <w:lang w:val="fr-FR"/>
        </w:rPr>
        <w:t>+ M</w:t>
      </w:r>
      <w:r w:rsidRPr="004156C2">
        <w:rPr>
          <w:rFonts w:eastAsia="MS Mincho"/>
          <w:vertAlign w:val="subscript"/>
          <w:lang w:val="fr-FR"/>
        </w:rPr>
        <w:t xml:space="preserve">D2 </w:t>
      </w:r>
      <w:r w:rsidRPr="004156C2">
        <w:rPr>
          <w:rFonts w:eastAsia="MS Mincho"/>
          <w:lang w:val="fr-FR"/>
        </w:rPr>
        <w:t>+ (2 x PF) doit être inférieur à la valeur limite définie au paragraphe 6.1 a) du présent RTM</w:t>
      </w:r>
      <w:r>
        <w:rPr>
          <w:rFonts w:eastAsia="MS Mincho"/>
          <w:lang w:val="fr-FR"/>
        </w:rPr>
        <w:t xml:space="preserve"> ONU</w:t>
      </w:r>
      <w:r w:rsidRPr="004156C2">
        <w:rPr>
          <w:rFonts w:eastAsia="MS Mincho"/>
          <w:lang w:val="fr-FR"/>
        </w:rPr>
        <w:t>.</w:t>
      </w:r>
    </w:p>
    <w:p w14:paraId="288D2FA6" w14:textId="77777777" w:rsidR="00312EE0" w:rsidRPr="004156C2" w:rsidRDefault="00312EE0" w:rsidP="00312EE0">
      <w:pPr>
        <w:pStyle w:val="SingleTxtG"/>
        <w:ind w:left="2268" w:hanging="1134"/>
        <w:rPr>
          <w:rFonts w:eastAsia="MS Mincho"/>
          <w:lang w:val="fr-FR"/>
        </w:rPr>
      </w:pPr>
      <w:r w:rsidRPr="004156C2">
        <w:rPr>
          <w:rFonts w:eastAsia="MS Mincho"/>
          <w:lang w:val="fr-FR"/>
        </w:rPr>
        <w:t>7.3</w:t>
      </w:r>
      <w:r w:rsidRPr="004156C2">
        <w:rPr>
          <w:rFonts w:eastAsia="MS Mincho"/>
          <w:lang w:val="fr-FR"/>
        </w:rPr>
        <w:tab/>
        <w:t>Au choix de la Partie contractante, le mode de calcul suivant peut également être appliqué :</w:t>
      </w:r>
    </w:p>
    <w:p w14:paraId="4B69C2A7" w14:textId="77777777" w:rsidR="00312EE0" w:rsidRPr="004156C2" w:rsidRDefault="00312EE0" w:rsidP="00312EE0">
      <w:pPr>
        <w:pStyle w:val="SingleTxtG"/>
        <w:ind w:left="2268"/>
        <w:rPr>
          <w:rFonts w:eastAsia="MS Mincho"/>
          <w:lang w:val="fr-FR"/>
        </w:rPr>
      </w:pPr>
      <w:r w:rsidRPr="004156C2">
        <w:rPr>
          <w:rFonts w:eastAsia="MS Mincho"/>
          <w:lang w:val="fr-FR"/>
        </w:rPr>
        <w:t>Le résultat de M</w:t>
      </w:r>
      <w:r w:rsidRPr="004156C2">
        <w:rPr>
          <w:rFonts w:eastAsia="MS Mincho"/>
          <w:vertAlign w:val="subscript"/>
          <w:lang w:val="fr-FR"/>
        </w:rPr>
        <w:t xml:space="preserve">HS </w:t>
      </w:r>
      <w:r w:rsidRPr="004156C2">
        <w:rPr>
          <w:rFonts w:eastAsia="MS Mincho"/>
          <w:lang w:val="fr-FR"/>
        </w:rPr>
        <w:t xml:space="preserve">+ </w:t>
      </w:r>
      <w:proofErr w:type="spellStart"/>
      <w:r w:rsidRPr="004156C2">
        <w:rPr>
          <w:rFonts w:eastAsia="MS Mincho"/>
          <w:lang w:val="fr-FR"/>
        </w:rPr>
        <w:t>M</w:t>
      </w:r>
      <w:r w:rsidRPr="004156C2">
        <w:rPr>
          <w:rFonts w:eastAsia="MS Mincho"/>
          <w:vertAlign w:val="subscript"/>
          <w:lang w:val="fr-FR"/>
        </w:rPr>
        <w:t>D_max</w:t>
      </w:r>
      <w:proofErr w:type="spellEnd"/>
      <w:r w:rsidRPr="004156C2">
        <w:rPr>
          <w:rFonts w:eastAsia="MS Mincho"/>
          <w:vertAlign w:val="subscript"/>
          <w:lang w:val="fr-FR"/>
        </w:rPr>
        <w:t xml:space="preserve"> </w:t>
      </w:r>
      <w:r w:rsidRPr="004156C2">
        <w:rPr>
          <w:rFonts w:eastAsia="MS Mincho"/>
          <w:lang w:val="fr-FR"/>
        </w:rPr>
        <w:t>+ PF doit être inférieur à la valeur limite définie au paragraphe 6.1 b) du présent RTM</w:t>
      </w:r>
      <w:r>
        <w:rPr>
          <w:rFonts w:eastAsia="MS Mincho"/>
          <w:lang w:val="fr-FR"/>
        </w:rPr>
        <w:t xml:space="preserve"> ONU</w:t>
      </w:r>
      <w:r w:rsidRPr="004156C2">
        <w:rPr>
          <w:rFonts w:eastAsia="MS Mincho"/>
          <w:lang w:val="fr-FR"/>
        </w:rPr>
        <w:t xml:space="preserve">. </w:t>
      </w:r>
      <w:proofErr w:type="spellStart"/>
      <w:r w:rsidRPr="004156C2">
        <w:rPr>
          <w:rFonts w:eastAsia="MS Mincho"/>
          <w:lang w:val="fr-FR"/>
        </w:rPr>
        <w:t>M</w:t>
      </w:r>
      <w:r w:rsidRPr="004156C2">
        <w:rPr>
          <w:rFonts w:eastAsia="MS Mincho"/>
          <w:vertAlign w:val="subscript"/>
          <w:lang w:val="fr-FR"/>
        </w:rPr>
        <w:t>D_max</w:t>
      </w:r>
      <w:proofErr w:type="spellEnd"/>
      <w:r w:rsidRPr="004156C2">
        <w:rPr>
          <w:rFonts w:eastAsia="MS Mincho"/>
          <w:vertAlign w:val="subscript"/>
          <w:lang w:val="fr-FR"/>
        </w:rPr>
        <w:t xml:space="preserve"> </w:t>
      </w:r>
      <w:r w:rsidRPr="004156C2">
        <w:rPr>
          <w:rFonts w:eastAsia="MS Mincho"/>
          <w:lang w:val="fr-FR"/>
        </w:rPr>
        <w:t>doit être soit M</w:t>
      </w:r>
      <w:r w:rsidRPr="004156C2">
        <w:rPr>
          <w:rFonts w:eastAsia="MS Mincho"/>
          <w:vertAlign w:val="subscript"/>
          <w:lang w:val="fr-FR"/>
        </w:rPr>
        <w:t>D1</w:t>
      </w:r>
      <w:r w:rsidRPr="004156C2">
        <w:rPr>
          <w:rFonts w:eastAsia="MS Mincho"/>
          <w:lang w:val="fr-FR"/>
        </w:rPr>
        <w:t>, soit M</w:t>
      </w:r>
      <w:r w:rsidRPr="004156C2">
        <w:rPr>
          <w:rFonts w:eastAsia="MS Mincho"/>
          <w:vertAlign w:val="subscript"/>
          <w:lang w:val="fr-FR"/>
        </w:rPr>
        <w:t>D2</w:t>
      </w:r>
      <w:r w:rsidRPr="004156C2">
        <w:rPr>
          <w:rFonts w:eastAsia="MS Mincho"/>
          <w:lang w:val="fr-FR"/>
        </w:rPr>
        <w:t>, selon celui de ces deux paramètres qui donne les émissions les plus élevées.</w:t>
      </w:r>
    </w:p>
    <w:p w14:paraId="335D6838"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8.</w:t>
      </w:r>
      <w:r w:rsidRPr="004156C2">
        <w:rPr>
          <w:rFonts w:eastAsia="MS Mincho"/>
          <w:lang w:val="fr-FR"/>
        </w:rPr>
        <w:tab/>
        <w:t>Rapport d’essai</w:t>
      </w:r>
    </w:p>
    <w:p w14:paraId="2174073C" w14:textId="77777777" w:rsidR="00312EE0" w:rsidRPr="004156C2" w:rsidRDefault="00312EE0" w:rsidP="00312EE0">
      <w:pPr>
        <w:pStyle w:val="SingleTxtG"/>
        <w:ind w:left="2268"/>
        <w:rPr>
          <w:rFonts w:eastAsia="MS Mincho"/>
          <w:lang w:val="fr-FR"/>
        </w:rPr>
      </w:pPr>
      <w:r w:rsidRPr="004156C2">
        <w:rPr>
          <w:rFonts w:eastAsia="MS Mincho"/>
          <w:lang w:val="fr-FR"/>
        </w:rPr>
        <w:tab/>
        <w:t>Le rapport d’essai doit contenir au moins les informations suivantes :</w:t>
      </w:r>
    </w:p>
    <w:p w14:paraId="7B4648EF" w14:textId="77777777" w:rsidR="00312EE0" w:rsidRPr="004156C2" w:rsidRDefault="00312EE0" w:rsidP="00312EE0">
      <w:pPr>
        <w:pStyle w:val="SingleTxtG"/>
        <w:ind w:left="2835" w:hanging="567"/>
        <w:rPr>
          <w:lang w:val="fr-FR"/>
        </w:rPr>
      </w:pPr>
      <w:r w:rsidRPr="004156C2">
        <w:rPr>
          <w:lang w:val="fr-FR"/>
        </w:rPr>
        <w:t>a)</w:t>
      </w:r>
      <w:r w:rsidRPr="004156C2">
        <w:rPr>
          <w:lang w:val="fr-FR"/>
        </w:rPr>
        <w:tab/>
        <w:t>Description des périodes de stabilisation thermique, y compris les temps et les températures moyennes ;</w:t>
      </w:r>
    </w:p>
    <w:p w14:paraId="5268E53F" w14:textId="77777777" w:rsidR="00312EE0" w:rsidRPr="004156C2" w:rsidRDefault="00312EE0" w:rsidP="00312EE0">
      <w:pPr>
        <w:pStyle w:val="SingleTxtG"/>
        <w:ind w:left="2835" w:hanging="567"/>
        <w:rPr>
          <w:lang w:val="fr-FR"/>
        </w:rPr>
      </w:pPr>
      <w:r w:rsidRPr="004156C2">
        <w:rPr>
          <w:lang w:val="fr-FR"/>
        </w:rPr>
        <w:t>b)</w:t>
      </w:r>
      <w:r w:rsidRPr="004156C2">
        <w:rPr>
          <w:lang w:val="fr-FR"/>
        </w:rPr>
        <w:tab/>
        <w:t xml:space="preserve">Description du </w:t>
      </w:r>
      <w:proofErr w:type="spellStart"/>
      <w:r w:rsidRPr="004156C2">
        <w:rPr>
          <w:lang w:val="fr-FR"/>
        </w:rPr>
        <w:t>canister</w:t>
      </w:r>
      <w:proofErr w:type="spellEnd"/>
      <w:r w:rsidRPr="004156C2">
        <w:rPr>
          <w:lang w:val="fr-FR"/>
        </w:rPr>
        <w:t xml:space="preserve"> vieilli utilisé et référence du rapport décrivant le procédé de vieillissement exact ;</w:t>
      </w:r>
    </w:p>
    <w:p w14:paraId="1D2F756F" w14:textId="77777777" w:rsidR="00312EE0" w:rsidRPr="004156C2" w:rsidRDefault="00312EE0" w:rsidP="00312EE0">
      <w:pPr>
        <w:pStyle w:val="SingleTxtG"/>
        <w:ind w:left="2835" w:hanging="567"/>
        <w:rPr>
          <w:lang w:val="fr-FR"/>
        </w:rPr>
      </w:pPr>
      <w:r w:rsidRPr="004156C2">
        <w:rPr>
          <w:lang w:val="fr-FR"/>
        </w:rPr>
        <w:t>c)</w:t>
      </w:r>
      <w:r w:rsidRPr="004156C2">
        <w:rPr>
          <w:lang w:val="fr-FR"/>
        </w:rPr>
        <w:tab/>
        <w:t>Température moyenne pendant l’essai d’émissions après accumulation de chaleur ;</w:t>
      </w:r>
    </w:p>
    <w:p w14:paraId="40B8EB1B" w14:textId="77777777" w:rsidR="00312EE0" w:rsidRPr="004156C2" w:rsidRDefault="00312EE0" w:rsidP="00312EE0">
      <w:pPr>
        <w:pStyle w:val="SingleTxtG"/>
        <w:ind w:left="2835" w:hanging="567"/>
        <w:rPr>
          <w:lang w:val="fr-FR"/>
        </w:rPr>
      </w:pPr>
      <w:r w:rsidRPr="004156C2">
        <w:rPr>
          <w:lang w:val="fr-FR"/>
        </w:rPr>
        <w:t>d)</w:t>
      </w:r>
      <w:r w:rsidRPr="004156C2">
        <w:rPr>
          <w:lang w:val="fr-FR"/>
        </w:rPr>
        <w:tab/>
        <w:t>Mesure au cours de l’essai d’émissions après accumulation de chaleur, HSL ;</w:t>
      </w:r>
    </w:p>
    <w:p w14:paraId="1120451A" w14:textId="77777777" w:rsidR="00312EE0" w:rsidRPr="004156C2" w:rsidRDefault="00312EE0" w:rsidP="00312EE0">
      <w:pPr>
        <w:pStyle w:val="SingleTxtG"/>
        <w:ind w:left="2835" w:hanging="567"/>
        <w:rPr>
          <w:lang w:val="fr-FR"/>
        </w:rPr>
      </w:pPr>
      <w:r w:rsidRPr="004156C2">
        <w:rPr>
          <w:lang w:val="fr-FR"/>
        </w:rPr>
        <w:t>e)</w:t>
      </w:r>
      <w:r w:rsidRPr="004156C2">
        <w:rPr>
          <w:lang w:val="fr-FR"/>
        </w:rPr>
        <w:tab/>
        <w:t>Mesure du premier cycle diurne, DL</w:t>
      </w:r>
      <w:r w:rsidRPr="006275C6">
        <w:rPr>
          <w:vertAlign w:val="superscript"/>
          <w:lang w:val="fr-FR"/>
        </w:rPr>
        <w:t>1st</w:t>
      </w:r>
      <w:r w:rsidRPr="004156C2">
        <w:rPr>
          <w:lang w:val="fr-FR"/>
        </w:rPr>
        <w:t xml:space="preserve"> </w:t>
      </w:r>
      <w:proofErr w:type="spellStart"/>
      <w:r w:rsidRPr="004156C2">
        <w:rPr>
          <w:lang w:val="fr-FR"/>
        </w:rPr>
        <w:t>day</w:t>
      </w:r>
      <w:proofErr w:type="spellEnd"/>
      <w:r w:rsidRPr="004156C2">
        <w:rPr>
          <w:lang w:val="fr-FR"/>
        </w:rPr>
        <w:t> ;</w:t>
      </w:r>
    </w:p>
    <w:p w14:paraId="1E07A534" w14:textId="77777777" w:rsidR="00312EE0" w:rsidRPr="004156C2" w:rsidRDefault="00312EE0" w:rsidP="00312EE0">
      <w:pPr>
        <w:pStyle w:val="SingleTxtG"/>
        <w:ind w:left="2835" w:hanging="567"/>
        <w:rPr>
          <w:lang w:val="fr-FR"/>
        </w:rPr>
      </w:pPr>
      <w:r w:rsidRPr="004156C2">
        <w:rPr>
          <w:lang w:val="fr-FR"/>
        </w:rPr>
        <w:t>f)</w:t>
      </w:r>
      <w:r w:rsidRPr="004156C2">
        <w:rPr>
          <w:lang w:val="fr-FR"/>
        </w:rPr>
        <w:tab/>
        <w:t>Mesure du second cycle diurne, DL</w:t>
      </w:r>
      <w:r w:rsidRPr="006275C6">
        <w:rPr>
          <w:vertAlign w:val="superscript"/>
          <w:lang w:val="fr-FR"/>
        </w:rPr>
        <w:t>2nd</w:t>
      </w:r>
      <w:r w:rsidRPr="004156C2">
        <w:rPr>
          <w:lang w:val="fr-FR"/>
        </w:rPr>
        <w:t xml:space="preserve"> </w:t>
      </w:r>
      <w:proofErr w:type="spellStart"/>
      <w:r w:rsidRPr="004156C2">
        <w:rPr>
          <w:lang w:val="fr-FR"/>
        </w:rPr>
        <w:t>day</w:t>
      </w:r>
      <w:proofErr w:type="spellEnd"/>
      <w:r w:rsidRPr="004156C2">
        <w:rPr>
          <w:lang w:val="fr-FR"/>
        </w:rPr>
        <w:t> ;</w:t>
      </w:r>
    </w:p>
    <w:p w14:paraId="26597C8E" w14:textId="77777777" w:rsidR="00312EE0" w:rsidRPr="004156C2" w:rsidRDefault="00312EE0" w:rsidP="00312EE0">
      <w:pPr>
        <w:pStyle w:val="SingleTxtG"/>
        <w:ind w:left="2835" w:hanging="567"/>
        <w:rPr>
          <w:lang w:val="fr-FR"/>
        </w:rPr>
      </w:pPr>
      <w:r w:rsidRPr="004156C2">
        <w:rPr>
          <w:lang w:val="fr-FR"/>
        </w:rPr>
        <w:lastRenderedPageBreak/>
        <w:t>g)</w:t>
      </w:r>
      <w:r w:rsidRPr="004156C2">
        <w:rPr>
          <w:lang w:val="fr-FR"/>
        </w:rPr>
        <w:tab/>
        <w:t>Résultat final de l’essai d’émissions par évaporation, calculé conformément au paragraphe 7 de la présente annexe ;</w:t>
      </w:r>
    </w:p>
    <w:p w14:paraId="520C240F" w14:textId="77777777" w:rsidR="00312EE0" w:rsidRPr="004156C2" w:rsidRDefault="00312EE0" w:rsidP="00312EE0">
      <w:pPr>
        <w:pStyle w:val="SingleTxtG"/>
        <w:ind w:left="2835" w:hanging="567"/>
        <w:rPr>
          <w:lang w:val="fr-FR"/>
        </w:rPr>
      </w:pPr>
      <w:r w:rsidRPr="004156C2">
        <w:rPr>
          <w:lang w:val="fr-FR"/>
        </w:rPr>
        <w:t>h)</w:t>
      </w:r>
      <w:r w:rsidRPr="004156C2">
        <w:rPr>
          <w:lang w:val="fr-FR"/>
        </w:rPr>
        <w:tab/>
        <w:t>Pression de décharge déclarée du réservoir (pour les systèmes de réservoirs étanches) ;</w:t>
      </w:r>
    </w:p>
    <w:p w14:paraId="36D03070" w14:textId="77777777" w:rsidR="00312EE0" w:rsidRDefault="00312EE0" w:rsidP="003047F7">
      <w:pPr>
        <w:pStyle w:val="SingleTxtG"/>
        <w:ind w:left="2835" w:hanging="567"/>
        <w:rPr>
          <w:lang w:val="fr-FR"/>
        </w:rPr>
      </w:pPr>
      <w:r w:rsidRPr="004156C2">
        <w:rPr>
          <w:lang w:val="fr-FR"/>
        </w:rPr>
        <w:t>i)</w:t>
      </w:r>
      <w:r w:rsidRPr="004156C2">
        <w:rPr>
          <w:lang w:val="fr-FR"/>
        </w:rPr>
        <w:tab/>
        <w:t>Valeur de la charge par pertes liées à la dépressurisation (dans le cas où la procédure d’essai indépendante décrite au paragraphe 6.7 de la présente annexe est suivie).</w:t>
      </w:r>
    </w:p>
    <w:p w14:paraId="6BDEFC1F" w14:textId="77777777" w:rsidR="003047F7" w:rsidRPr="004156C2" w:rsidRDefault="003047F7" w:rsidP="003047F7">
      <w:pPr>
        <w:pStyle w:val="HChG"/>
        <w:rPr>
          <w:lang w:val="fr-FR"/>
        </w:rPr>
      </w:pPr>
      <w:r>
        <w:br w:type="page"/>
      </w:r>
      <w:r w:rsidRPr="004156C2">
        <w:rPr>
          <w:lang w:val="fr-FR"/>
        </w:rPr>
        <w:lastRenderedPageBreak/>
        <w:t xml:space="preserve">Annexe </w:t>
      </w:r>
      <w:r w:rsidRPr="004156C2">
        <w:rPr>
          <w:lang w:val="fr-FR" w:eastAsia="ja-JP"/>
        </w:rPr>
        <w:t>2</w:t>
      </w:r>
    </w:p>
    <w:p w14:paraId="647B1D62" w14:textId="77777777" w:rsidR="003047F7" w:rsidRPr="004156C2" w:rsidRDefault="003047F7" w:rsidP="003047F7">
      <w:pPr>
        <w:pStyle w:val="HChG"/>
        <w:rPr>
          <w:lang w:val="fr-FR"/>
        </w:rPr>
      </w:pPr>
      <w:r w:rsidRPr="004156C2">
        <w:rPr>
          <w:lang w:val="fr-FR"/>
        </w:rPr>
        <w:tab/>
      </w:r>
      <w:r w:rsidRPr="004156C2">
        <w:rPr>
          <w:lang w:val="fr-FR"/>
        </w:rPr>
        <w:tab/>
        <w:t>Carburants de référence</w:t>
      </w:r>
    </w:p>
    <w:p w14:paraId="622316A3" w14:textId="77777777" w:rsidR="003047F7" w:rsidRPr="004156C2" w:rsidRDefault="003047F7" w:rsidP="003047F7">
      <w:pPr>
        <w:pStyle w:val="SingleTxtG"/>
        <w:ind w:left="2268" w:hanging="1134"/>
        <w:rPr>
          <w:lang w:val="fr-FR"/>
        </w:rPr>
      </w:pPr>
      <w:r w:rsidRPr="004156C2">
        <w:rPr>
          <w:lang w:val="fr-FR"/>
        </w:rPr>
        <w:t>1.</w:t>
      </w:r>
      <w:r w:rsidRPr="004156C2">
        <w:rPr>
          <w:lang w:val="fr-FR"/>
        </w:rPr>
        <w:tab/>
        <w:t>Étant donné les différences qui existent</w:t>
      </w:r>
      <w:r>
        <w:rPr>
          <w:lang w:val="fr-FR"/>
        </w:rPr>
        <w:t xml:space="preserve"> entre les régions</w:t>
      </w:r>
      <w:r w:rsidRPr="004156C2">
        <w:rPr>
          <w:lang w:val="fr-FR"/>
        </w:rPr>
        <w:t xml:space="preserve"> dans les spécifications des carburants du marché, il est nécessaire d’admettre l’existence de différents carburants de référence régionaux. Les Parties contractantes peuvent choisir leurs carburants de référence soit conformément à l’annexe 3 du RTM </w:t>
      </w:r>
      <w:r>
        <w:rPr>
          <w:lang w:val="fr-FR"/>
        </w:rPr>
        <w:t xml:space="preserve">ONU </w:t>
      </w:r>
      <w:r w:rsidRPr="004156C2">
        <w:rPr>
          <w:szCs w:val="22"/>
          <w:lang w:val="fr-FR"/>
        </w:rPr>
        <w:t>n</w:t>
      </w:r>
      <w:r w:rsidRPr="004156C2">
        <w:rPr>
          <w:szCs w:val="22"/>
          <w:vertAlign w:val="superscript"/>
          <w:lang w:val="fr-FR"/>
        </w:rPr>
        <w:t>o</w:t>
      </w:r>
      <w:r w:rsidRPr="004156C2">
        <w:rPr>
          <w:lang w:val="fr-FR"/>
        </w:rPr>
        <w:t> 15, soit conformément au paragraphe 2 de la présente annexe.</w:t>
      </w:r>
    </w:p>
    <w:p w14:paraId="7728437A" w14:textId="77777777" w:rsidR="003047F7" w:rsidRPr="004156C2" w:rsidRDefault="003047F7" w:rsidP="003047F7">
      <w:pPr>
        <w:pStyle w:val="SingleTxtG"/>
        <w:ind w:left="2268" w:hanging="1134"/>
        <w:rPr>
          <w:lang w:val="fr-FR"/>
        </w:rPr>
      </w:pPr>
      <w:r w:rsidRPr="004156C2">
        <w:rPr>
          <w:lang w:val="fr-FR"/>
        </w:rPr>
        <w:t>2.</w:t>
      </w:r>
      <w:r w:rsidRPr="004156C2">
        <w:rPr>
          <w:lang w:val="fr-FR"/>
        </w:rPr>
        <w:tab/>
        <w:t>Spécification d’un carburant de référence pour les essais aux fins de la reconnaissance mutuelle</w:t>
      </w:r>
    </w:p>
    <w:p w14:paraId="5EB19E79" w14:textId="77777777" w:rsidR="003047F7" w:rsidRPr="004156C2" w:rsidRDefault="003047F7" w:rsidP="003047F7">
      <w:pPr>
        <w:pStyle w:val="SingleTxtG"/>
        <w:ind w:left="2268"/>
        <w:rPr>
          <w:lang w:val="fr-FR"/>
        </w:rPr>
      </w:pPr>
      <w:r w:rsidRPr="004156C2">
        <w:rPr>
          <w:lang w:val="fr-FR"/>
        </w:rPr>
        <w:tab/>
        <w:t>Le carburant de référence défini au tableau A2/1 est destiné à être utilisé comme carburant de référence aux fins de la reconnaissance mutuelle conformément aux règles de l’Accord de 1998.</w:t>
      </w:r>
    </w:p>
    <w:p w14:paraId="5F196B3C" w14:textId="77777777" w:rsidR="003047F7" w:rsidRPr="004156C2" w:rsidRDefault="003047F7" w:rsidP="003047F7">
      <w:pPr>
        <w:pStyle w:val="SingleTxtG"/>
        <w:ind w:left="2268" w:hanging="1134"/>
        <w:rPr>
          <w:lang w:val="fr-FR"/>
        </w:rPr>
      </w:pPr>
      <w:r w:rsidRPr="004156C2">
        <w:rPr>
          <w:lang w:val="fr-FR"/>
        </w:rPr>
        <w:t>3.</w:t>
      </w:r>
      <w:r w:rsidRPr="004156C2">
        <w:rPr>
          <w:lang w:val="fr-FR"/>
        </w:rPr>
        <w:tab/>
        <w:t>Spécification d’un carburant de référence pour les essais à l’échelon régional</w:t>
      </w:r>
    </w:p>
    <w:p w14:paraId="6D33D07C" w14:textId="77777777" w:rsidR="003047F7" w:rsidRPr="004156C2" w:rsidRDefault="003047F7" w:rsidP="003047F7">
      <w:pPr>
        <w:pStyle w:val="SingleTxtG"/>
        <w:ind w:left="2268"/>
        <w:rPr>
          <w:lang w:val="fr-FR"/>
        </w:rPr>
      </w:pPr>
      <w:r w:rsidRPr="004156C2">
        <w:rPr>
          <w:lang w:val="fr-FR"/>
        </w:rPr>
        <w:tab/>
        <w:t xml:space="preserve">Le carburant de référence défini à l’annexe 3 du RTM </w:t>
      </w:r>
      <w:r>
        <w:rPr>
          <w:lang w:val="fr-FR"/>
        </w:rPr>
        <w:t xml:space="preserve">ONU </w:t>
      </w:r>
      <w:r w:rsidRPr="004156C2">
        <w:rPr>
          <w:szCs w:val="22"/>
          <w:lang w:val="fr-FR"/>
        </w:rPr>
        <w:t>n</w:t>
      </w:r>
      <w:r w:rsidRPr="004156C2">
        <w:rPr>
          <w:szCs w:val="22"/>
          <w:vertAlign w:val="superscript"/>
          <w:lang w:val="fr-FR"/>
        </w:rPr>
        <w:t>o</w:t>
      </w:r>
      <w:r w:rsidRPr="004156C2">
        <w:rPr>
          <w:lang w:val="fr-FR"/>
        </w:rPr>
        <w:t> 15 peut être utilisé à cette fin.</w:t>
      </w:r>
    </w:p>
    <w:p w14:paraId="77D21044" w14:textId="77777777" w:rsidR="003047F7" w:rsidRPr="00C849E7" w:rsidRDefault="003047F7" w:rsidP="003047F7">
      <w:pPr>
        <w:pStyle w:val="Heading1"/>
        <w:spacing w:after="120" w:line="240" w:lineRule="atLeast"/>
        <w:ind w:left="0"/>
        <w:rPr>
          <w:b/>
          <w:lang w:val="fr-FR"/>
        </w:rPr>
      </w:pPr>
      <w:r w:rsidRPr="004156C2">
        <w:rPr>
          <w:lang w:val="fr-FR"/>
        </w:rPr>
        <w:t>Tableau A2/1</w:t>
      </w:r>
      <w:r w:rsidRPr="004156C2">
        <w:rPr>
          <w:lang w:val="fr-FR"/>
        </w:rPr>
        <w:br/>
      </w:r>
      <w:r w:rsidRPr="00C849E7">
        <w:rPr>
          <w:b/>
          <w:lang w:val="fr-FR"/>
        </w:rPr>
        <w:t>Carburant de référence pour les essais d’émissions par évaporation</w:t>
      </w:r>
      <w:r>
        <w:rPr>
          <w:b/>
          <w:lang w:val="fr-FR"/>
        </w:rPr>
        <w:t xml:space="preserve"> </w:t>
      </w:r>
      <w:r w:rsidRPr="0093795C">
        <w:rPr>
          <w:b/>
          <w:lang w:val="fr-FR"/>
        </w:rPr>
        <w:t xml:space="preserve">aux fins de la reconnaissance mutuelle </w:t>
      </w:r>
      <w:r>
        <w:rPr>
          <w:b/>
          <w:lang w:val="fr-FR"/>
        </w:rPr>
        <w:br/>
      </w:r>
      <w:r w:rsidRPr="0093795C">
        <w:rPr>
          <w:b/>
          <w:lang w:val="fr-FR"/>
        </w:rPr>
        <w:t>dans le cadre de l</w:t>
      </w:r>
      <w:r>
        <w:rPr>
          <w:b/>
          <w:lang w:val="fr-FR"/>
        </w:rPr>
        <w:t>’</w:t>
      </w:r>
      <w:r w:rsidRPr="0093795C">
        <w:rPr>
          <w:b/>
          <w:lang w:val="fr-FR"/>
        </w:rPr>
        <w:t>Accord de 1998</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9"/>
        <w:gridCol w:w="1257"/>
        <w:gridCol w:w="1386"/>
        <w:gridCol w:w="1406"/>
        <w:gridCol w:w="2429"/>
      </w:tblGrid>
      <w:tr w:rsidR="003047F7" w:rsidRPr="004156C2" w14:paraId="09DD2AC5" w14:textId="77777777" w:rsidTr="007F6101">
        <w:trPr>
          <w:tblHeader/>
        </w:trPr>
        <w:tc>
          <w:tcPr>
            <w:tcW w:w="3155" w:type="dxa"/>
            <w:vMerge w:val="restart"/>
            <w:shd w:val="clear" w:color="auto" w:fill="auto"/>
            <w:vAlign w:val="bottom"/>
            <w:hideMark/>
          </w:tcPr>
          <w:p w14:paraId="50C6FE35" w14:textId="77777777" w:rsidR="003047F7" w:rsidRPr="004156C2" w:rsidRDefault="003047F7" w:rsidP="007F6101">
            <w:pPr>
              <w:suppressAutoHyphens w:val="0"/>
              <w:kinsoku/>
              <w:overflowPunct/>
              <w:autoSpaceDE/>
              <w:autoSpaceDN/>
              <w:adjustRightInd/>
              <w:snapToGrid/>
              <w:spacing w:before="40" w:after="40" w:line="200" w:lineRule="exact"/>
              <w:ind w:left="57" w:right="57"/>
              <w:rPr>
                <w:rFonts w:eastAsia="MS Mincho"/>
                <w:i/>
                <w:sz w:val="16"/>
                <w:lang w:val="fr-FR"/>
              </w:rPr>
            </w:pPr>
            <w:r w:rsidRPr="004156C2">
              <w:rPr>
                <w:rFonts w:eastAsia="MS Mincho"/>
                <w:i/>
                <w:sz w:val="16"/>
                <w:lang w:val="fr-FR"/>
              </w:rPr>
              <w:t>Paramètre</w:t>
            </w:r>
          </w:p>
        </w:tc>
        <w:tc>
          <w:tcPr>
            <w:tcW w:w="1258" w:type="dxa"/>
            <w:vMerge w:val="restart"/>
            <w:shd w:val="clear" w:color="auto" w:fill="auto"/>
            <w:vAlign w:val="bottom"/>
            <w:hideMark/>
          </w:tcPr>
          <w:p w14:paraId="7D131AAE" w14:textId="77777777" w:rsidR="003047F7" w:rsidRPr="004156C2" w:rsidRDefault="003047F7" w:rsidP="007F6101">
            <w:pPr>
              <w:suppressAutoHyphens w:val="0"/>
              <w:kinsoku/>
              <w:overflowPunct/>
              <w:autoSpaceDE/>
              <w:autoSpaceDN/>
              <w:adjustRightInd/>
              <w:snapToGrid/>
              <w:spacing w:before="40" w:after="40" w:line="200" w:lineRule="exact"/>
              <w:ind w:left="57" w:right="57"/>
              <w:rPr>
                <w:rFonts w:eastAsia="MS Mincho"/>
                <w:i/>
                <w:sz w:val="16"/>
                <w:lang w:val="fr-FR"/>
              </w:rPr>
            </w:pPr>
            <w:r w:rsidRPr="004156C2">
              <w:rPr>
                <w:rFonts w:eastAsia="MS Mincho"/>
                <w:i/>
                <w:sz w:val="16"/>
                <w:lang w:val="fr-FR"/>
              </w:rPr>
              <w:t>Unité</w:t>
            </w:r>
          </w:p>
        </w:tc>
        <w:tc>
          <w:tcPr>
            <w:tcW w:w="2794" w:type="dxa"/>
            <w:gridSpan w:val="2"/>
            <w:shd w:val="clear" w:color="auto" w:fill="auto"/>
            <w:vAlign w:val="bottom"/>
            <w:hideMark/>
          </w:tcPr>
          <w:p w14:paraId="60F386D6" w14:textId="77777777" w:rsidR="003047F7" w:rsidRPr="004156C2" w:rsidRDefault="003047F7" w:rsidP="007F6101">
            <w:pPr>
              <w:suppressAutoHyphens w:val="0"/>
              <w:kinsoku/>
              <w:overflowPunct/>
              <w:autoSpaceDE/>
              <w:autoSpaceDN/>
              <w:adjustRightInd/>
              <w:snapToGrid/>
              <w:spacing w:before="40" w:after="40" w:line="200" w:lineRule="exact"/>
              <w:ind w:left="57" w:right="57"/>
              <w:jc w:val="center"/>
              <w:rPr>
                <w:rFonts w:eastAsia="MS Mincho"/>
                <w:i/>
                <w:sz w:val="16"/>
                <w:lang w:val="fr-FR"/>
              </w:rPr>
            </w:pPr>
            <w:r w:rsidRPr="004156C2">
              <w:rPr>
                <w:rFonts w:eastAsia="MS Mincho"/>
                <w:i/>
                <w:sz w:val="16"/>
                <w:lang w:val="fr-FR"/>
              </w:rPr>
              <w:t>Limites</w:t>
            </w:r>
          </w:p>
        </w:tc>
        <w:tc>
          <w:tcPr>
            <w:tcW w:w="2430" w:type="dxa"/>
            <w:vMerge w:val="restart"/>
            <w:shd w:val="clear" w:color="auto" w:fill="auto"/>
            <w:vAlign w:val="bottom"/>
            <w:hideMark/>
          </w:tcPr>
          <w:p w14:paraId="7988A2DE" w14:textId="77777777" w:rsidR="003047F7" w:rsidRPr="004156C2" w:rsidRDefault="003047F7" w:rsidP="007F6101">
            <w:pPr>
              <w:suppressAutoHyphens w:val="0"/>
              <w:kinsoku/>
              <w:overflowPunct/>
              <w:autoSpaceDE/>
              <w:autoSpaceDN/>
              <w:adjustRightInd/>
              <w:snapToGrid/>
              <w:spacing w:before="40" w:after="40" w:line="200" w:lineRule="exact"/>
              <w:ind w:left="57" w:right="57"/>
              <w:rPr>
                <w:rFonts w:eastAsia="MS Mincho"/>
                <w:i/>
                <w:sz w:val="16"/>
                <w:lang w:val="fr-FR"/>
              </w:rPr>
            </w:pPr>
            <w:r w:rsidRPr="004156C2">
              <w:rPr>
                <w:rFonts w:eastAsia="MS Mincho"/>
                <w:i/>
                <w:sz w:val="16"/>
                <w:lang w:val="fr-FR"/>
              </w:rPr>
              <w:t>Méthode d’essai</w:t>
            </w:r>
          </w:p>
        </w:tc>
      </w:tr>
      <w:tr w:rsidR="003047F7" w:rsidRPr="004156C2" w14:paraId="0D6E09E9" w14:textId="77777777" w:rsidTr="007F6101">
        <w:trPr>
          <w:tblHeader/>
        </w:trPr>
        <w:tc>
          <w:tcPr>
            <w:tcW w:w="3155" w:type="dxa"/>
            <w:vMerge/>
            <w:shd w:val="clear" w:color="auto" w:fill="auto"/>
            <w:vAlign w:val="bottom"/>
            <w:hideMark/>
          </w:tcPr>
          <w:p w14:paraId="04BE6E75" w14:textId="77777777" w:rsidR="003047F7" w:rsidRPr="004156C2" w:rsidRDefault="003047F7" w:rsidP="007F6101">
            <w:pPr>
              <w:suppressAutoHyphens w:val="0"/>
              <w:kinsoku/>
              <w:overflowPunct/>
              <w:autoSpaceDE/>
              <w:autoSpaceDN/>
              <w:adjustRightInd/>
              <w:snapToGrid/>
              <w:spacing w:before="40" w:after="40" w:line="220" w:lineRule="exact"/>
              <w:ind w:left="113" w:right="113"/>
              <w:rPr>
                <w:rFonts w:eastAsia="MS Mincho"/>
                <w:sz w:val="18"/>
                <w:lang w:val="fr-FR"/>
              </w:rPr>
            </w:pPr>
          </w:p>
        </w:tc>
        <w:tc>
          <w:tcPr>
            <w:tcW w:w="1258" w:type="dxa"/>
            <w:vMerge/>
            <w:shd w:val="clear" w:color="auto" w:fill="auto"/>
            <w:vAlign w:val="bottom"/>
            <w:hideMark/>
          </w:tcPr>
          <w:p w14:paraId="18A03C66" w14:textId="77777777" w:rsidR="003047F7" w:rsidRPr="004156C2" w:rsidRDefault="003047F7" w:rsidP="007F6101">
            <w:pPr>
              <w:suppressAutoHyphens w:val="0"/>
              <w:kinsoku/>
              <w:overflowPunct/>
              <w:autoSpaceDE/>
              <w:autoSpaceDN/>
              <w:adjustRightInd/>
              <w:snapToGrid/>
              <w:spacing w:before="40" w:after="40" w:line="220" w:lineRule="exact"/>
              <w:ind w:left="113" w:right="113"/>
              <w:rPr>
                <w:rFonts w:eastAsia="MS Mincho"/>
                <w:sz w:val="18"/>
                <w:lang w:val="fr-FR"/>
              </w:rPr>
            </w:pPr>
          </w:p>
        </w:tc>
        <w:tc>
          <w:tcPr>
            <w:tcW w:w="1387" w:type="dxa"/>
            <w:shd w:val="clear" w:color="auto" w:fill="auto"/>
            <w:vAlign w:val="bottom"/>
            <w:hideMark/>
          </w:tcPr>
          <w:p w14:paraId="5639C9E1" w14:textId="77777777" w:rsidR="003047F7" w:rsidRPr="004156C2" w:rsidRDefault="003047F7" w:rsidP="007F6101">
            <w:pPr>
              <w:suppressAutoHyphens w:val="0"/>
              <w:kinsoku/>
              <w:overflowPunct/>
              <w:autoSpaceDE/>
              <w:autoSpaceDN/>
              <w:adjustRightInd/>
              <w:snapToGrid/>
              <w:spacing w:before="40" w:after="40" w:line="200" w:lineRule="exact"/>
              <w:ind w:left="57" w:right="57"/>
              <w:rPr>
                <w:rFonts w:eastAsia="MS Mincho"/>
                <w:i/>
                <w:sz w:val="16"/>
                <w:szCs w:val="16"/>
                <w:lang w:val="fr-FR"/>
              </w:rPr>
            </w:pPr>
            <w:r w:rsidRPr="004156C2">
              <w:rPr>
                <w:rFonts w:eastAsia="MS Mincho"/>
                <w:i/>
                <w:sz w:val="16"/>
                <w:lang w:val="fr-FR"/>
              </w:rPr>
              <w:t>Valeur</w:t>
            </w:r>
            <w:r w:rsidRPr="004156C2">
              <w:rPr>
                <w:rFonts w:eastAsia="MS Mincho"/>
                <w:i/>
                <w:sz w:val="16"/>
                <w:szCs w:val="16"/>
                <w:lang w:val="fr-FR"/>
              </w:rPr>
              <w:t xml:space="preserve"> minimale</w:t>
            </w:r>
          </w:p>
        </w:tc>
        <w:tc>
          <w:tcPr>
            <w:tcW w:w="1407" w:type="dxa"/>
            <w:shd w:val="clear" w:color="auto" w:fill="auto"/>
            <w:vAlign w:val="bottom"/>
            <w:hideMark/>
          </w:tcPr>
          <w:p w14:paraId="020298C1" w14:textId="77777777" w:rsidR="003047F7" w:rsidRPr="004156C2" w:rsidRDefault="003047F7" w:rsidP="007F6101">
            <w:pPr>
              <w:suppressAutoHyphens w:val="0"/>
              <w:kinsoku/>
              <w:overflowPunct/>
              <w:autoSpaceDE/>
              <w:autoSpaceDN/>
              <w:adjustRightInd/>
              <w:snapToGrid/>
              <w:spacing w:before="40" w:after="40" w:line="200" w:lineRule="exact"/>
              <w:ind w:left="57" w:right="57"/>
              <w:rPr>
                <w:rFonts w:eastAsia="MS Mincho"/>
                <w:i/>
                <w:sz w:val="16"/>
                <w:szCs w:val="16"/>
                <w:lang w:val="fr-FR"/>
              </w:rPr>
            </w:pPr>
            <w:r w:rsidRPr="004156C2">
              <w:rPr>
                <w:rFonts w:eastAsia="MS Mincho"/>
                <w:i/>
                <w:sz w:val="16"/>
                <w:szCs w:val="16"/>
                <w:lang w:val="fr-FR"/>
              </w:rPr>
              <w:t xml:space="preserve">Valeur </w:t>
            </w:r>
            <w:r w:rsidRPr="004156C2">
              <w:rPr>
                <w:rFonts w:eastAsia="MS Mincho"/>
                <w:i/>
                <w:sz w:val="16"/>
                <w:lang w:val="fr-FR"/>
              </w:rPr>
              <w:t>maximale</w:t>
            </w:r>
          </w:p>
        </w:tc>
        <w:tc>
          <w:tcPr>
            <w:tcW w:w="2430" w:type="dxa"/>
            <w:vMerge/>
            <w:shd w:val="clear" w:color="auto" w:fill="auto"/>
            <w:vAlign w:val="bottom"/>
            <w:hideMark/>
          </w:tcPr>
          <w:p w14:paraId="38AAD9B0" w14:textId="77777777" w:rsidR="003047F7" w:rsidRPr="004156C2" w:rsidRDefault="003047F7" w:rsidP="007F6101">
            <w:pPr>
              <w:suppressAutoHyphens w:val="0"/>
              <w:kinsoku/>
              <w:overflowPunct/>
              <w:autoSpaceDE/>
              <w:autoSpaceDN/>
              <w:adjustRightInd/>
              <w:snapToGrid/>
              <w:spacing w:before="40" w:after="40" w:line="220" w:lineRule="exact"/>
              <w:ind w:left="113" w:right="113"/>
              <w:jc w:val="center"/>
              <w:rPr>
                <w:rFonts w:eastAsia="MS Mincho"/>
                <w:sz w:val="18"/>
                <w:lang w:val="fr-FR"/>
              </w:rPr>
            </w:pPr>
          </w:p>
        </w:tc>
      </w:tr>
      <w:tr w:rsidR="003047F7" w:rsidRPr="004156C2" w14:paraId="3B577BCA" w14:textId="77777777" w:rsidTr="007F6101">
        <w:tblPrEx>
          <w:tblLook w:val="04A0" w:firstRow="1" w:lastRow="0" w:firstColumn="1" w:lastColumn="0" w:noHBand="0" w:noVBand="1"/>
        </w:tblPrEx>
        <w:tc>
          <w:tcPr>
            <w:tcW w:w="3159" w:type="dxa"/>
            <w:shd w:val="clear" w:color="auto" w:fill="auto"/>
          </w:tcPr>
          <w:p w14:paraId="517EF960"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Indice d’octane recherche (IOR)</w:t>
            </w:r>
          </w:p>
        </w:tc>
        <w:tc>
          <w:tcPr>
            <w:tcW w:w="1254" w:type="dxa"/>
            <w:shd w:val="clear" w:color="auto" w:fill="auto"/>
          </w:tcPr>
          <w:p w14:paraId="0F31A787"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1387" w:type="dxa"/>
            <w:shd w:val="clear" w:color="auto" w:fill="auto"/>
          </w:tcPr>
          <w:p w14:paraId="7EF49CBD"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95,0</w:t>
            </w:r>
          </w:p>
        </w:tc>
        <w:tc>
          <w:tcPr>
            <w:tcW w:w="1407" w:type="dxa"/>
            <w:shd w:val="clear" w:color="auto" w:fill="auto"/>
          </w:tcPr>
          <w:p w14:paraId="092DEF6E"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98,0</w:t>
            </w:r>
          </w:p>
        </w:tc>
        <w:tc>
          <w:tcPr>
            <w:tcW w:w="2430" w:type="dxa"/>
            <w:shd w:val="clear" w:color="auto" w:fill="auto"/>
            <w:vAlign w:val="bottom"/>
          </w:tcPr>
          <w:p w14:paraId="424710AC"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ISO 5164 </w:t>
            </w:r>
            <w:r w:rsidRPr="004156C2">
              <w:rPr>
                <w:rFonts w:eastAsia="MS Mincho"/>
                <w:bCs/>
                <w:sz w:val="18"/>
                <w:lang w:val="fr-FR" w:eastAsia="ja-JP"/>
              </w:rPr>
              <w:t>JIS K2280</w:t>
            </w:r>
          </w:p>
        </w:tc>
      </w:tr>
      <w:tr w:rsidR="003047F7" w:rsidRPr="004156C2" w14:paraId="112647FC" w14:textId="77777777" w:rsidTr="007F6101">
        <w:tblPrEx>
          <w:tblLook w:val="04A0" w:firstRow="1" w:lastRow="0" w:firstColumn="1" w:lastColumn="0" w:noHBand="0" w:noVBand="1"/>
        </w:tblPrEx>
        <w:tc>
          <w:tcPr>
            <w:tcW w:w="3159" w:type="dxa"/>
            <w:shd w:val="clear" w:color="auto" w:fill="auto"/>
          </w:tcPr>
          <w:p w14:paraId="2634BE0A"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Densité à 15 °C</w:t>
            </w:r>
          </w:p>
        </w:tc>
        <w:tc>
          <w:tcPr>
            <w:tcW w:w="1254" w:type="dxa"/>
            <w:shd w:val="clear" w:color="auto" w:fill="auto"/>
          </w:tcPr>
          <w:p w14:paraId="506B4E50"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kg/m</w:t>
            </w:r>
            <w:r w:rsidRPr="004156C2">
              <w:rPr>
                <w:rFonts w:eastAsia="MS Mincho"/>
                <w:sz w:val="18"/>
                <w:vertAlign w:val="superscript"/>
                <w:lang w:val="fr-FR"/>
              </w:rPr>
              <w:t>3</w:t>
            </w:r>
          </w:p>
        </w:tc>
        <w:tc>
          <w:tcPr>
            <w:tcW w:w="1387" w:type="dxa"/>
            <w:shd w:val="clear" w:color="auto" w:fill="auto"/>
          </w:tcPr>
          <w:p w14:paraId="3FA8343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743,0</w:t>
            </w:r>
          </w:p>
        </w:tc>
        <w:tc>
          <w:tcPr>
            <w:tcW w:w="1407" w:type="dxa"/>
            <w:shd w:val="clear" w:color="auto" w:fill="auto"/>
          </w:tcPr>
          <w:p w14:paraId="32E91EEB"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756,0</w:t>
            </w:r>
          </w:p>
        </w:tc>
        <w:tc>
          <w:tcPr>
            <w:tcW w:w="2430" w:type="dxa"/>
            <w:shd w:val="clear" w:color="auto" w:fill="auto"/>
            <w:vAlign w:val="bottom"/>
          </w:tcPr>
          <w:p w14:paraId="3453E288"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ISO 12185 </w:t>
            </w:r>
            <w:r w:rsidRPr="004156C2">
              <w:rPr>
                <w:rFonts w:eastAsia="MS Mincho"/>
                <w:bCs/>
                <w:sz w:val="18"/>
                <w:lang w:val="fr-FR" w:eastAsia="ja-JP"/>
              </w:rPr>
              <w:t>JIS K2249-1,2,3</w:t>
            </w:r>
          </w:p>
        </w:tc>
      </w:tr>
      <w:tr w:rsidR="003047F7" w:rsidRPr="004156C2" w14:paraId="6236B00F" w14:textId="77777777" w:rsidTr="007F6101">
        <w:tblPrEx>
          <w:tblLook w:val="04A0" w:firstRow="1" w:lastRow="0" w:firstColumn="1" w:lastColumn="0" w:noHBand="0" w:noVBand="1"/>
        </w:tblPrEx>
        <w:tc>
          <w:tcPr>
            <w:tcW w:w="3159" w:type="dxa"/>
            <w:shd w:val="clear" w:color="auto" w:fill="auto"/>
          </w:tcPr>
          <w:p w14:paraId="04A45A7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Pression de vapeur</w:t>
            </w:r>
          </w:p>
        </w:tc>
        <w:tc>
          <w:tcPr>
            <w:tcW w:w="1254" w:type="dxa"/>
            <w:shd w:val="clear" w:color="auto" w:fill="auto"/>
          </w:tcPr>
          <w:p w14:paraId="302EC7B1"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kPa</w:t>
            </w:r>
          </w:p>
        </w:tc>
        <w:tc>
          <w:tcPr>
            <w:tcW w:w="1387" w:type="dxa"/>
            <w:shd w:val="clear" w:color="auto" w:fill="auto"/>
          </w:tcPr>
          <w:p w14:paraId="0DAFA9F2"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56,0</w:t>
            </w:r>
          </w:p>
        </w:tc>
        <w:tc>
          <w:tcPr>
            <w:tcW w:w="1407" w:type="dxa"/>
            <w:shd w:val="clear" w:color="auto" w:fill="auto"/>
          </w:tcPr>
          <w:p w14:paraId="271757D2"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60,0</w:t>
            </w:r>
          </w:p>
        </w:tc>
        <w:tc>
          <w:tcPr>
            <w:tcW w:w="2430" w:type="dxa"/>
            <w:shd w:val="clear" w:color="auto" w:fill="auto"/>
            <w:vAlign w:val="bottom"/>
          </w:tcPr>
          <w:p w14:paraId="4590E1E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13016-1 </w:t>
            </w:r>
            <w:r w:rsidRPr="004156C2">
              <w:rPr>
                <w:rFonts w:eastAsia="MS Mincho"/>
                <w:bCs/>
                <w:sz w:val="18"/>
                <w:lang w:val="fr-FR" w:eastAsia="ja-JP"/>
              </w:rPr>
              <w:t>JIS K2258-1,2</w:t>
            </w:r>
          </w:p>
        </w:tc>
      </w:tr>
      <w:tr w:rsidR="003047F7" w:rsidRPr="004156C2" w14:paraId="1497E78A" w14:textId="77777777" w:rsidTr="007F6101">
        <w:tblPrEx>
          <w:tblLook w:val="04A0" w:firstRow="1" w:lastRow="0" w:firstColumn="1" w:lastColumn="0" w:noHBand="0" w:noVBand="1"/>
        </w:tblPrEx>
        <w:tc>
          <w:tcPr>
            <w:tcW w:w="3159" w:type="dxa"/>
            <w:shd w:val="clear" w:color="auto" w:fill="auto"/>
          </w:tcPr>
          <w:p w14:paraId="670D0D2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Distillation :</w:t>
            </w:r>
          </w:p>
        </w:tc>
        <w:tc>
          <w:tcPr>
            <w:tcW w:w="1254" w:type="dxa"/>
            <w:shd w:val="clear" w:color="auto" w:fill="auto"/>
          </w:tcPr>
          <w:p w14:paraId="7ABFA6D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1387" w:type="dxa"/>
            <w:shd w:val="clear" w:color="auto" w:fill="auto"/>
          </w:tcPr>
          <w:p w14:paraId="256FFC4B"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1407" w:type="dxa"/>
            <w:shd w:val="clear" w:color="auto" w:fill="auto"/>
          </w:tcPr>
          <w:p w14:paraId="542E84AA"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2430" w:type="dxa"/>
            <w:shd w:val="clear" w:color="auto" w:fill="auto"/>
            <w:vAlign w:val="bottom"/>
          </w:tcPr>
          <w:p w14:paraId="17A4492C"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r>
      <w:tr w:rsidR="003047F7" w:rsidRPr="004156C2" w14:paraId="724B7357" w14:textId="77777777" w:rsidTr="007F6101">
        <w:tblPrEx>
          <w:tblLook w:val="04A0" w:firstRow="1" w:lastRow="0" w:firstColumn="1" w:lastColumn="0" w:noHBand="0" w:noVBand="1"/>
        </w:tblPrEx>
        <w:tc>
          <w:tcPr>
            <w:tcW w:w="3159" w:type="dxa"/>
            <w:shd w:val="clear" w:color="auto" w:fill="auto"/>
          </w:tcPr>
          <w:p w14:paraId="229A68B5"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70 °C</w:t>
            </w:r>
          </w:p>
        </w:tc>
        <w:tc>
          <w:tcPr>
            <w:tcW w:w="1254" w:type="dxa"/>
            <w:shd w:val="clear" w:color="auto" w:fill="auto"/>
          </w:tcPr>
          <w:p w14:paraId="18AFBDD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2912FC5C"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34,0</w:t>
            </w:r>
          </w:p>
        </w:tc>
        <w:tc>
          <w:tcPr>
            <w:tcW w:w="1407" w:type="dxa"/>
            <w:shd w:val="clear" w:color="auto" w:fill="auto"/>
          </w:tcPr>
          <w:p w14:paraId="586816A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46,0</w:t>
            </w:r>
          </w:p>
        </w:tc>
        <w:tc>
          <w:tcPr>
            <w:tcW w:w="2430" w:type="dxa"/>
            <w:shd w:val="clear" w:color="auto" w:fill="auto"/>
            <w:vAlign w:val="bottom"/>
          </w:tcPr>
          <w:p w14:paraId="2C3B196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3047F7" w:rsidRPr="004156C2" w14:paraId="43B597E0" w14:textId="77777777" w:rsidTr="007F6101">
        <w:tblPrEx>
          <w:tblLook w:val="04A0" w:firstRow="1" w:lastRow="0" w:firstColumn="1" w:lastColumn="0" w:noHBand="0" w:noVBand="1"/>
        </w:tblPrEx>
        <w:tc>
          <w:tcPr>
            <w:tcW w:w="3159" w:type="dxa"/>
            <w:shd w:val="clear" w:color="auto" w:fill="auto"/>
          </w:tcPr>
          <w:p w14:paraId="5394BD67"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100 °C</w:t>
            </w:r>
          </w:p>
        </w:tc>
        <w:tc>
          <w:tcPr>
            <w:tcW w:w="1254" w:type="dxa"/>
            <w:shd w:val="clear" w:color="auto" w:fill="auto"/>
          </w:tcPr>
          <w:p w14:paraId="0C32E85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180930B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54,0</w:t>
            </w:r>
          </w:p>
        </w:tc>
        <w:tc>
          <w:tcPr>
            <w:tcW w:w="1407" w:type="dxa"/>
            <w:shd w:val="clear" w:color="auto" w:fill="auto"/>
          </w:tcPr>
          <w:p w14:paraId="339EE321"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62,0</w:t>
            </w:r>
          </w:p>
        </w:tc>
        <w:tc>
          <w:tcPr>
            <w:tcW w:w="2430" w:type="dxa"/>
            <w:shd w:val="clear" w:color="auto" w:fill="auto"/>
            <w:vAlign w:val="bottom"/>
          </w:tcPr>
          <w:p w14:paraId="717C2C1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3047F7" w:rsidRPr="004156C2" w14:paraId="5099B9A4" w14:textId="77777777" w:rsidTr="007F6101">
        <w:tblPrEx>
          <w:tblLook w:val="04A0" w:firstRow="1" w:lastRow="0" w:firstColumn="1" w:lastColumn="0" w:noHBand="0" w:noVBand="1"/>
        </w:tblPrEx>
        <w:tc>
          <w:tcPr>
            <w:tcW w:w="3159" w:type="dxa"/>
            <w:shd w:val="clear" w:color="auto" w:fill="auto"/>
          </w:tcPr>
          <w:p w14:paraId="28903488"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150 °C</w:t>
            </w:r>
          </w:p>
        </w:tc>
        <w:tc>
          <w:tcPr>
            <w:tcW w:w="1254" w:type="dxa"/>
            <w:shd w:val="clear" w:color="auto" w:fill="auto"/>
          </w:tcPr>
          <w:p w14:paraId="3F3C1C2C"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0011AADD"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86,0</w:t>
            </w:r>
          </w:p>
        </w:tc>
        <w:tc>
          <w:tcPr>
            <w:tcW w:w="1407" w:type="dxa"/>
            <w:shd w:val="clear" w:color="auto" w:fill="auto"/>
          </w:tcPr>
          <w:p w14:paraId="40D4A2D2"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94,0</w:t>
            </w:r>
          </w:p>
        </w:tc>
        <w:tc>
          <w:tcPr>
            <w:tcW w:w="2430" w:type="dxa"/>
            <w:shd w:val="clear" w:color="auto" w:fill="auto"/>
            <w:vAlign w:val="bottom"/>
          </w:tcPr>
          <w:p w14:paraId="38773785"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3047F7" w:rsidRPr="004156C2" w14:paraId="2DE4438A" w14:textId="77777777" w:rsidTr="007F6101">
        <w:tblPrEx>
          <w:tblLook w:val="04A0" w:firstRow="1" w:lastRow="0" w:firstColumn="1" w:lastColumn="0" w:noHBand="0" w:noVBand="1"/>
        </w:tblPrEx>
        <w:tc>
          <w:tcPr>
            <w:tcW w:w="3159" w:type="dxa"/>
            <w:shd w:val="clear" w:color="auto" w:fill="auto"/>
          </w:tcPr>
          <w:p w14:paraId="347397A1"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Analyse des hydrocarbures :</w:t>
            </w:r>
          </w:p>
        </w:tc>
        <w:tc>
          <w:tcPr>
            <w:tcW w:w="1254" w:type="dxa"/>
            <w:shd w:val="clear" w:color="auto" w:fill="auto"/>
          </w:tcPr>
          <w:p w14:paraId="518CC72A"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1387" w:type="dxa"/>
            <w:shd w:val="clear" w:color="auto" w:fill="auto"/>
          </w:tcPr>
          <w:p w14:paraId="20C181A2"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iCs/>
                <w:sz w:val="18"/>
                <w:lang w:val="fr-FR"/>
              </w:rPr>
            </w:pPr>
          </w:p>
        </w:tc>
        <w:tc>
          <w:tcPr>
            <w:tcW w:w="1407" w:type="dxa"/>
            <w:shd w:val="clear" w:color="auto" w:fill="auto"/>
          </w:tcPr>
          <w:p w14:paraId="3A96E27E"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p>
        </w:tc>
        <w:tc>
          <w:tcPr>
            <w:tcW w:w="2430" w:type="dxa"/>
            <w:shd w:val="clear" w:color="auto" w:fill="auto"/>
            <w:vAlign w:val="bottom"/>
          </w:tcPr>
          <w:p w14:paraId="497BCFEB"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p>
        </w:tc>
      </w:tr>
      <w:tr w:rsidR="003047F7" w:rsidRPr="004156C2" w14:paraId="31233A05" w14:textId="77777777" w:rsidTr="007F6101">
        <w:tblPrEx>
          <w:tblLook w:val="04A0" w:firstRow="1" w:lastRow="0" w:firstColumn="1" w:lastColumn="0" w:noHBand="0" w:noVBand="1"/>
        </w:tblPrEx>
        <w:tc>
          <w:tcPr>
            <w:tcW w:w="3159" w:type="dxa"/>
            <w:shd w:val="clear" w:color="auto" w:fill="auto"/>
          </w:tcPr>
          <w:p w14:paraId="28FFBE74"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oléfines</w:t>
            </w:r>
          </w:p>
        </w:tc>
        <w:tc>
          <w:tcPr>
            <w:tcW w:w="1254" w:type="dxa"/>
            <w:shd w:val="clear" w:color="auto" w:fill="auto"/>
          </w:tcPr>
          <w:p w14:paraId="763A4041"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33BFEED5"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6,0</w:t>
            </w:r>
          </w:p>
        </w:tc>
        <w:tc>
          <w:tcPr>
            <w:tcW w:w="1407" w:type="dxa"/>
            <w:shd w:val="clear" w:color="auto" w:fill="auto"/>
          </w:tcPr>
          <w:p w14:paraId="653A268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13,0</w:t>
            </w:r>
          </w:p>
        </w:tc>
        <w:tc>
          <w:tcPr>
            <w:tcW w:w="2430" w:type="dxa"/>
            <w:shd w:val="clear" w:color="auto" w:fill="auto"/>
            <w:vAlign w:val="bottom"/>
          </w:tcPr>
          <w:p w14:paraId="02E548B7"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22854</w:t>
            </w:r>
          </w:p>
        </w:tc>
      </w:tr>
      <w:tr w:rsidR="003047F7" w:rsidRPr="004156C2" w14:paraId="46D3C8B9" w14:textId="77777777" w:rsidTr="007F6101">
        <w:tblPrEx>
          <w:tblLook w:val="04A0" w:firstRow="1" w:lastRow="0" w:firstColumn="1" w:lastColumn="0" w:noHBand="0" w:noVBand="1"/>
        </w:tblPrEx>
        <w:tc>
          <w:tcPr>
            <w:tcW w:w="3159" w:type="dxa"/>
            <w:shd w:val="clear" w:color="auto" w:fill="auto"/>
          </w:tcPr>
          <w:p w14:paraId="2F75ABBC"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aromatiques</w:t>
            </w:r>
          </w:p>
        </w:tc>
        <w:tc>
          <w:tcPr>
            <w:tcW w:w="1254" w:type="dxa"/>
            <w:shd w:val="clear" w:color="auto" w:fill="auto"/>
          </w:tcPr>
          <w:p w14:paraId="504A1493"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45043DF8"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25,0</w:t>
            </w:r>
          </w:p>
        </w:tc>
        <w:tc>
          <w:tcPr>
            <w:tcW w:w="1407" w:type="dxa"/>
            <w:shd w:val="clear" w:color="auto" w:fill="auto"/>
          </w:tcPr>
          <w:p w14:paraId="4ECA228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32,0</w:t>
            </w:r>
          </w:p>
        </w:tc>
        <w:tc>
          <w:tcPr>
            <w:tcW w:w="2430" w:type="dxa"/>
            <w:shd w:val="clear" w:color="auto" w:fill="auto"/>
            <w:vAlign w:val="bottom"/>
          </w:tcPr>
          <w:p w14:paraId="3B9B107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22854</w:t>
            </w:r>
          </w:p>
        </w:tc>
      </w:tr>
      <w:tr w:rsidR="003047F7" w:rsidRPr="004156C2" w14:paraId="66C0E8D5" w14:textId="77777777" w:rsidTr="007F6101">
        <w:tblPrEx>
          <w:tblLook w:val="04A0" w:firstRow="1" w:lastRow="0" w:firstColumn="1" w:lastColumn="0" w:noHBand="0" w:noVBand="1"/>
        </w:tblPrEx>
        <w:tc>
          <w:tcPr>
            <w:tcW w:w="3159" w:type="dxa"/>
            <w:shd w:val="clear" w:color="auto" w:fill="auto"/>
          </w:tcPr>
          <w:p w14:paraId="45C84815"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benzène</w:t>
            </w:r>
          </w:p>
        </w:tc>
        <w:tc>
          <w:tcPr>
            <w:tcW w:w="1254" w:type="dxa"/>
            <w:shd w:val="clear" w:color="auto" w:fill="auto"/>
          </w:tcPr>
          <w:p w14:paraId="2F823688"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3172BE46"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iCs/>
                <w:sz w:val="18"/>
                <w:lang w:val="fr-FR"/>
              </w:rPr>
            </w:pPr>
            <w:r w:rsidRPr="004156C2">
              <w:rPr>
                <w:rFonts w:eastAsia="MS Mincho"/>
                <w:bCs/>
                <w:iCs/>
                <w:sz w:val="18"/>
                <w:lang w:val="fr-FR"/>
              </w:rPr>
              <w:t>−</w:t>
            </w:r>
          </w:p>
        </w:tc>
        <w:tc>
          <w:tcPr>
            <w:tcW w:w="1407" w:type="dxa"/>
            <w:shd w:val="clear" w:color="auto" w:fill="auto"/>
          </w:tcPr>
          <w:p w14:paraId="19FA461E"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1,00</w:t>
            </w:r>
          </w:p>
        </w:tc>
        <w:tc>
          <w:tcPr>
            <w:tcW w:w="2430" w:type="dxa"/>
            <w:shd w:val="clear" w:color="auto" w:fill="auto"/>
            <w:vAlign w:val="bottom"/>
          </w:tcPr>
          <w:p w14:paraId="3160B9B3"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EN 238 </w:t>
            </w:r>
            <w:r w:rsidRPr="004156C2">
              <w:rPr>
                <w:rFonts w:eastAsia="MS Mincho"/>
                <w:bCs/>
                <w:sz w:val="18"/>
                <w:lang w:val="fr-FR" w:eastAsia="ja-JP"/>
              </w:rPr>
              <w:t>JIS K2536-2,3,4</w:t>
            </w:r>
          </w:p>
        </w:tc>
      </w:tr>
      <w:tr w:rsidR="003047F7" w:rsidRPr="004156C2" w14:paraId="630D454A" w14:textId="77777777" w:rsidTr="007F6101">
        <w:tblPrEx>
          <w:tblLook w:val="04A0" w:firstRow="1" w:lastRow="0" w:firstColumn="1" w:lastColumn="0" w:noHBand="0" w:noVBand="1"/>
        </w:tblPrEx>
        <w:tc>
          <w:tcPr>
            <w:tcW w:w="3159" w:type="dxa"/>
            <w:shd w:val="clear" w:color="auto" w:fill="auto"/>
          </w:tcPr>
          <w:p w14:paraId="11B1274C"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Teneur en oxygène</w:t>
            </w:r>
          </w:p>
        </w:tc>
        <w:tc>
          <w:tcPr>
            <w:tcW w:w="1254" w:type="dxa"/>
            <w:shd w:val="clear" w:color="auto" w:fill="auto"/>
          </w:tcPr>
          <w:p w14:paraId="543D4202"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m/m</w:t>
            </w:r>
          </w:p>
        </w:tc>
        <w:tc>
          <w:tcPr>
            <w:tcW w:w="1387" w:type="dxa"/>
            <w:shd w:val="clear" w:color="auto" w:fill="auto"/>
          </w:tcPr>
          <w:p w14:paraId="4D1A37CB"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3,3</w:t>
            </w:r>
          </w:p>
        </w:tc>
        <w:tc>
          <w:tcPr>
            <w:tcW w:w="1407" w:type="dxa"/>
            <w:shd w:val="clear" w:color="auto" w:fill="auto"/>
          </w:tcPr>
          <w:p w14:paraId="01DB4443"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3,7</w:t>
            </w:r>
          </w:p>
        </w:tc>
        <w:tc>
          <w:tcPr>
            <w:tcW w:w="2430" w:type="dxa"/>
            <w:shd w:val="clear" w:color="auto" w:fill="auto"/>
            <w:vAlign w:val="bottom"/>
          </w:tcPr>
          <w:p w14:paraId="53D665D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w:t>
            </w:r>
            <w:r w:rsidRPr="004156C2">
              <w:rPr>
                <w:rFonts w:eastAsia="MS Mincho"/>
                <w:bCs/>
                <w:sz w:val="18"/>
                <w:lang w:val="fr-FR" w:eastAsia="ja-JP"/>
              </w:rPr>
              <w:t>JIS K2536-2,4,6</w:t>
            </w:r>
          </w:p>
        </w:tc>
      </w:tr>
      <w:tr w:rsidR="003047F7" w:rsidRPr="009A0A0C" w14:paraId="31FD2B22" w14:textId="77777777" w:rsidTr="007F6101">
        <w:tblPrEx>
          <w:tblLook w:val="04A0" w:firstRow="1" w:lastRow="0" w:firstColumn="1" w:lastColumn="0" w:noHBand="0" w:noVBand="1"/>
        </w:tblPrEx>
        <w:tc>
          <w:tcPr>
            <w:tcW w:w="3159" w:type="dxa"/>
            <w:shd w:val="clear" w:color="auto" w:fill="auto"/>
          </w:tcPr>
          <w:p w14:paraId="0F281F7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Teneur en soufre</w:t>
            </w:r>
          </w:p>
        </w:tc>
        <w:tc>
          <w:tcPr>
            <w:tcW w:w="1254" w:type="dxa"/>
            <w:shd w:val="clear" w:color="auto" w:fill="auto"/>
          </w:tcPr>
          <w:p w14:paraId="114C148A"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mg/kg</w:t>
            </w:r>
          </w:p>
        </w:tc>
        <w:tc>
          <w:tcPr>
            <w:tcW w:w="1387" w:type="dxa"/>
            <w:shd w:val="clear" w:color="auto" w:fill="auto"/>
          </w:tcPr>
          <w:p w14:paraId="2EBCB2B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w:t>
            </w:r>
          </w:p>
        </w:tc>
        <w:tc>
          <w:tcPr>
            <w:tcW w:w="1407" w:type="dxa"/>
            <w:shd w:val="clear" w:color="auto" w:fill="auto"/>
          </w:tcPr>
          <w:p w14:paraId="18212CB7"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10</w:t>
            </w:r>
          </w:p>
        </w:tc>
        <w:tc>
          <w:tcPr>
            <w:tcW w:w="2430" w:type="dxa"/>
            <w:shd w:val="clear" w:color="auto" w:fill="auto"/>
            <w:vAlign w:val="bottom"/>
          </w:tcPr>
          <w:p w14:paraId="4BBD233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es-ES" w:eastAsia="ja-JP"/>
              </w:rPr>
            </w:pPr>
            <w:r w:rsidRPr="004156C2">
              <w:rPr>
                <w:rFonts w:eastAsia="MS Mincho"/>
                <w:bCs/>
                <w:sz w:val="18"/>
                <w:lang w:val="es-ES"/>
              </w:rPr>
              <w:t xml:space="preserve">EN ISO 20846 EN ISO 20884 </w:t>
            </w:r>
            <w:r w:rsidRPr="004156C2">
              <w:rPr>
                <w:rFonts w:eastAsia="MS Mincho"/>
                <w:bCs/>
                <w:sz w:val="18"/>
                <w:lang w:val="es-ES" w:eastAsia="ja-JP"/>
              </w:rPr>
              <w:t>JIS K2541-1,2,6,7</w:t>
            </w:r>
          </w:p>
        </w:tc>
      </w:tr>
      <w:tr w:rsidR="003047F7" w:rsidRPr="004156C2" w14:paraId="1D27A228" w14:textId="77777777" w:rsidTr="007F6101">
        <w:tblPrEx>
          <w:tblLook w:val="04A0" w:firstRow="1" w:lastRow="0" w:firstColumn="1" w:lastColumn="0" w:noHBand="0" w:noVBand="1"/>
        </w:tblPrEx>
        <w:tc>
          <w:tcPr>
            <w:tcW w:w="3159" w:type="dxa"/>
            <w:shd w:val="clear" w:color="auto" w:fill="auto"/>
          </w:tcPr>
          <w:p w14:paraId="586C80A1"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Teneur en plomb</w:t>
            </w:r>
          </w:p>
        </w:tc>
        <w:tc>
          <w:tcPr>
            <w:tcW w:w="1254" w:type="dxa"/>
            <w:shd w:val="clear" w:color="auto" w:fill="auto"/>
          </w:tcPr>
          <w:p w14:paraId="558F930D"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mg/l</w:t>
            </w:r>
          </w:p>
        </w:tc>
        <w:tc>
          <w:tcPr>
            <w:tcW w:w="2794" w:type="dxa"/>
            <w:gridSpan w:val="2"/>
            <w:shd w:val="clear" w:color="auto" w:fill="auto"/>
          </w:tcPr>
          <w:p w14:paraId="00094F84" w14:textId="77777777" w:rsidR="003047F7" w:rsidRPr="004156C2" w:rsidRDefault="003047F7" w:rsidP="007F6101">
            <w:pPr>
              <w:suppressAutoHyphens w:val="0"/>
              <w:kinsoku/>
              <w:overflowPunct/>
              <w:autoSpaceDE/>
              <w:autoSpaceDN/>
              <w:adjustRightInd/>
              <w:snapToGrid/>
              <w:spacing w:before="40" w:after="40" w:line="220" w:lineRule="exact"/>
              <w:ind w:left="57" w:right="57"/>
              <w:jc w:val="center"/>
              <w:rPr>
                <w:rFonts w:eastAsia="MS Mincho"/>
                <w:bCs/>
                <w:sz w:val="18"/>
                <w:lang w:val="fr-FR" w:eastAsia="ja-JP"/>
              </w:rPr>
            </w:pPr>
            <w:r w:rsidRPr="004156C2">
              <w:rPr>
                <w:rFonts w:eastAsia="MS Mincho"/>
                <w:bCs/>
                <w:sz w:val="18"/>
                <w:lang w:val="fr-FR" w:eastAsia="ja-JP"/>
              </w:rPr>
              <w:t>Non détectée</w:t>
            </w:r>
          </w:p>
        </w:tc>
        <w:tc>
          <w:tcPr>
            <w:tcW w:w="2430" w:type="dxa"/>
            <w:shd w:val="clear" w:color="auto" w:fill="auto"/>
            <w:vAlign w:val="bottom"/>
          </w:tcPr>
          <w:p w14:paraId="003C1CC0"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237 </w:t>
            </w:r>
            <w:r w:rsidRPr="004156C2">
              <w:rPr>
                <w:rFonts w:eastAsia="MS Mincho"/>
                <w:bCs/>
                <w:sz w:val="18"/>
                <w:lang w:val="fr-FR" w:eastAsia="ja-JP"/>
              </w:rPr>
              <w:t>JIS K2255</w:t>
            </w:r>
          </w:p>
        </w:tc>
      </w:tr>
      <w:tr w:rsidR="003047F7" w:rsidRPr="004156C2" w14:paraId="2105786A" w14:textId="77777777" w:rsidTr="007F6101">
        <w:tblPrEx>
          <w:tblLook w:val="04A0" w:firstRow="1" w:lastRow="0" w:firstColumn="1" w:lastColumn="0" w:noHBand="0" w:noVBand="1"/>
        </w:tblPrEx>
        <w:tc>
          <w:tcPr>
            <w:tcW w:w="3159" w:type="dxa"/>
            <w:shd w:val="clear" w:color="auto" w:fill="auto"/>
          </w:tcPr>
          <w:p w14:paraId="1484A6B4"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Éthanol</w:t>
            </w:r>
          </w:p>
        </w:tc>
        <w:tc>
          <w:tcPr>
            <w:tcW w:w="1254" w:type="dxa"/>
            <w:shd w:val="clear" w:color="auto" w:fill="auto"/>
          </w:tcPr>
          <w:p w14:paraId="3FFC0176"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41D0DCF1"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9,0</w:t>
            </w:r>
          </w:p>
        </w:tc>
        <w:tc>
          <w:tcPr>
            <w:tcW w:w="1407" w:type="dxa"/>
            <w:shd w:val="clear" w:color="auto" w:fill="auto"/>
          </w:tcPr>
          <w:p w14:paraId="04B8D190"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10,0</w:t>
            </w:r>
          </w:p>
        </w:tc>
        <w:tc>
          <w:tcPr>
            <w:tcW w:w="2430" w:type="dxa"/>
            <w:shd w:val="clear" w:color="auto" w:fill="auto"/>
            <w:vAlign w:val="bottom"/>
          </w:tcPr>
          <w:p w14:paraId="414C23C8"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w:t>
            </w:r>
            <w:r w:rsidRPr="004156C2">
              <w:rPr>
                <w:rFonts w:eastAsia="MS Mincho"/>
                <w:bCs/>
                <w:sz w:val="18"/>
                <w:lang w:val="fr-FR" w:eastAsia="ja-JP"/>
              </w:rPr>
              <w:t>JIS K2536-2,4,6</w:t>
            </w:r>
          </w:p>
        </w:tc>
      </w:tr>
      <w:tr w:rsidR="003047F7" w:rsidRPr="004156C2" w14:paraId="38B3ECE9" w14:textId="77777777" w:rsidTr="007F6101">
        <w:tblPrEx>
          <w:tblLook w:val="04A0" w:firstRow="1" w:lastRow="0" w:firstColumn="1" w:lastColumn="0" w:noHBand="0" w:noVBand="1"/>
        </w:tblPrEx>
        <w:tc>
          <w:tcPr>
            <w:tcW w:w="3159" w:type="dxa"/>
            <w:shd w:val="clear" w:color="auto" w:fill="auto"/>
          </w:tcPr>
          <w:p w14:paraId="69E93C4B"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MTBE</w:t>
            </w:r>
          </w:p>
        </w:tc>
        <w:tc>
          <w:tcPr>
            <w:tcW w:w="1254" w:type="dxa"/>
            <w:shd w:val="clear" w:color="auto" w:fill="auto"/>
          </w:tcPr>
          <w:p w14:paraId="33BAF585"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rPr>
            </w:pPr>
          </w:p>
        </w:tc>
        <w:tc>
          <w:tcPr>
            <w:tcW w:w="2794" w:type="dxa"/>
            <w:gridSpan w:val="2"/>
            <w:shd w:val="clear" w:color="auto" w:fill="auto"/>
          </w:tcPr>
          <w:p w14:paraId="2669B4DA"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14:paraId="404BD840"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JIS K2536-2,4,5,6</w:t>
            </w:r>
            <w:r>
              <w:rPr>
                <w:rFonts w:eastAsia="MS Mincho"/>
                <w:i/>
                <w:sz w:val="18"/>
                <w:vertAlign w:val="superscript"/>
                <w:lang w:val="fr-FR" w:eastAsia="ja-JP"/>
              </w:rPr>
              <w:t>a</w:t>
            </w:r>
          </w:p>
        </w:tc>
      </w:tr>
      <w:tr w:rsidR="003047F7" w:rsidRPr="004156C2" w14:paraId="2C1902FE" w14:textId="77777777" w:rsidTr="007F6101">
        <w:tblPrEx>
          <w:tblLook w:val="04A0" w:firstRow="1" w:lastRow="0" w:firstColumn="1" w:lastColumn="0" w:noHBand="0" w:noVBand="1"/>
        </w:tblPrEx>
        <w:tc>
          <w:tcPr>
            <w:tcW w:w="3159" w:type="dxa"/>
            <w:shd w:val="clear" w:color="auto" w:fill="auto"/>
          </w:tcPr>
          <w:p w14:paraId="6994826E"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Méthanol</w:t>
            </w:r>
          </w:p>
        </w:tc>
        <w:tc>
          <w:tcPr>
            <w:tcW w:w="1254" w:type="dxa"/>
            <w:shd w:val="clear" w:color="auto" w:fill="auto"/>
          </w:tcPr>
          <w:p w14:paraId="015CA35C"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rPr>
            </w:pPr>
          </w:p>
        </w:tc>
        <w:tc>
          <w:tcPr>
            <w:tcW w:w="2794" w:type="dxa"/>
            <w:gridSpan w:val="2"/>
            <w:shd w:val="clear" w:color="auto" w:fill="auto"/>
          </w:tcPr>
          <w:p w14:paraId="59F3BB64"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14:paraId="7668C34B"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JIS K2536-2,4,5,6</w:t>
            </w:r>
            <w:r>
              <w:rPr>
                <w:rFonts w:eastAsia="MS Mincho"/>
                <w:i/>
                <w:sz w:val="18"/>
                <w:vertAlign w:val="superscript"/>
                <w:lang w:val="fr-FR" w:eastAsia="ja-JP"/>
              </w:rPr>
              <w:t>a</w:t>
            </w:r>
          </w:p>
        </w:tc>
      </w:tr>
      <w:tr w:rsidR="003047F7" w:rsidRPr="004156C2" w14:paraId="5CF12101" w14:textId="77777777" w:rsidTr="007F6101">
        <w:tblPrEx>
          <w:tblLook w:val="04A0" w:firstRow="1" w:lastRow="0" w:firstColumn="1" w:lastColumn="0" w:noHBand="0" w:noVBand="1"/>
        </w:tblPrEx>
        <w:tc>
          <w:tcPr>
            <w:tcW w:w="3159" w:type="dxa"/>
            <w:shd w:val="clear" w:color="auto" w:fill="auto"/>
          </w:tcPr>
          <w:p w14:paraId="56948FBB"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Kérosène</w:t>
            </w:r>
          </w:p>
        </w:tc>
        <w:tc>
          <w:tcPr>
            <w:tcW w:w="1254" w:type="dxa"/>
            <w:shd w:val="clear" w:color="auto" w:fill="auto"/>
          </w:tcPr>
          <w:p w14:paraId="1C5AE163"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2794" w:type="dxa"/>
            <w:gridSpan w:val="2"/>
            <w:shd w:val="clear" w:color="auto" w:fill="auto"/>
          </w:tcPr>
          <w:p w14:paraId="65854E62" w14:textId="77777777" w:rsidR="003047F7" w:rsidRPr="004156C2" w:rsidRDefault="003047F7" w:rsidP="007F6101">
            <w:pPr>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14:paraId="461CE10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JIS K2536-2,4</w:t>
            </w:r>
            <w:r>
              <w:rPr>
                <w:rFonts w:eastAsia="MS Mincho"/>
                <w:i/>
                <w:sz w:val="18"/>
                <w:vertAlign w:val="superscript"/>
                <w:lang w:val="fr-FR" w:eastAsia="ja-JP"/>
              </w:rPr>
              <w:t>a</w:t>
            </w:r>
          </w:p>
        </w:tc>
      </w:tr>
    </w:tbl>
    <w:p w14:paraId="298C194D" w14:textId="77777777" w:rsidR="003047F7" w:rsidRDefault="003047F7" w:rsidP="003047F7">
      <w:pPr>
        <w:kinsoku/>
        <w:overflowPunct/>
        <w:autoSpaceDE/>
        <w:autoSpaceDN/>
        <w:adjustRightInd/>
        <w:snapToGrid/>
        <w:spacing w:before="120" w:after="120"/>
        <w:ind w:right="1134" w:firstLine="170"/>
        <w:rPr>
          <w:rFonts w:eastAsia="MS Mincho"/>
          <w:sz w:val="18"/>
          <w:lang w:val="fr-FR"/>
        </w:rPr>
      </w:pPr>
      <w:r>
        <w:rPr>
          <w:rFonts w:eastAsia="MS Mincho"/>
          <w:i/>
          <w:sz w:val="18"/>
          <w:szCs w:val="18"/>
          <w:vertAlign w:val="superscript"/>
          <w:lang w:val="fr-FR" w:eastAsia="ja-JP"/>
        </w:rPr>
        <w:t>a</w:t>
      </w:r>
      <w:r>
        <w:rPr>
          <w:rFonts w:eastAsia="MS Mincho"/>
          <w:sz w:val="18"/>
          <w:szCs w:val="18"/>
          <w:vertAlign w:val="superscript"/>
          <w:lang w:val="fr-FR" w:eastAsia="ja-JP"/>
        </w:rPr>
        <w:t xml:space="preserve">  </w:t>
      </w:r>
      <w:r w:rsidRPr="004156C2">
        <w:rPr>
          <w:rFonts w:eastAsia="MS Mincho"/>
          <w:sz w:val="18"/>
          <w:lang w:val="fr-FR"/>
        </w:rPr>
        <w:t>D’autres méthodes faisant référence à des normes nationales ou internationales peuvent être utilisées.</w:t>
      </w:r>
    </w:p>
    <w:p w14:paraId="7EB37510" w14:textId="77777777" w:rsidR="003047F7" w:rsidRPr="003047F7" w:rsidRDefault="003047F7" w:rsidP="003047F7">
      <w:pPr>
        <w:pStyle w:val="SingleTxtG"/>
        <w:spacing w:before="240" w:after="0"/>
        <w:jc w:val="center"/>
        <w:rPr>
          <w:u w:val="single"/>
        </w:rPr>
      </w:pPr>
      <w:r>
        <w:rPr>
          <w:u w:val="single"/>
        </w:rPr>
        <w:tab/>
      </w:r>
      <w:r>
        <w:rPr>
          <w:u w:val="single"/>
        </w:rPr>
        <w:tab/>
      </w:r>
      <w:r>
        <w:rPr>
          <w:u w:val="single"/>
        </w:rPr>
        <w:tab/>
      </w:r>
    </w:p>
    <w:sectPr w:rsidR="003047F7" w:rsidRPr="003047F7" w:rsidSect="00FC359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AD42" w14:textId="77777777" w:rsidR="007F6101" w:rsidRDefault="007F6101" w:rsidP="00F95C08">
      <w:pPr>
        <w:spacing w:line="240" w:lineRule="auto"/>
      </w:pPr>
    </w:p>
  </w:endnote>
  <w:endnote w:type="continuationSeparator" w:id="0">
    <w:p w14:paraId="33F472EE" w14:textId="77777777" w:rsidR="007F6101" w:rsidRPr="00AC3823" w:rsidRDefault="007F6101" w:rsidP="00AC3823">
      <w:pPr>
        <w:pStyle w:val="Footer"/>
      </w:pPr>
    </w:p>
  </w:endnote>
  <w:endnote w:type="continuationNotice" w:id="1">
    <w:p w14:paraId="7CDB7A82" w14:textId="77777777" w:rsidR="007F6101" w:rsidRDefault="007F61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E063" w14:textId="77777777" w:rsidR="007F6101" w:rsidRPr="00FC359D" w:rsidRDefault="007F6101" w:rsidP="00FC359D">
    <w:pPr>
      <w:pStyle w:val="Footer"/>
      <w:tabs>
        <w:tab w:val="right" w:pos="9638"/>
      </w:tabs>
    </w:pPr>
    <w:r w:rsidRPr="00FC359D">
      <w:rPr>
        <w:b/>
        <w:sz w:val="18"/>
      </w:rPr>
      <w:fldChar w:fldCharType="begin"/>
    </w:r>
    <w:r w:rsidRPr="00FC359D">
      <w:rPr>
        <w:b/>
        <w:sz w:val="18"/>
      </w:rPr>
      <w:instrText xml:space="preserve"> PAGE  \* MERGEFORMAT </w:instrText>
    </w:r>
    <w:r w:rsidRPr="00FC359D">
      <w:rPr>
        <w:b/>
        <w:sz w:val="18"/>
      </w:rPr>
      <w:fldChar w:fldCharType="separate"/>
    </w:r>
    <w:r w:rsidRPr="00FC359D">
      <w:rPr>
        <w:b/>
        <w:noProof/>
        <w:sz w:val="18"/>
      </w:rPr>
      <w:t>2</w:t>
    </w:r>
    <w:r w:rsidRPr="00FC359D">
      <w:rPr>
        <w:b/>
        <w:sz w:val="18"/>
      </w:rPr>
      <w:fldChar w:fldCharType="end"/>
    </w:r>
    <w:r>
      <w:rPr>
        <w:b/>
        <w:sz w:val="18"/>
      </w:rPr>
      <w:tab/>
    </w:r>
    <w:r>
      <w:t>GE.19-06176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C234" w14:textId="77777777" w:rsidR="007F6101" w:rsidRPr="00FC359D" w:rsidRDefault="007F6101" w:rsidP="00FC359D">
    <w:pPr>
      <w:pStyle w:val="Footer"/>
      <w:tabs>
        <w:tab w:val="right" w:pos="9638"/>
      </w:tabs>
      <w:rPr>
        <w:b/>
        <w:sz w:val="18"/>
      </w:rPr>
    </w:pPr>
    <w:r>
      <w:t>GE.19-06176</w:t>
    </w:r>
    <w:r>
      <w:tab/>
    </w:r>
    <w:r w:rsidRPr="00FC359D">
      <w:rPr>
        <w:b/>
        <w:sz w:val="18"/>
      </w:rPr>
      <w:fldChar w:fldCharType="begin"/>
    </w:r>
    <w:r w:rsidRPr="00FC359D">
      <w:rPr>
        <w:b/>
        <w:sz w:val="18"/>
      </w:rPr>
      <w:instrText xml:space="preserve"> PAGE  \* MERGEFORMAT </w:instrText>
    </w:r>
    <w:r w:rsidRPr="00FC359D">
      <w:rPr>
        <w:b/>
        <w:sz w:val="18"/>
      </w:rPr>
      <w:fldChar w:fldCharType="separate"/>
    </w:r>
    <w:r w:rsidRPr="00FC359D">
      <w:rPr>
        <w:b/>
        <w:noProof/>
        <w:sz w:val="18"/>
      </w:rPr>
      <w:t>3</w:t>
    </w:r>
    <w:r w:rsidRPr="00FC35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B105" w14:textId="77777777" w:rsidR="007F6101" w:rsidRPr="00FC359D" w:rsidRDefault="007F6101" w:rsidP="00FC359D">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0ACB015E" wp14:editId="2900299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19-06176  (F)    060519    140519</w:t>
    </w:r>
    <w:r>
      <w:rPr>
        <w:sz w:val="20"/>
      </w:rPr>
      <w:br/>
    </w:r>
    <w:r w:rsidRPr="00FC359D">
      <w:rPr>
        <w:rFonts w:ascii="C39T30Lfz" w:hAnsi="C39T30Lfz"/>
        <w:sz w:val="56"/>
      </w:rPr>
      <w:t></w:t>
    </w:r>
    <w:r w:rsidRPr="00FC359D">
      <w:rPr>
        <w:rFonts w:ascii="C39T30Lfz" w:hAnsi="C39T30Lfz"/>
        <w:sz w:val="56"/>
      </w:rPr>
      <w:t></w:t>
    </w:r>
    <w:r w:rsidRPr="00FC359D">
      <w:rPr>
        <w:rFonts w:ascii="C39T30Lfz" w:hAnsi="C39T30Lfz"/>
        <w:sz w:val="56"/>
      </w:rPr>
      <w:t></w:t>
    </w:r>
    <w:r w:rsidRPr="00FC359D">
      <w:rPr>
        <w:rFonts w:ascii="C39T30Lfz" w:hAnsi="C39T30Lfz"/>
        <w:sz w:val="56"/>
      </w:rPr>
      <w:t></w:t>
    </w:r>
    <w:r w:rsidRPr="00FC359D">
      <w:rPr>
        <w:rFonts w:ascii="C39T30Lfz" w:hAnsi="C39T30Lfz"/>
        <w:sz w:val="56"/>
      </w:rPr>
      <w:t></w:t>
    </w:r>
    <w:r w:rsidRPr="00FC359D">
      <w:rPr>
        <w:rFonts w:ascii="C39T30Lfz" w:hAnsi="C39T30Lfz"/>
        <w:sz w:val="56"/>
      </w:rPr>
      <w:t></w:t>
    </w:r>
    <w:r w:rsidRPr="00FC359D">
      <w:rPr>
        <w:rFonts w:ascii="C39T30Lfz" w:hAnsi="C39T30Lfz"/>
        <w:sz w:val="56"/>
      </w:rPr>
      <w:t></w:t>
    </w:r>
    <w:r w:rsidRPr="00FC359D">
      <w:rPr>
        <w:rFonts w:ascii="C39T30Lfz" w:hAnsi="C39T30Lfz"/>
        <w:sz w:val="56"/>
      </w:rPr>
      <w:t></w:t>
    </w:r>
    <w:r w:rsidRPr="00FC359D">
      <w:rPr>
        <w:rFonts w:ascii="C39T30Lfz" w:hAnsi="C39T30Lfz"/>
        <w:sz w:val="56"/>
      </w:rPr>
      <w:t></w:t>
    </w:r>
    <w:r>
      <w:rPr>
        <w:noProof/>
        <w:sz w:val="20"/>
      </w:rPr>
      <w:drawing>
        <wp:anchor distT="0" distB="0" distL="114300" distR="114300" simplePos="0" relativeHeight="251658240" behindDoc="0" locked="0" layoutInCell="1" allowOverlap="1" wp14:anchorId="064994A1" wp14:editId="4FD78C2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6B3D6" w14:textId="77777777" w:rsidR="007F6101" w:rsidRPr="00AC3823" w:rsidRDefault="007F6101" w:rsidP="00AC3823">
      <w:pPr>
        <w:pStyle w:val="Footer"/>
        <w:tabs>
          <w:tab w:val="right" w:pos="2155"/>
        </w:tabs>
        <w:spacing w:after="80" w:line="240" w:lineRule="atLeast"/>
        <w:ind w:left="680"/>
        <w:rPr>
          <w:u w:val="single"/>
        </w:rPr>
      </w:pPr>
      <w:r>
        <w:rPr>
          <w:u w:val="single"/>
        </w:rPr>
        <w:tab/>
      </w:r>
    </w:p>
  </w:footnote>
  <w:footnote w:type="continuationSeparator" w:id="0">
    <w:p w14:paraId="06A82CF6" w14:textId="77777777" w:rsidR="007F6101" w:rsidRPr="00AC3823" w:rsidRDefault="007F6101" w:rsidP="00AC3823">
      <w:pPr>
        <w:pStyle w:val="Footer"/>
        <w:tabs>
          <w:tab w:val="right" w:pos="2155"/>
        </w:tabs>
        <w:spacing w:after="80" w:line="240" w:lineRule="atLeast"/>
        <w:ind w:left="680"/>
        <w:rPr>
          <w:u w:val="single"/>
        </w:rPr>
      </w:pPr>
      <w:r>
        <w:rPr>
          <w:u w:val="single"/>
        </w:rPr>
        <w:tab/>
      </w:r>
    </w:p>
  </w:footnote>
  <w:footnote w:type="continuationNotice" w:id="1">
    <w:p w14:paraId="0F0C4106" w14:textId="77777777" w:rsidR="007F6101" w:rsidRPr="00AC3823" w:rsidRDefault="007F6101">
      <w:pPr>
        <w:spacing w:line="240" w:lineRule="auto"/>
        <w:rPr>
          <w:sz w:val="2"/>
          <w:szCs w:val="2"/>
        </w:rPr>
      </w:pPr>
    </w:p>
  </w:footnote>
  <w:footnote w:id="2">
    <w:p w14:paraId="1B2784D7" w14:textId="77777777" w:rsidR="007F6101" w:rsidRPr="00340511" w:rsidRDefault="007F6101" w:rsidP="00FC359D">
      <w:pPr>
        <w:pStyle w:val="FootnoteText"/>
      </w:pPr>
      <w:r>
        <w:tab/>
      </w:r>
      <w:r w:rsidRPr="00B92F9D">
        <w:rPr>
          <w:sz w:val="20"/>
        </w:rPr>
        <w:t>*</w:t>
      </w:r>
      <w:r w:rsidRPr="00340511">
        <w:rPr>
          <w:sz w:val="20"/>
        </w:rPr>
        <w:tab/>
      </w:r>
      <w:r w:rsidRPr="00340511">
        <w:t>Conformément au programme de travail du Comité des transports intérieurs pour la période 201</w:t>
      </w:r>
      <w:r>
        <w:t>8</w:t>
      </w:r>
      <w:r>
        <w:noBreakHyphen/>
      </w:r>
      <w:r w:rsidRPr="00340511">
        <w:t>201</w:t>
      </w:r>
      <w:r>
        <w:t>9</w:t>
      </w:r>
      <w:r w:rsidRPr="00340511">
        <w:t xml:space="preserve"> (ECE/TRANS/2</w:t>
      </w:r>
      <w:r>
        <w:t>74</w:t>
      </w:r>
      <w:r w:rsidRPr="00340511">
        <w:t>, par.</w:t>
      </w:r>
      <w:r>
        <w:t> </w:t>
      </w:r>
      <w:r w:rsidRPr="00340511">
        <w:t>1</w:t>
      </w:r>
      <w:r>
        <w:t>23</w:t>
      </w:r>
      <w:r w:rsidRPr="00340511">
        <w:t>, et ECE/TRANS/201</w:t>
      </w:r>
      <w:r>
        <w:t>8</w:t>
      </w:r>
      <w:r w:rsidRPr="00340511">
        <w:t>/2</w:t>
      </w:r>
      <w:r>
        <w:t>1/Add.1</w:t>
      </w:r>
      <w:r w:rsidRPr="00340511">
        <w:t xml:space="preserve">, </w:t>
      </w:r>
      <w:r>
        <w:t>module 3.1</w:t>
      </w:r>
      <w:r w:rsidRPr="00340511">
        <w:t xml:space="preserve">), le Forum mondial a pour mission d’élaborer, d’harmoniser et de mettre à jour les Règlements </w:t>
      </w:r>
      <w:r>
        <w:t xml:space="preserve">ONU </w:t>
      </w:r>
      <w:r w:rsidRPr="00340511">
        <w:t>en vue d’améliorer les caractéristiques fonctionnelles des véhicules. Le présent document est soumis en vertu de ce mandat.</w:t>
      </w:r>
    </w:p>
  </w:footnote>
  <w:footnote w:id="3">
    <w:p w14:paraId="561FDE15" w14:textId="77777777" w:rsidR="007F6101" w:rsidRPr="00501550" w:rsidRDefault="007F6101" w:rsidP="00FC359D">
      <w:pPr>
        <w:pStyle w:val="FootnoteText"/>
      </w:pPr>
      <w:r w:rsidRPr="00340511">
        <w:tab/>
      </w:r>
      <w:r w:rsidRPr="00B30768">
        <w:rPr>
          <w:rStyle w:val="FootnoteReference"/>
        </w:rPr>
        <w:footnoteRef/>
      </w:r>
      <w:r w:rsidRPr="00501550">
        <w:tab/>
        <w:t>Voir ECE/TRANS/WP.29/1045, tel que modifié par les documents Amend.1 et Amend.2 (Résolution</w:t>
      </w:r>
      <w:r>
        <w:t xml:space="preserve"> spéciale</w:t>
      </w:r>
      <w:r w:rsidRPr="00501550">
        <w:t xml:space="preserve"> </w:t>
      </w:r>
      <w:r w:rsidRPr="003529B8">
        <w:rPr>
          <w:rFonts w:eastAsia="MS Mincho"/>
          <w:szCs w:val="22"/>
        </w:rPr>
        <w:t>n</w:t>
      </w:r>
      <w:r w:rsidRPr="003529B8">
        <w:rPr>
          <w:rFonts w:eastAsia="MS Mincho"/>
          <w:szCs w:val="22"/>
          <w:vertAlign w:val="superscript"/>
        </w:rPr>
        <w:t>o</w:t>
      </w:r>
      <w:r>
        <w:rPr>
          <w:rFonts w:eastAsia="MS Mincho"/>
          <w:szCs w:val="22"/>
        </w:rPr>
        <w:t> </w:t>
      </w:r>
      <w:r w:rsidRPr="00501550">
        <w:t>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0B1A" w14:textId="727E802B" w:rsidR="007F6101" w:rsidRPr="00FC359D" w:rsidRDefault="008C0C6D">
    <w:pPr>
      <w:pStyle w:val="Header"/>
    </w:pPr>
    <w:r>
      <w:fldChar w:fldCharType="begin"/>
    </w:r>
    <w:r>
      <w:instrText xml:space="preserve"> TITLE  \* MERGEFORMAT </w:instrText>
    </w:r>
    <w:r>
      <w:fldChar w:fldCharType="separate"/>
    </w:r>
    <w:r>
      <w:t>ECE/TRANS/WP.29/2019/64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F1BF" w14:textId="1A400695" w:rsidR="007F6101" w:rsidRPr="00FC359D" w:rsidRDefault="008C0C6D" w:rsidP="00FC359D">
    <w:pPr>
      <w:pStyle w:val="Header"/>
      <w:jc w:val="right"/>
    </w:pPr>
    <w:r>
      <w:fldChar w:fldCharType="begin"/>
    </w:r>
    <w:r>
      <w:instrText xml:space="preserve"> TITLE  \* MERGEFORMAT </w:instrText>
    </w:r>
    <w:r>
      <w:fldChar w:fldCharType="separate"/>
    </w:r>
    <w:r>
      <w:t>ECE/TRANS/WP.29/2019/64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7B"/>
    <w:rsid w:val="00017F94"/>
    <w:rsid w:val="00023842"/>
    <w:rsid w:val="000334F9"/>
    <w:rsid w:val="00045FEB"/>
    <w:rsid w:val="0007796D"/>
    <w:rsid w:val="000B7790"/>
    <w:rsid w:val="00111F2F"/>
    <w:rsid w:val="0014365E"/>
    <w:rsid w:val="00143C66"/>
    <w:rsid w:val="00176178"/>
    <w:rsid w:val="00190DE8"/>
    <w:rsid w:val="001C16BF"/>
    <w:rsid w:val="001F525A"/>
    <w:rsid w:val="00223272"/>
    <w:rsid w:val="00242C31"/>
    <w:rsid w:val="0024779E"/>
    <w:rsid w:val="00257168"/>
    <w:rsid w:val="00271921"/>
    <w:rsid w:val="002744B8"/>
    <w:rsid w:val="002832AC"/>
    <w:rsid w:val="002D7C93"/>
    <w:rsid w:val="003047F7"/>
    <w:rsid w:val="00305801"/>
    <w:rsid w:val="00312EE0"/>
    <w:rsid w:val="003916DE"/>
    <w:rsid w:val="00421996"/>
    <w:rsid w:val="00441C3B"/>
    <w:rsid w:val="00446FE5"/>
    <w:rsid w:val="00452396"/>
    <w:rsid w:val="004837D8"/>
    <w:rsid w:val="00486606"/>
    <w:rsid w:val="004C2551"/>
    <w:rsid w:val="004E2EED"/>
    <w:rsid w:val="004E468C"/>
    <w:rsid w:val="005505B7"/>
    <w:rsid w:val="00554562"/>
    <w:rsid w:val="00573BE5"/>
    <w:rsid w:val="00586ED3"/>
    <w:rsid w:val="00596AA9"/>
    <w:rsid w:val="00604FEB"/>
    <w:rsid w:val="006275C6"/>
    <w:rsid w:val="0071601D"/>
    <w:rsid w:val="00797FC4"/>
    <w:rsid w:val="007A62E6"/>
    <w:rsid w:val="007F20FA"/>
    <w:rsid w:val="007F6101"/>
    <w:rsid w:val="0080684C"/>
    <w:rsid w:val="00813554"/>
    <w:rsid w:val="0086395D"/>
    <w:rsid w:val="00871C75"/>
    <w:rsid w:val="008776DC"/>
    <w:rsid w:val="008C0C6D"/>
    <w:rsid w:val="009356AD"/>
    <w:rsid w:val="009446C0"/>
    <w:rsid w:val="009705C8"/>
    <w:rsid w:val="009A0A0C"/>
    <w:rsid w:val="009C1CF4"/>
    <w:rsid w:val="009F6B74"/>
    <w:rsid w:val="00A3029F"/>
    <w:rsid w:val="00A30353"/>
    <w:rsid w:val="00AA3D7B"/>
    <w:rsid w:val="00AC3823"/>
    <w:rsid w:val="00AE323C"/>
    <w:rsid w:val="00AF0CB5"/>
    <w:rsid w:val="00B00181"/>
    <w:rsid w:val="00B00B0D"/>
    <w:rsid w:val="00B45F2E"/>
    <w:rsid w:val="00B52CCA"/>
    <w:rsid w:val="00B765F7"/>
    <w:rsid w:val="00BA0CA9"/>
    <w:rsid w:val="00C02897"/>
    <w:rsid w:val="00C02EF1"/>
    <w:rsid w:val="00C97039"/>
    <w:rsid w:val="00D3043C"/>
    <w:rsid w:val="00D3439C"/>
    <w:rsid w:val="00DB1831"/>
    <w:rsid w:val="00DD3BFD"/>
    <w:rsid w:val="00DF6678"/>
    <w:rsid w:val="00E0299A"/>
    <w:rsid w:val="00E85C74"/>
    <w:rsid w:val="00EA6547"/>
    <w:rsid w:val="00EF2E22"/>
    <w:rsid w:val="00F35BAF"/>
    <w:rsid w:val="00F660DF"/>
    <w:rsid w:val="00F94664"/>
    <w:rsid w:val="00F9573C"/>
    <w:rsid w:val="00F95C08"/>
    <w:rsid w:val="00FC35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AD19D"/>
  <w15:docId w15:val="{26D3C32A-9673-4C4A-B9D4-0565DADA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FC359D"/>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FC359D"/>
    <w:rPr>
      <w:rFonts w:ascii="Times New Roman" w:eastAsiaTheme="minorHAnsi" w:hAnsi="Times New Roman" w:cs="Times New Roman"/>
      <w:sz w:val="20"/>
      <w:szCs w:val="20"/>
      <w:lang w:eastAsia="en-US"/>
    </w:rPr>
  </w:style>
  <w:style w:type="paragraph" w:styleId="NormalWeb">
    <w:name w:val="Normal (Web)"/>
    <w:basedOn w:val="Normal"/>
    <w:uiPriority w:val="99"/>
    <w:rsid w:val="00312EE0"/>
    <w:pPr>
      <w:suppressAutoHyphens w:val="0"/>
      <w:kinsoku/>
      <w:overflowPunct/>
      <w:autoSpaceDE/>
      <w:autoSpaceDN/>
      <w:adjustRightInd/>
      <w:snapToGrid/>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table" w:customStyle="1" w:styleId="Grilledutableau11">
    <w:name w:val="Grille du tableau11"/>
    <w:basedOn w:val="TableNormal"/>
    <w:next w:val="TableGrid"/>
    <w:uiPriority w:val="39"/>
    <w:rsid w:val="00312EE0"/>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R">
    <w:name w:val="_ Single Txt_GR"/>
    <w:basedOn w:val="Normal"/>
    <w:qFormat/>
    <w:rsid w:val="007F6101"/>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12046</Words>
  <Characters>68665</Characters>
  <Application>Microsoft Office Word</Application>
  <DocSecurity>0</DocSecurity>
  <Lines>572</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ECE/TRANS/WP.29/2019/64</vt:lpstr>
      <vt:lpstr>ECE/TRANS/WP.29/2019/64</vt:lpstr>
    </vt:vector>
  </TitlesOfParts>
  <Company>DCM</Company>
  <LinksUpToDate>false</LinksUpToDate>
  <CharactersWithSpaces>80550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ECE/TRANS/WP.29/2019/64</dc:title>
  <dc:subject/>
  <dc:creator>Julien OKRZESIK</dc:creator>
  <cp:keywords/>
  <cp:lastModifiedBy>Marie-Claude Collet</cp:lastModifiedBy>
  <cp:revision>3</cp:revision>
  <cp:lastPrinted>2019-05-14T09:14:00Z</cp:lastPrinted>
  <dcterms:created xsi:type="dcterms:W3CDTF">2019-05-14T09:14:00Z</dcterms:created>
  <dcterms:modified xsi:type="dcterms:W3CDTF">2019-05-14T09:14:00Z</dcterms:modified>
</cp:coreProperties>
</file>