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2F19464" w14:textId="77777777" w:rsidTr="00C97039">
        <w:trPr>
          <w:trHeight w:hRule="exact" w:val="851"/>
        </w:trPr>
        <w:tc>
          <w:tcPr>
            <w:tcW w:w="1276" w:type="dxa"/>
            <w:tcBorders>
              <w:bottom w:val="single" w:sz="4" w:space="0" w:color="auto"/>
            </w:tcBorders>
          </w:tcPr>
          <w:p w14:paraId="12C30509" w14:textId="77777777" w:rsidR="00F35BAF" w:rsidRPr="00DB58B5" w:rsidRDefault="00F35BAF" w:rsidP="00F01031">
            <w:bookmarkStart w:id="0" w:name="_GoBack"/>
            <w:bookmarkEnd w:id="0"/>
          </w:p>
        </w:tc>
        <w:tc>
          <w:tcPr>
            <w:tcW w:w="2268" w:type="dxa"/>
            <w:tcBorders>
              <w:bottom w:val="single" w:sz="4" w:space="0" w:color="auto"/>
            </w:tcBorders>
            <w:vAlign w:val="bottom"/>
          </w:tcPr>
          <w:p w14:paraId="5EA4E3A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BEDB57" w14:textId="77777777" w:rsidR="00F35BAF" w:rsidRPr="00DB58B5" w:rsidRDefault="00F01031" w:rsidP="00F01031">
            <w:pPr>
              <w:jc w:val="right"/>
            </w:pPr>
            <w:r w:rsidRPr="00F01031">
              <w:rPr>
                <w:sz w:val="40"/>
              </w:rPr>
              <w:t>ECE</w:t>
            </w:r>
            <w:r>
              <w:t>/TRANS/WP.29/2019/53</w:t>
            </w:r>
          </w:p>
        </w:tc>
      </w:tr>
      <w:tr w:rsidR="00F35BAF" w:rsidRPr="00DB58B5" w14:paraId="37CCBCED" w14:textId="77777777" w:rsidTr="00C97039">
        <w:trPr>
          <w:trHeight w:hRule="exact" w:val="2835"/>
        </w:trPr>
        <w:tc>
          <w:tcPr>
            <w:tcW w:w="1276" w:type="dxa"/>
            <w:tcBorders>
              <w:top w:val="single" w:sz="4" w:space="0" w:color="auto"/>
              <w:bottom w:val="single" w:sz="12" w:space="0" w:color="auto"/>
            </w:tcBorders>
          </w:tcPr>
          <w:p w14:paraId="58D67680" w14:textId="77777777" w:rsidR="00F35BAF" w:rsidRPr="00DB58B5" w:rsidRDefault="00F35BAF" w:rsidP="00C97039">
            <w:pPr>
              <w:spacing w:before="120"/>
              <w:jc w:val="center"/>
            </w:pPr>
            <w:r>
              <w:rPr>
                <w:noProof/>
                <w:lang w:eastAsia="fr-CH"/>
              </w:rPr>
              <w:drawing>
                <wp:inline distT="0" distB="0" distL="0" distR="0" wp14:anchorId="3336EB44" wp14:editId="5CEC6C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8CF2D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84D73AE" w14:textId="77777777" w:rsidR="00F35BAF" w:rsidRDefault="00F01031" w:rsidP="00C97039">
            <w:pPr>
              <w:spacing w:before="240"/>
            </w:pPr>
            <w:r>
              <w:t xml:space="preserve">Distr. </w:t>
            </w:r>
            <w:proofErr w:type="gramStart"/>
            <w:r>
              <w:t>générale</w:t>
            </w:r>
            <w:proofErr w:type="gramEnd"/>
          </w:p>
          <w:p w14:paraId="2E5BB5ED" w14:textId="77777777" w:rsidR="00F01031" w:rsidRDefault="00F01031" w:rsidP="00F01031">
            <w:pPr>
              <w:spacing w:line="240" w:lineRule="exact"/>
            </w:pPr>
            <w:r>
              <w:t>11 avril 2019</w:t>
            </w:r>
          </w:p>
          <w:p w14:paraId="0F5F052A" w14:textId="77777777" w:rsidR="00F01031" w:rsidRDefault="00F01031" w:rsidP="00F01031">
            <w:pPr>
              <w:spacing w:line="240" w:lineRule="exact"/>
            </w:pPr>
            <w:r>
              <w:t>Français</w:t>
            </w:r>
          </w:p>
          <w:p w14:paraId="4B55DB59" w14:textId="77777777" w:rsidR="00F01031" w:rsidRPr="00DB58B5" w:rsidRDefault="00F01031" w:rsidP="00F01031">
            <w:pPr>
              <w:spacing w:line="240" w:lineRule="exact"/>
            </w:pPr>
            <w:r>
              <w:t>Original </w:t>
            </w:r>
            <w:r w:rsidR="005912C9">
              <w:t>:</w:t>
            </w:r>
            <w:r>
              <w:t xml:space="preserve"> anglais</w:t>
            </w:r>
          </w:p>
        </w:tc>
      </w:tr>
    </w:tbl>
    <w:p w14:paraId="44789089" w14:textId="77777777" w:rsidR="007F20FA" w:rsidRPr="000312C0" w:rsidRDefault="007F20FA" w:rsidP="007F20FA">
      <w:pPr>
        <w:spacing w:before="120"/>
        <w:rPr>
          <w:b/>
          <w:sz w:val="28"/>
          <w:szCs w:val="28"/>
        </w:rPr>
      </w:pPr>
      <w:r w:rsidRPr="000312C0">
        <w:rPr>
          <w:b/>
          <w:sz w:val="28"/>
          <w:szCs w:val="28"/>
        </w:rPr>
        <w:t>Commission économique pour l’Europe</w:t>
      </w:r>
    </w:p>
    <w:p w14:paraId="604DB9B3" w14:textId="77777777" w:rsidR="007F20FA" w:rsidRDefault="007F20FA" w:rsidP="007F20FA">
      <w:pPr>
        <w:spacing w:before="120"/>
        <w:rPr>
          <w:sz w:val="28"/>
          <w:szCs w:val="28"/>
        </w:rPr>
      </w:pPr>
      <w:r w:rsidRPr="00685843">
        <w:rPr>
          <w:sz w:val="28"/>
          <w:szCs w:val="28"/>
        </w:rPr>
        <w:t>Comité des transports intérieurs</w:t>
      </w:r>
    </w:p>
    <w:p w14:paraId="20D9F161" w14:textId="77777777" w:rsidR="00F01031" w:rsidRPr="005912C9" w:rsidRDefault="00F01031" w:rsidP="00F01031">
      <w:pPr>
        <w:spacing w:before="120"/>
        <w:rPr>
          <w:b/>
          <w:sz w:val="24"/>
          <w:szCs w:val="24"/>
        </w:rPr>
      </w:pPr>
      <w:r w:rsidRPr="005912C9">
        <w:rPr>
          <w:b/>
          <w:sz w:val="24"/>
          <w:szCs w:val="24"/>
        </w:rPr>
        <w:t>Forum mondial de l’harmonisation</w:t>
      </w:r>
      <w:r w:rsidRPr="005912C9">
        <w:rPr>
          <w:b/>
          <w:sz w:val="24"/>
          <w:szCs w:val="24"/>
        </w:rPr>
        <w:br/>
        <w:t>des Règlements concernant les véhicules</w:t>
      </w:r>
    </w:p>
    <w:p w14:paraId="640DD88C" w14:textId="77777777" w:rsidR="00F01031" w:rsidRDefault="00F01031" w:rsidP="00F01031">
      <w:pPr>
        <w:spacing w:before="120" w:line="240" w:lineRule="exact"/>
        <w:rPr>
          <w:b/>
        </w:rPr>
      </w:pPr>
      <w:r>
        <w:rPr>
          <w:b/>
          <w:bCs/>
        </w:rPr>
        <w:t>178</w:t>
      </w:r>
      <w:r w:rsidRPr="007203A1">
        <w:rPr>
          <w:b/>
          <w:bCs/>
          <w:vertAlign w:val="superscript"/>
        </w:rPr>
        <w:t>e</w:t>
      </w:r>
      <w:r>
        <w:rPr>
          <w:b/>
        </w:rPr>
        <w:t xml:space="preserve"> session</w:t>
      </w:r>
    </w:p>
    <w:p w14:paraId="0239698D" w14:textId="77777777" w:rsidR="00F01031" w:rsidRPr="00BD7A9B" w:rsidRDefault="00F01031" w:rsidP="00F01031">
      <w:pPr>
        <w:spacing w:line="240" w:lineRule="exact"/>
      </w:pPr>
      <w:r>
        <w:t xml:space="preserve">Genève, </w:t>
      </w:r>
      <w:r w:rsidRPr="00BD7A9B">
        <w:t>25</w:t>
      </w:r>
      <w:r>
        <w:t>-28 juin</w:t>
      </w:r>
      <w:r w:rsidRPr="00BD7A9B">
        <w:t xml:space="preserve"> 2019</w:t>
      </w:r>
    </w:p>
    <w:p w14:paraId="6F92EEE8" w14:textId="77777777" w:rsidR="00F01031" w:rsidRPr="00AF2205" w:rsidRDefault="00F01031" w:rsidP="00F01031">
      <w:r>
        <w:t>Point 4.9.4 de l’ordre du jour provisoire</w:t>
      </w:r>
    </w:p>
    <w:p w14:paraId="72E42C52" w14:textId="77777777" w:rsidR="00F01031" w:rsidRPr="007203A1" w:rsidRDefault="00F01031" w:rsidP="00F01031">
      <w:pPr>
        <w:rPr>
          <w:b/>
        </w:rPr>
      </w:pPr>
      <w:r w:rsidRPr="007203A1">
        <w:rPr>
          <w:b/>
        </w:rPr>
        <w:t>Accord de 1958</w:t>
      </w:r>
      <w:r w:rsidR="005912C9">
        <w:rPr>
          <w:b/>
        </w:rPr>
        <w:t> :</w:t>
      </w:r>
      <w:r w:rsidRPr="007203A1">
        <w:rPr>
          <w:b/>
        </w:rPr>
        <w:t xml:space="preserve"> Examen de projets d’amendements </w:t>
      </w:r>
      <w:r w:rsidR="005912C9">
        <w:rPr>
          <w:b/>
        </w:rPr>
        <w:br/>
      </w:r>
      <w:r w:rsidRPr="007203A1">
        <w:rPr>
          <w:b/>
        </w:rPr>
        <w:t>à des Règlements ONU existants, soumis par le GRB</w:t>
      </w:r>
    </w:p>
    <w:p w14:paraId="3685483D" w14:textId="77777777" w:rsidR="00F01031" w:rsidRDefault="00F01031" w:rsidP="005912C9">
      <w:pPr>
        <w:pStyle w:val="HChG"/>
      </w:pPr>
      <w:r>
        <w:tab/>
      </w:r>
      <w:r>
        <w:tab/>
        <w:t>Proposition de complément 18 à la série initiale d’amendements au Règlement ONU n</w:t>
      </w:r>
      <w:r w:rsidRPr="007203A1">
        <w:rPr>
          <w:vertAlign w:val="superscript"/>
        </w:rPr>
        <w:t>o</w:t>
      </w:r>
      <w:r w:rsidRPr="005912C9">
        <w:t> </w:t>
      </w:r>
      <w:r>
        <w:t>75 (Pneumatiques</w:t>
      </w:r>
      <w:r w:rsidR="005912C9">
        <w:t> </w:t>
      </w:r>
      <w:r>
        <w:t>pour motocycles et cyclomoteurs)</w:t>
      </w:r>
    </w:p>
    <w:p w14:paraId="32312F24" w14:textId="77777777" w:rsidR="00F01031" w:rsidRPr="00A90EA8" w:rsidRDefault="00F01031" w:rsidP="005912C9">
      <w:pPr>
        <w:pStyle w:val="H1G"/>
      </w:pPr>
      <w:r>
        <w:tab/>
      </w:r>
      <w:r>
        <w:tab/>
        <w:t>Communication du Groupe de travail du bruit</w:t>
      </w:r>
      <w:r w:rsidRPr="005912C9">
        <w:rPr>
          <w:b w:val="0"/>
          <w:sz w:val="20"/>
        </w:rPr>
        <w:footnoteReference w:customMarkFollows="1" w:id="2"/>
        <w:t>*</w:t>
      </w:r>
    </w:p>
    <w:p w14:paraId="23EA4FE5" w14:textId="77777777" w:rsidR="00F01031" w:rsidRDefault="00F01031" w:rsidP="005912C9">
      <w:pPr>
        <w:pStyle w:val="SingleTxtG"/>
        <w:ind w:firstLine="567"/>
      </w:pPr>
      <w:r>
        <w:t>Le texte reproduit ci-dessous a été adopté par le Groupe de travail du bruit à sa soixante-neuvième session (ECE/TRANS/WP.29/GRB/67, par.</w:t>
      </w:r>
      <w:r w:rsidR="005912C9">
        <w:t> </w:t>
      </w:r>
      <w:r>
        <w:t>18). Il est fondé sur le document ECE/TRANS/WP.29/GRB/2019/7 et sur l’annexe IV du rapport de la session. Il est soumis au Forum mondial de l’harmonisation des Règlements concernant les véhicules (WP.29) et au Comité d’administration de l’Accord de 1958</w:t>
      </w:r>
      <w:r w:rsidDel="00853C04">
        <w:t xml:space="preserve"> </w:t>
      </w:r>
      <w:r>
        <w:t>(AC.1) pour examen à leurs sessions de juin 2019.</w:t>
      </w:r>
    </w:p>
    <w:p w14:paraId="6F07D988" w14:textId="77777777" w:rsidR="00F01031" w:rsidRDefault="00F01031" w:rsidP="005912C9">
      <w:pPr>
        <w:pStyle w:val="HChG"/>
      </w:pPr>
      <w:r w:rsidRPr="007203A1">
        <w:br w:type="page"/>
      </w:r>
      <w:r>
        <w:lastRenderedPageBreak/>
        <w:tab/>
      </w:r>
      <w:r>
        <w:tab/>
        <w:t>Complément 18 à la série initiale d’amendements au Règlement ONU n</w:t>
      </w:r>
      <w:r>
        <w:rPr>
          <w:vertAlign w:val="superscript"/>
        </w:rPr>
        <w:t>o</w:t>
      </w:r>
      <w:r w:rsidR="005912C9">
        <w:t> </w:t>
      </w:r>
      <w:r>
        <w:t>75 (Pneumatiques pour motocycles et</w:t>
      </w:r>
      <w:r w:rsidR="005912C9">
        <w:t> </w:t>
      </w:r>
      <w:r>
        <w:t>cyclomoteurs)</w:t>
      </w:r>
    </w:p>
    <w:p w14:paraId="1B313257" w14:textId="77777777" w:rsidR="00F01031" w:rsidRDefault="00F01031" w:rsidP="005912C9">
      <w:pPr>
        <w:pStyle w:val="SingleTxtG"/>
        <w:keepNext/>
      </w:pPr>
      <w:r w:rsidRPr="005912C9">
        <w:rPr>
          <w:i/>
        </w:rPr>
        <w:t>Paragraphe 2.31.3</w:t>
      </w:r>
      <w:r w:rsidRPr="00DC3638">
        <w:t>, lire</w:t>
      </w:r>
      <w:r w:rsidR="00B76070">
        <w:t> :</w:t>
      </w:r>
    </w:p>
    <w:p w14:paraId="4964F7DD" w14:textId="77777777" w:rsidR="00F01031" w:rsidRPr="00DC3638" w:rsidRDefault="00F01031" w:rsidP="00F01031">
      <w:pPr>
        <w:pStyle w:val="SingleTxtG"/>
        <w:ind w:left="2268" w:hanging="1134"/>
      </w:pPr>
      <w:r w:rsidRPr="00DC3638">
        <w:t>« 2.31.3</w:t>
      </w:r>
      <w:r>
        <w:tab/>
      </w:r>
      <w:r w:rsidRPr="00DC3638">
        <w:t xml:space="preserve">Les pneumatiques conçus pour des vitesses maximales supérieures à 240 km/h </w:t>
      </w:r>
      <w:r w:rsidRPr="007203A1">
        <w:rPr>
          <w:bCs/>
        </w:rPr>
        <w:t>mais inférieures à 270</w:t>
      </w:r>
      <w:r w:rsidR="00B76070">
        <w:rPr>
          <w:bCs/>
        </w:rPr>
        <w:t> </w:t>
      </w:r>
      <w:r w:rsidRPr="007203A1">
        <w:rPr>
          <w:bCs/>
        </w:rPr>
        <w:t>km/h</w:t>
      </w:r>
      <w:r w:rsidRPr="00DC3638">
        <w:t xml:space="preserve"> doivent être identifiés au moyen de la lettre de code “V” </w:t>
      </w:r>
      <w:r w:rsidRPr="007203A1">
        <w:rPr>
          <w:bCs/>
        </w:rPr>
        <w:t xml:space="preserve">et les pneumatiques conçus pour des vitesses maximales supérieures ou égales à 270 km/h doivent être identifiés au moyen </w:t>
      </w:r>
      <w:r w:rsidRPr="00DC3638">
        <w:t xml:space="preserve">de la lettre de code “Z”. </w:t>
      </w:r>
      <w:r w:rsidRPr="007203A1">
        <w:rPr>
          <w:bCs/>
        </w:rPr>
        <w:t>La lettre de code doit être</w:t>
      </w:r>
      <w:r w:rsidRPr="00DC3638">
        <w:t xml:space="preserve"> placée dans la désignation de la dimension du pneumatique, avant </w:t>
      </w:r>
      <w:r w:rsidRPr="007203A1">
        <w:rPr>
          <w:bCs/>
        </w:rPr>
        <w:t>l</w:t>
      </w:r>
      <w:r>
        <w:rPr>
          <w:bCs/>
        </w:rPr>
        <w:t>’</w:t>
      </w:r>
      <w:r w:rsidRPr="00DC3638">
        <w:t>indication concernant la structure (</w:t>
      </w:r>
      <w:r w:rsidRPr="00DC3638">
        <w:rPr>
          <w:iCs/>
        </w:rPr>
        <w:t>voir par. 3.1.4</w:t>
      </w:r>
      <w:r w:rsidRPr="00DC3638">
        <w:t>). »</w:t>
      </w:r>
      <w:r>
        <w:t>.</w:t>
      </w:r>
    </w:p>
    <w:p w14:paraId="4185C555" w14:textId="77777777" w:rsidR="00F01031" w:rsidRDefault="00F01031" w:rsidP="005912C9">
      <w:pPr>
        <w:pStyle w:val="SingleTxtG"/>
        <w:keepNext/>
      </w:pPr>
      <w:bookmarkStart w:id="1" w:name="_Hlk530672961"/>
      <w:r w:rsidRPr="005912C9">
        <w:rPr>
          <w:i/>
        </w:rPr>
        <w:t>Paragraphe 2.36.3</w:t>
      </w:r>
      <w:r w:rsidRPr="00DC3638">
        <w:t>, lire</w:t>
      </w:r>
      <w:r w:rsidR="00B76070">
        <w:t> :</w:t>
      </w:r>
    </w:p>
    <w:p w14:paraId="43F024DF" w14:textId="77777777" w:rsidR="00F01031" w:rsidRPr="00DC3638" w:rsidRDefault="00F01031" w:rsidP="00F01031">
      <w:pPr>
        <w:pStyle w:val="SingleTxtG"/>
        <w:ind w:left="2268" w:hanging="1134"/>
        <w:rPr>
          <w:iCs/>
          <w:strike/>
          <w:color w:val="000000"/>
        </w:rPr>
      </w:pPr>
      <w:r w:rsidRPr="00DC3638">
        <w:t>« 2.36.3</w:t>
      </w:r>
      <w:r>
        <w:tab/>
      </w:r>
      <w:r w:rsidRPr="00DC3638">
        <w:t xml:space="preserve">Pour </w:t>
      </w:r>
      <w:r w:rsidRPr="007203A1">
        <w:rPr>
          <w:bCs/>
        </w:rPr>
        <w:t>les pneumatiques marqués du symbole de catégorie de vitesse</w:t>
      </w:r>
      <w:r w:rsidR="00B76070">
        <w:rPr>
          <w:bCs/>
        </w:rPr>
        <w:t xml:space="preserve"> </w:t>
      </w:r>
      <w:r w:rsidRPr="00DC3638">
        <w:t>“</w:t>
      </w:r>
      <w:r w:rsidRPr="007203A1">
        <w:rPr>
          <w:bCs/>
        </w:rPr>
        <w:t>V</w:t>
      </w:r>
      <w:r w:rsidRPr="00DC3638">
        <w:t>”</w:t>
      </w:r>
      <w:r w:rsidRPr="007203A1">
        <w:rPr>
          <w:bCs/>
        </w:rPr>
        <w:t xml:space="preserve"> utilisés à des </w:t>
      </w:r>
      <w:r w:rsidRPr="00DC3638">
        <w:t xml:space="preserve">vitesses supérieures à 210 km/h mais ne dépassant pas </w:t>
      </w:r>
      <w:r w:rsidRPr="007203A1">
        <w:rPr>
          <w:bCs/>
        </w:rPr>
        <w:t>240 </w:t>
      </w:r>
      <w:r w:rsidRPr="00DC3638">
        <w:t>km/h, la limite de charge maximale ne doit pas dépasser le pourcentage de la masse, correspondant à l</w:t>
      </w:r>
      <w:r>
        <w:t>’</w:t>
      </w:r>
      <w:r w:rsidRPr="00DC3638">
        <w:t>indice de charge maximale du pneumatique, indiqué dans le tableau ci-après en référence</w:t>
      </w:r>
      <w:r w:rsidRPr="007203A1">
        <w:rPr>
          <w:bCs/>
        </w:rPr>
        <w:t xml:space="preserve"> à la vitesse que peut atteindre le véhicule sur lequel il est monté</w:t>
      </w:r>
      <w:r>
        <w:rPr>
          <w:bCs/>
        </w:rPr>
        <w:t> </w:t>
      </w:r>
      <w:r w:rsidR="005912C9">
        <w:t>:</w:t>
      </w:r>
    </w:p>
    <w:tbl>
      <w:tblPr>
        <w:tblStyle w:val="Grilledutableau1"/>
        <w:tblW w:w="0" w:type="auto"/>
        <w:tblInd w:w="2268" w:type="dxa"/>
        <w:tblLayout w:type="fixed"/>
        <w:tblCellMar>
          <w:left w:w="0" w:type="dxa"/>
          <w:right w:w="0" w:type="dxa"/>
        </w:tblCellMar>
        <w:tblLook w:val="04A0" w:firstRow="1" w:lastRow="0" w:firstColumn="1" w:lastColumn="0" w:noHBand="0" w:noVBand="1"/>
      </w:tblPr>
      <w:tblGrid>
        <w:gridCol w:w="3118"/>
        <w:gridCol w:w="3119"/>
      </w:tblGrid>
      <w:tr w:rsidR="00F01031" w:rsidRPr="00DC3638" w14:paraId="2839DA91" w14:textId="77777777" w:rsidTr="00A46EE0">
        <w:trPr>
          <w:trHeight w:val="454"/>
        </w:trPr>
        <w:tc>
          <w:tcPr>
            <w:tcW w:w="3118" w:type="dxa"/>
            <w:tcBorders>
              <w:bottom w:val="single" w:sz="12" w:space="0" w:color="auto"/>
            </w:tcBorders>
          </w:tcPr>
          <w:p w14:paraId="6EC3546D" w14:textId="77777777" w:rsidR="00F01031" w:rsidRPr="00DC3638" w:rsidRDefault="00F01031" w:rsidP="00A46EE0">
            <w:pPr>
              <w:suppressAutoHyphens w:val="0"/>
              <w:kinsoku/>
              <w:overflowPunct/>
              <w:snapToGrid/>
              <w:spacing w:before="60" w:after="60" w:line="200" w:lineRule="exact"/>
              <w:ind w:left="57" w:right="57"/>
              <w:jc w:val="center"/>
              <w:rPr>
                <w:b/>
                <w:i/>
                <w:iCs/>
                <w:color w:val="000000"/>
                <w:sz w:val="16"/>
                <w:szCs w:val="16"/>
              </w:rPr>
            </w:pPr>
            <w:r w:rsidRPr="00DC3638">
              <w:rPr>
                <w:b/>
                <w:bCs/>
                <w:i/>
                <w:iCs/>
                <w:sz w:val="16"/>
                <w:szCs w:val="16"/>
              </w:rPr>
              <w:t xml:space="preserve">Vitesse maximale en utilisation </w:t>
            </w:r>
            <w:r w:rsidRPr="00DC3638">
              <w:rPr>
                <w:b/>
                <w:i/>
                <w:iCs/>
                <w:color w:val="000000"/>
                <w:sz w:val="16"/>
                <w:szCs w:val="16"/>
              </w:rPr>
              <w:br/>
            </w:r>
            <w:r w:rsidRPr="00DC3638">
              <w:rPr>
                <w:b/>
                <w:bCs/>
                <w:i/>
                <w:iCs/>
                <w:sz w:val="16"/>
                <w:szCs w:val="16"/>
              </w:rPr>
              <w:t>(km/h)</w:t>
            </w:r>
          </w:p>
        </w:tc>
        <w:tc>
          <w:tcPr>
            <w:tcW w:w="3119" w:type="dxa"/>
            <w:tcBorders>
              <w:bottom w:val="single" w:sz="12" w:space="0" w:color="auto"/>
            </w:tcBorders>
          </w:tcPr>
          <w:p w14:paraId="568ADC7F" w14:textId="77777777" w:rsidR="00F01031" w:rsidRPr="00DC3638" w:rsidRDefault="00F01031" w:rsidP="00A46EE0">
            <w:pPr>
              <w:suppressAutoHyphens w:val="0"/>
              <w:kinsoku/>
              <w:overflowPunct/>
              <w:snapToGrid/>
              <w:spacing w:before="60" w:after="60" w:line="200" w:lineRule="exact"/>
              <w:ind w:left="57" w:right="57"/>
              <w:jc w:val="center"/>
              <w:rPr>
                <w:b/>
                <w:i/>
                <w:iCs/>
                <w:color w:val="000000"/>
                <w:sz w:val="16"/>
                <w:szCs w:val="16"/>
                <w:lang w:val="fr-CH"/>
              </w:rPr>
            </w:pPr>
            <w:bookmarkStart w:id="2" w:name="_Hlk530674692"/>
            <w:r w:rsidRPr="00DC3638">
              <w:rPr>
                <w:b/>
                <w:bCs/>
                <w:i/>
                <w:iCs/>
                <w:sz w:val="16"/>
                <w:szCs w:val="16"/>
              </w:rPr>
              <w:t>Indice de charge maximale</w:t>
            </w:r>
            <w:bookmarkEnd w:id="2"/>
            <w:r w:rsidRPr="00DC3638">
              <w:rPr>
                <w:b/>
                <w:bCs/>
                <w:i/>
                <w:iCs/>
                <w:sz w:val="16"/>
                <w:szCs w:val="16"/>
              </w:rPr>
              <w:t xml:space="preserve"> </w:t>
            </w:r>
            <w:r w:rsidRPr="00DC3638">
              <w:rPr>
                <w:b/>
                <w:bCs/>
                <w:i/>
                <w:iCs/>
                <w:sz w:val="16"/>
                <w:szCs w:val="16"/>
              </w:rPr>
              <w:br/>
              <w:t>(%)</w:t>
            </w:r>
          </w:p>
        </w:tc>
      </w:tr>
      <w:tr w:rsidR="00F01031" w:rsidRPr="00DC3638" w14:paraId="6F5C338C" w14:textId="77777777" w:rsidTr="00A46EE0">
        <w:tc>
          <w:tcPr>
            <w:tcW w:w="3118" w:type="dxa"/>
            <w:tcBorders>
              <w:top w:val="single" w:sz="12" w:space="0" w:color="auto"/>
            </w:tcBorders>
          </w:tcPr>
          <w:p w14:paraId="4E82ABC4"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210</w:t>
            </w:r>
          </w:p>
        </w:tc>
        <w:tc>
          <w:tcPr>
            <w:tcW w:w="3119" w:type="dxa"/>
            <w:tcBorders>
              <w:top w:val="single" w:sz="12" w:space="0" w:color="auto"/>
            </w:tcBorders>
          </w:tcPr>
          <w:p w14:paraId="060455CC"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100</w:t>
            </w:r>
          </w:p>
        </w:tc>
      </w:tr>
      <w:tr w:rsidR="00F01031" w:rsidRPr="00DC3638" w14:paraId="11563F7B" w14:textId="77777777" w:rsidTr="00A46EE0">
        <w:tc>
          <w:tcPr>
            <w:tcW w:w="3118" w:type="dxa"/>
          </w:tcPr>
          <w:p w14:paraId="3F3263CB"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220</w:t>
            </w:r>
          </w:p>
        </w:tc>
        <w:tc>
          <w:tcPr>
            <w:tcW w:w="3119" w:type="dxa"/>
          </w:tcPr>
          <w:p w14:paraId="0B2B25CF"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95</w:t>
            </w:r>
          </w:p>
        </w:tc>
      </w:tr>
      <w:tr w:rsidR="00F01031" w:rsidRPr="00DC3638" w14:paraId="32C15EFC" w14:textId="77777777" w:rsidTr="00A46EE0">
        <w:tc>
          <w:tcPr>
            <w:tcW w:w="3118" w:type="dxa"/>
            <w:tcBorders>
              <w:bottom w:val="single" w:sz="4" w:space="0" w:color="auto"/>
            </w:tcBorders>
          </w:tcPr>
          <w:p w14:paraId="34CE1DE3"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230</w:t>
            </w:r>
          </w:p>
        </w:tc>
        <w:tc>
          <w:tcPr>
            <w:tcW w:w="3119" w:type="dxa"/>
            <w:tcBorders>
              <w:bottom w:val="single" w:sz="4" w:space="0" w:color="auto"/>
            </w:tcBorders>
          </w:tcPr>
          <w:p w14:paraId="625D5CE3"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90</w:t>
            </w:r>
          </w:p>
        </w:tc>
      </w:tr>
      <w:tr w:rsidR="00F01031" w:rsidRPr="00DC3638" w14:paraId="4A911716" w14:textId="77777777" w:rsidTr="00A46EE0">
        <w:tc>
          <w:tcPr>
            <w:tcW w:w="3118" w:type="dxa"/>
            <w:tcBorders>
              <w:bottom w:val="single" w:sz="12" w:space="0" w:color="auto"/>
            </w:tcBorders>
          </w:tcPr>
          <w:p w14:paraId="3F65C050"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240</w:t>
            </w:r>
          </w:p>
        </w:tc>
        <w:tc>
          <w:tcPr>
            <w:tcW w:w="3119" w:type="dxa"/>
            <w:tcBorders>
              <w:bottom w:val="single" w:sz="12" w:space="0" w:color="auto"/>
            </w:tcBorders>
          </w:tcPr>
          <w:p w14:paraId="3D8FA3F1"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85</w:t>
            </w:r>
          </w:p>
        </w:tc>
      </w:tr>
    </w:tbl>
    <w:p w14:paraId="3B2F8C39" w14:textId="77777777" w:rsidR="00F01031" w:rsidRPr="007203A1" w:rsidRDefault="00F01031" w:rsidP="00F01031">
      <w:pPr>
        <w:pStyle w:val="SingleTxtG"/>
        <w:spacing w:before="240"/>
        <w:ind w:left="2268"/>
        <w:rPr>
          <w:color w:val="000000"/>
        </w:rPr>
      </w:pPr>
      <w:r w:rsidRPr="007203A1">
        <w:t>Pour des vitesses maximales en utilisation intermédiaires, des interpolations linéaires de l</w:t>
      </w:r>
      <w:r>
        <w:t>’</w:t>
      </w:r>
      <w:r w:rsidRPr="007203A1">
        <w:t>indice de charge maximale sont permises.</w:t>
      </w:r>
      <w:r w:rsidRPr="00DC3638">
        <w:t> »</w:t>
      </w:r>
      <w:r>
        <w:t>.</w:t>
      </w:r>
    </w:p>
    <w:bookmarkEnd w:id="1"/>
    <w:p w14:paraId="2A232965" w14:textId="77777777" w:rsidR="00F01031" w:rsidRPr="00DC3638" w:rsidRDefault="00F01031" w:rsidP="005912C9">
      <w:pPr>
        <w:pStyle w:val="SingleTxtG"/>
        <w:keepNext/>
        <w:rPr>
          <w:i/>
        </w:rPr>
      </w:pPr>
      <w:r w:rsidRPr="00F01031">
        <w:rPr>
          <w:i/>
        </w:rPr>
        <w:t>Ajouter les nouveaux paragraphes 2.36.4, 2.36.5 et 2.36.6</w:t>
      </w:r>
      <w:r w:rsidRPr="00DC3638">
        <w:t>, libellés comme suit </w:t>
      </w:r>
      <w:r w:rsidR="005912C9">
        <w:t>:</w:t>
      </w:r>
    </w:p>
    <w:p w14:paraId="21F7D47F" w14:textId="77777777" w:rsidR="00F01031" w:rsidRPr="007203A1" w:rsidRDefault="00F01031" w:rsidP="00F01031">
      <w:pPr>
        <w:pStyle w:val="SingleTxtG"/>
        <w:ind w:left="2268" w:hanging="1134"/>
      </w:pPr>
      <w:r w:rsidRPr="00DC3638">
        <w:rPr>
          <w:rFonts w:eastAsia="Times New Roman"/>
          <w:bCs/>
        </w:rPr>
        <w:t>« </w:t>
      </w:r>
      <w:r w:rsidRPr="007203A1">
        <w:rPr>
          <w:rFonts w:eastAsia="Times New Roman"/>
          <w:bCs/>
        </w:rPr>
        <w:t>2.36.4</w:t>
      </w:r>
      <w:r>
        <w:rPr>
          <w:rFonts w:eastAsia="Times New Roman"/>
        </w:rPr>
        <w:tab/>
      </w:r>
      <w:r w:rsidRPr="007203A1">
        <w:rPr>
          <w:rFonts w:eastAsia="Times New Roman"/>
          <w:bCs/>
        </w:rPr>
        <w:t>Pour les pneumatiques marqués du symbole de catégorie de vitesse</w:t>
      </w:r>
      <w:r w:rsidR="00B76070">
        <w:rPr>
          <w:rFonts w:eastAsia="Times New Roman"/>
          <w:bCs/>
        </w:rPr>
        <w:t xml:space="preserve"> </w:t>
      </w:r>
      <w:r w:rsidRPr="007203A1">
        <w:rPr>
          <w:rFonts w:eastAsia="Times New Roman"/>
          <w:bCs/>
        </w:rPr>
        <w:t>“V” et identifiés par la lettre de code</w:t>
      </w:r>
      <w:r w:rsidR="00B76070">
        <w:rPr>
          <w:rFonts w:eastAsia="Times New Roman"/>
          <w:bCs/>
        </w:rPr>
        <w:t xml:space="preserve"> </w:t>
      </w:r>
      <w:r w:rsidRPr="007203A1">
        <w:rPr>
          <w:rFonts w:eastAsia="Times New Roman"/>
          <w:bCs/>
        </w:rPr>
        <w:t>“V” utilisés à des vitesses supérieures à 240</w:t>
      </w:r>
      <w:r w:rsidR="00B76070">
        <w:rPr>
          <w:rFonts w:eastAsia="Times New Roman"/>
          <w:bCs/>
        </w:rPr>
        <w:t> </w:t>
      </w:r>
      <w:r w:rsidRPr="007203A1">
        <w:rPr>
          <w:rFonts w:eastAsia="Times New Roman"/>
          <w:bCs/>
        </w:rPr>
        <w:t>km/h mais inférieures à 270 km/h, la limite de charge maximale ne doit pas dépasser le pourcentage de la masse, correspondant à l</w:t>
      </w:r>
      <w:r>
        <w:rPr>
          <w:rFonts w:eastAsia="Times New Roman"/>
          <w:bCs/>
        </w:rPr>
        <w:t>’</w:t>
      </w:r>
      <w:r w:rsidRPr="007203A1">
        <w:rPr>
          <w:rFonts w:eastAsia="Times New Roman"/>
          <w:bCs/>
        </w:rPr>
        <w:t>indice de charge maximale du pneumatique, indiqué dans le tableau ci-après en référence à la vitesse que peut atteindre le véhicule sur lequel il est monté</w:t>
      </w:r>
      <w:r w:rsidR="00B76070">
        <w:rPr>
          <w:rFonts w:eastAsia="Times New Roman"/>
          <w:bCs/>
        </w:rPr>
        <w:t> :</w:t>
      </w:r>
      <w:r>
        <w:rPr>
          <w:rFonts w:eastAsia="Times New Roman"/>
          <w:bCs/>
        </w:rPr>
        <w:t xml:space="preserve"> </w:t>
      </w:r>
    </w:p>
    <w:tbl>
      <w:tblPr>
        <w:tblStyle w:val="Grilledutableau1"/>
        <w:tblW w:w="0" w:type="auto"/>
        <w:tblInd w:w="2268" w:type="dxa"/>
        <w:tblLayout w:type="fixed"/>
        <w:tblCellMar>
          <w:left w:w="0" w:type="dxa"/>
          <w:right w:w="0" w:type="dxa"/>
        </w:tblCellMar>
        <w:tblLook w:val="04A0" w:firstRow="1" w:lastRow="0" w:firstColumn="1" w:lastColumn="0" w:noHBand="0" w:noVBand="1"/>
      </w:tblPr>
      <w:tblGrid>
        <w:gridCol w:w="3020"/>
        <w:gridCol w:w="3217"/>
      </w:tblGrid>
      <w:tr w:rsidR="00F01031" w:rsidRPr="00DC3638" w14:paraId="2D705FFA" w14:textId="77777777" w:rsidTr="00A46EE0">
        <w:trPr>
          <w:trHeight w:val="454"/>
        </w:trPr>
        <w:tc>
          <w:tcPr>
            <w:tcW w:w="3020" w:type="dxa"/>
            <w:tcBorders>
              <w:bottom w:val="single" w:sz="12" w:space="0" w:color="auto"/>
            </w:tcBorders>
          </w:tcPr>
          <w:p w14:paraId="3B9FC695" w14:textId="77777777" w:rsidR="00F01031" w:rsidRPr="00DC3638" w:rsidRDefault="00F01031" w:rsidP="00A46EE0">
            <w:pPr>
              <w:suppressAutoHyphens w:val="0"/>
              <w:kinsoku/>
              <w:overflowPunct/>
              <w:snapToGrid/>
              <w:spacing w:before="60" w:after="60" w:line="200" w:lineRule="exact"/>
              <w:ind w:left="57" w:right="57"/>
              <w:jc w:val="center"/>
              <w:rPr>
                <w:b/>
                <w:i/>
                <w:iCs/>
                <w:color w:val="000000"/>
                <w:sz w:val="16"/>
                <w:szCs w:val="16"/>
              </w:rPr>
            </w:pPr>
            <w:r w:rsidRPr="00DC3638">
              <w:rPr>
                <w:b/>
                <w:bCs/>
                <w:i/>
                <w:iCs/>
                <w:sz w:val="16"/>
                <w:szCs w:val="16"/>
              </w:rPr>
              <w:t xml:space="preserve">Vitesse maximale en utilisation </w:t>
            </w:r>
            <w:r w:rsidRPr="00DC3638">
              <w:rPr>
                <w:b/>
                <w:i/>
                <w:iCs/>
                <w:color w:val="000000"/>
                <w:sz w:val="16"/>
                <w:szCs w:val="16"/>
              </w:rPr>
              <w:br/>
            </w:r>
            <w:r w:rsidRPr="00DC3638">
              <w:rPr>
                <w:b/>
                <w:bCs/>
                <w:i/>
                <w:iCs/>
                <w:sz w:val="16"/>
                <w:szCs w:val="16"/>
              </w:rPr>
              <w:t>(km/h)</w:t>
            </w:r>
          </w:p>
        </w:tc>
        <w:tc>
          <w:tcPr>
            <w:tcW w:w="3217" w:type="dxa"/>
            <w:tcBorders>
              <w:bottom w:val="single" w:sz="12" w:space="0" w:color="auto"/>
            </w:tcBorders>
          </w:tcPr>
          <w:p w14:paraId="7B920FAD" w14:textId="77777777" w:rsidR="00F01031" w:rsidRPr="00DC3638" w:rsidRDefault="00F01031" w:rsidP="00A46EE0">
            <w:pPr>
              <w:suppressAutoHyphens w:val="0"/>
              <w:kinsoku/>
              <w:overflowPunct/>
              <w:snapToGrid/>
              <w:spacing w:before="60" w:after="60" w:line="200" w:lineRule="exact"/>
              <w:ind w:left="57" w:right="57"/>
              <w:jc w:val="center"/>
              <w:rPr>
                <w:b/>
                <w:i/>
                <w:iCs/>
                <w:color w:val="000000"/>
                <w:sz w:val="16"/>
                <w:szCs w:val="16"/>
                <w:lang w:val="fr-CH"/>
              </w:rPr>
            </w:pPr>
            <w:r w:rsidRPr="00DC3638">
              <w:rPr>
                <w:b/>
                <w:bCs/>
                <w:i/>
                <w:iCs/>
                <w:sz w:val="16"/>
                <w:szCs w:val="16"/>
              </w:rPr>
              <w:t xml:space="preserve">Indice de charge maximale </w:t>
            </w:r>
            <w:r w:rsidRPr="00DC3638">
              <w:rPr>
                <w:b/>
                <w:i/>
                <w:iCs/>
                <w:color w:val="000000"/>
                <w:sz w:val="16"/>
                <w:szCs w:val="16"/>
                <w:lang w:val="fr-CH"/>
              </w:rPr>
              <w:br/>
            </w:r>
            <w:r w:rsidRPr="00DC3638">
              <w:rPr>
                <w:b/>
                <w:sz w:val="16"/>
                <w:szCs w:val="16"/>
              </w:rPr>
              <w:t>(%)</w:t>
            </w:r>
          </w:p>
        </w:tc>
      </w:tr>
      <w:tr w:rsidR="00F01031" w:rsidRPr="00DC3638" w14:paraId="2460C76F" w14:textId="77777777" w:rsidTr="00A46EE0">
        <w:trPr>
          <w:trHeight w:val="323"/>
        </w:trPr>
        <w:tc>
          <w:tcPr>
            <w:tcW w:w="3020" w:type="dxa"/>
            <w:tcBorders>
              <w:top w:val="single" w:sz="12" w:space="0" w:color="auto"/>
            </w:tcBorders>
          </w:tcPr>
          <w:p w14:paraId="4B1EC4AC"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240</w:t>
            </w:r>
          </w:p>
        </w:tc>
        <w:tc>
          <w:tcPr>
            <w:tcW w:w="3217" w:type="dxa"/>
            <w:tcBorders>
              <w:top w:val="single" w:sz="12" w:space="0" w:color="auto"/>
            </w:tcBorders>
          </w:tcPr>
          <w:p w14:paraId="766BE5EE"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85</w:t>
            </w:r>
          </w:p>
        </w:tc>
      </w:tr>
      <w:tr w:rsidR="00F01031" w:rsidRPr="00DC3638" w14:paraId="30962911" w14:textId="77777777" w:rsidTr="00A46EE0">
        <w:trPr>
          <w:trHeight w:val="285"/>
        </w:trPr>
        <w:tc>
          <w:tcPr>
            <w:tcW w:w="3020" w:type="dxa"/>
          </w:tcPr>
          <w:p w14:paraId="2FCFBD6D"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250</w:t>
            </w:r>
          </w:p>
        </w:tc>
        <w:tc>
          <w:tcPr>
            <w:tcW w:w="3217" w:type="dxa"/>
          </w:tcPr>
          <w:p w14:paraId="4FA2B8BE" w14:textId="77777777" w:rsidR="00F01031" w:rsidRPr="00DC3638" w:rsidRDefault="00F01031" w:rsidP="00A46EE0">
            <w:pPr>
              <w:suppressAutoHyphens w:val="0"/>
              <w:kinsoku/>
              <w:overflowPunct/>
              <w:snapToGrid/>
              <w:spacing w:before="60" w:after="60"/>
              <w:ind w:left="57" w:right="57"/>
              <w:jc w:val="center"/>
              <w:rPr>
                <w:iCs/>
                <w:color w:val="000000"/>
              </w:rPr>
            </w:pPr>
            <w:r w:rsidRPr="00DC3638">
              <w:rPr>
                <w:iCs/>
                <w:color w:val="000000"/>
              </w:rPr>
              <w:t>80*</w:t>
            </w:r>
          </w:p>
        </w:tc>
      </w:tr>
      <w:tr w:rsidR="00F01031" w:rsidRPr="00DC3638" w14:paraId="7B98350C" w14:textId="77777777" w:rsidTr="00A46EE0">
        <w:trPr>
          <w:trHeight w:val="262"/>
        </w:trPr>
        <w:tc>
          <w:tcPr>
            <w:tcW w:w="3020" w:type="dxa"/>
          </w:tcPr>
          <w:p w14:paraId="0BB23510"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260</w:t>
            </w:r>
          </w:p>
        </w:tc>
        <w:tc>
          <w:tcPr>
            <w:tcW w:w="3217" w:type="dxa"/>
          </w:tcPr>
          <w:p w14:paraId="4EAA7004" w14:textId="77777777" w:rsidR="00F01031" w:rsidRPr="00DC3638" w:rsidRDefault="00F01031" w:rsidP="00A46EE0">
            <w:pPr>
              <w:suppressAutoHyphens w:val="0"/>
              <w:kinsoku/>
              <w:overflowPunct/>
              <w:snapToGrid/>
              <w:spacing w:before="60" w:after="60"/>
              <w:ind w:left="57" w:right="57"/>
              <w:jc w:val="center"/>
              <w:rPr>
                <w:iCs/>
                <w:color w:val="000000"/>
              </w:rPr>
            </w:pPr>
            <w:r w:rsidRPr="00DC3638">
              <w:rPr>
                <w:iCs/>
                <w:color w:val="000000"/>
              </w:rPr>
              <w:t>75*</w:t>
            </w:r>
          </w:p>
        </w:tc>
      </w:tr>
      <w:tr w:rsidR="00F01031" w:rsidRPr="00DC3638" w14:paraId="4432A3FE" w14:textId="77777777" w:rsidTr="00A46EE0">
        <w:tc>
          <w:tcPr>
            <w:tcW w:w="3020" w:type="dxa"/>
            <w:tcBorders>
              <w:bottom w:val="single" w:sz="4" w:space="0" w:color="auto"/>
            </w:tcBorders>
          </w:tcPr>
          <w:p w14:paraId="19380745"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270</w:t>
            </w:r>
          </w:p>
        </w:tc>
        <w:tc>
          <w:tcPr>
            <w:tcW w:w="3217" w:type="dxa"/>
            <w:tcBorders>
              <w:bottom w:val="single" w:sz="4" w:space="0" w:color="auto"/>
            </w:tcBorders>
          </w:tcPr>
          <w:p w14:paraId="157BA9ED" w14:textId="77777777" w:rsidR="00F01031" w:rsidRPr="00DC3638" w:rsidRDefault="00F01031" w:rsidP="00A46EE0">
            <w:pPr>
              <w:suppressAutoHyphens w:val="0"/>
              <w:kinsoku/>
              <w:overflowPunct/>
              <w:snapToGrid/>
              <w:spacing w:before="60" w:after="60"/>
              <w:ind w:left="57" w:right="57"/>
              <w:jc w:val="center"/>
              <w:rPr>
                <w:iCs/>
                <w:color w:val="000000"/>
              </w:rPr>
            </w:pPr>
            <w:r w:rsidRPr="00DC3638">
              <w:rPr>
                <w:iCs/>
                <w:color w:val="000000"/>
              </w:rPr>
              <w:t>70*</w:t>
            </w:r>
          </w:p>
        </w:tc>
      </w:tr>
      <w:tr w:rsidR="00F01031" w:rsidRPr="00DC3638" w14:paraId="1511F678" w14:textId="77777777" w:rsidTr="00A46EE0">
        <w:tc>
          <w:tcPr>
            <w:tcW w:w="6237" w:type="dxa"/>
            <w:gridSpan w:val="2"/>
            <w:tcBorders>
              <w:bottom w:val="single" w:sz="12" w:space="0" w:color="auto"/>
            </w:tcBorders>
          </w:tcPr>
          <w:p w14:paraId="65CA1845" w14:textId="77777777" w:rsidR="00F01031" w:rsidRPr="00DC3638" w:rsidRDefault="00F01031" w:rsidP="005912C9">
            <w:pPr>
              <w:suppressAutoHyphens w:val="0"/>
              <w:kinsoku/>
              <w:overflowPunct/>
              <w:snapToGrid/>
              <w:spacing w:before="60" w:after="60" w:line="220" w:lineRule="atLeast"/>
              <w:ind w:left="57" w:right="57" w:firstLine="170"/>
              <w:rPr>
                <w:iCs/>
                <w:color w:val="000000"/>
                <w:sz w:val="18"/>
                <w:szCs w:val="18"/>
                <w:lang w:val="fr-CH"/>
              </w:rPr>
            </w:pPr>
            <w:r w:rsidRPr="005912C9">
              <w:t xml:space="preserve">* </w:t>
            </w:r>
            <w:r w:rsidR="005912C9" w:rsidRPr="005912C9">
              <w:t xml:space="preserve"> </w:t>
            </w:r>
            <w:r w:rsidRPr="005912C9">
              <w:rPr>
                <w:spacing w:val="-2"/>
                <w:sz w:val="18"/>
                <w:szCs w:val="18"/>
              </w:rPr>
              <w:t>S’applique jusqu’à la vitesse maximale spécifiée par le fabricant du pneumatique. Cette vitesse maximale doit être inférieure à 270 km/h.</w:t>
            </w:r>
          </w:p>
        </w:tc>
      </w:tr>
    </w:tbl>
    <w:p w14:paraId="6D29268B" w14:textId="77777777" w:rsidR="00F01031" w:rsidRPr="007203A1" w:rsidRDefault="00F01031" w:rsidP="00F01031">
      <w:pPr>
        <w:pStyle w:val="SingleTxtG"/>
        <w:spacing w:before="240"/>
        <w:ind w:left="2268"/>
      </w:pPr>
      <w:r w:rsidRPr="007203A1">
        <w:rPr>
          <w:rFonts w:eastAsia="Times New Roman"/>
          <w:bCs/>
        </w:rPr>
        <w:t>Pour des vitesses maximales en utilisation intermédiaires, des interpolations linéaires de l</w:t>
      </w:r>
      <w:r>
        <w:rPr>
          <w:rFonts w:eastAsia="Times New Roman"/>
          <w:bCs/>
        </w:rPr>
        <w:t>’</w:t>
      </w:r>
      <w:r w:rsidRPr="007203A1">
        <w:rPr>
          <w:rFonts w:eastAsia="Times New Roman"/>
          <w:bCs/>
        </w:rPr>
        <w:t>indice de charge maximale sont permises.</w:t>
      </w:r>
    </w:p>
    <w:p w14:paraId="5EB8913D" w14:textId="77777777" w:rsidR="00F01031" w:rsidRPr="007203A1" w:rsidRDefault="00F01031" w:rsidP="00994729">
      <w:pPr>
        <w:pStyle w:val="SingleTxtG"/>
        <w:keepLines/>
        <w:ind w:left="2268" w:hanging="1134"/>
      </w:pPr>
      <w:r w:rsidRPr="007203A1">
        <w:rPr>
          <w:rFonts w:eastAsia="Times New Roman"/>
          <w:bCs/>
        </w:rPr>
        <w:lastRenderedPageBreak/>
        <w:t>2.36.5</w:t>
      </w:r>
      <w:r>
        <w:rPr>
          <w:rFonts w:eastAsia="Times New Roman"/>
        </w:rPr>
        <w:tab/>
      </w:r>
      <w:r w:rsidRPr="007203A1">
        <w:rPr>
          <w:rFonts w:eastAsia="Times New Roman"/>
          <w:bCs/>
        </w:rPr>
        <w:t>Pour les pneumatiques marqués du symbole de catégorie de vitesse</w:t>
      </w:r>
      <w:r w:rsidR="00B76070">
        <w:rPr>
          <w:rFonts w:eastAsia="Times New Roman"/>
          <w:bCs/>
        </w:rPr>
        <w:t xml:space="preserve"> </w:t>
      </w:r>
      <w:r w:rsidRPr="007203A1">
        <w:rPr>
          <w:rFonts w:eastAsia="Times New Roman"/>
          <w:bCs/>
        </w:rPr>
        <w:t>“W” et identifiés par la lettre de code</w:t>
      </w:r>
      <w:r w:rsidR="00B76070">
        <w:rPr>
          <w:rFonts w:eastAsia="Times New Roman"/>
          <w:bCs/>
        </w:rPr>
        <w:t xml:space="preserve"> </w:t>
      </w:r>
      <w:r w:rsidRPr="007203A1">
        <w:rPr>
          <w:rFonts w:eastAsia="Times New Roman"/>
          <w:bCs/>
        </w:rPr>
        <w:t>“Z” conçus pour être utilisés jusqu</w:t>
      </w:r>
      <w:r>
        <w:rPr>
          <w:rFonts w:eastAsia="Times New Roman"/>
          <w:bCs/>
        </w:rPr>
        <w:t>’</w:t>
      </w:r>
      <w:r w:rsidRPr="007203A1">
        <w:rPr>
          <w:rFonts w:eastAsia="Times New Roman"/>
          <w:bCs/>
        </w:rPr>
        <w:t>à des vitesses supérieures ou égales à 270 km/h, la limite de charge maximale ne doit pas dépasser le pourcentage de la masse, correspondant à l</w:t>
      </w:r>
      <w:r>
        <w:rPr>
          <w:rFonts w:eastAsia="Times New Roman"/>
          <w:bCs/>
        </w:rPr>
        <w:t>’</w:t>
      </w:r>
      <w:r w:rsidRPr="007203A1">
        <w:rPr>
          <w:rFonts w:eastAsia="Times New Roman"/>
          <w:bCs/>
        </w:rPr>
        <w:t>indice de charge maximale du pneumatique, indiqué dans le tableau ci-après en référence à la vitesse que peut atteindre le véhicule sur lequel il est monté</w:t>
      </w:r>
      <w:r w:rsidR="00B76070">
        <w:rPr>
          <w:rFonts w:eastAsia="Times New Roman"/>
          <w:bCs/>
        </w:rPr>
        <w:t> :</w:t>
      </w:r>
    </w:p>
    <w:tbl>
      <w:tblPr>
        <w:tblStyle w:val="Grilledutableau1"/>
        <w:tblW w:w="0" w:type="auto"/>
        <w:tblInd w:w="2268" w:type="dxa"/>
        <w:tblLayout w:type="fixed"/>
        <w:tblCellMar>
          <w:left w:w="0" w:type="dxa"/>
          <w:right w:w="0" w:type="dxa"/>
        </w:tblCellMar>
        <w:tblLook w:val="04A0" w:firstRow="1" w:lastRow="0" w:firstColumn="1" w:lastColumn="0" w:noHBand="0" w:noVBand="1"/>
      </w:tblPr>
      <w:tblGrid>
        <w:gridCol w:w="3119"/>
        <w:gridCol w:w="3118"/>
      </w:tblGrid>
      <w:tr w:rsidR="00F01031" w:rsidRPr="00DC3638" w14:paraId="488515A2" w14:textId="77777777" w:rsidTr="00A46EE0">
        <w:tc>
          <w:tcPr>
            <w:tcW w:w="3119" w:type="dxa"/>
            <w:tcBorders>
              <w:bottom w:val="single" w:sz="12" w:space="0" w:color="auto"/>
            </w:tcBorders>
          </w:tcPr>
          <w:p w14:paraId="69A8BCFB" w14:textId="77777777" w:rsidR="00F01031" w:rsidRPr="00DC3638" w:rsidRDefault="00F01031" w:rsidP="00A46EE0">
            <w:pPr>
              <w:suppressAutoHyphens w:val="0"/>
              <w:kinsoku/>
              <w:overflowPunct/>
              <w:snapToGrid/>
              <w:spacing w:before="60" w:after="60" w:line="200" w:lineRule="exact"/>
              <w:ind w:left="57" w:right="57"/>
              <w:jc w:val="center"/>
              <w:rPr>
                <w:b/>
                <w:i/>
                <w:iCs/>
                <w:color w:val="000000"/>
                <w:sz w:val="16"/>
                <w:szCs w:val="16"/>
              </w:rPr>
            </w:pPr>
            <w:r w:rsidRPr="00DC3638">
              <w:rPr>
                <w:b/>
                <w:bCs/>
                <w:i/>
                <w:iCs/>
                <w:sz w:val="16"/>
                <w:szCs w:val="16"/>
              </w:rPr>
              <w:t xml:space="preserve">Vitesse maximale en utilisation </w:t>
            </w:r>
            <w:r w:rsidRPr="00DC3638">
              <w:rPr>
                <w:b/>
                <w:i/>
                <w:iCs/>
                <w:color w:val="000000"/>
                <w:sz w:val="16"/>
                <w:szCs w:val="16"/>
              </w:rPr>
              <w:br/>
            </w:r>
            <w:r w:rsidRPr="00DC3638">
              <w:rPr>
                <w:b/>
                <w:bCs/>
                <w:i/>
                <w:iCs/>
                <w:sz w:val="16"/>
                <w:szCs w:val="16"/>
              </w:rPr>
              <w:t>(km/h)</w:t>
            </w:r>
          </w:p>
        </w:tc>
        <w:tc>
          <w:tcPr>
            <w:tcW w:w="3118" w:type="dxa"/>
            <w:tcBorders>
              <w:bottom w:val="single" w:sz="12" w:space="0" w:color="auto"/>
            </w:tcBorders>
          </w:tcPr>
          <w:p w14:paraId="0966D1A3" w14:textId="77777777" w:rsidR="00F01031" w:rsidRPr="00DC3638" w:rsidRDefault="00F01031" w:rsidP="00A46EE0">
            <w:pPr>
              <w:suppressAutoHyphens w:val="0"/>
              <w:kinsoku/>
              <w:overflowPunct/>
              <w:snapToGrid/>
              <w:spacing w:before="60" w:after="60" w:line="200" w:lineRule="exact"/>
              <w:ind w:left="57" w:right="57"/>
              <w:jc w:val="center"/>
              <w:rPr>
                <w:b/>
                <w:i/>
                <w:iCs/>
                <w:color w:val="000000"/>
                <w:sz w:val="16"/>
                <w:szCs w:val="16"/>
                <w:lang w:val="fr-CH"/>
              </w:rPr>
            </w:pPr>
            <w:r w:rsidRPr="00DC3638">
              <w:rPr>
                <w:b/>
                <w:bCs/>
                <w:i/>
                <w:iCs/>
                <w:sz w:val="16"/>
                <w:szCs w:val="16"/>
              </w:rPr>
              <w:t xml:space="preserve">Indice </w:t>
            </w:r>
            <w:bookmarkStart w:id="3" w:name="_Hlk530675444"/>
            <w:r w:rsidRPr="00DC3638">
              <w:rPr>
                <w:b/>
                <w:bCs/>
                <w:i/>
                <w:iCs/>
                <w:sz w:val="16"/>
                <w:szCs w:val="16"/>
              </w:rPr>
              <w:t>de charge maximale</w:t>
            </w:r>
            <w:bookmarkEnd w:id="3"/>
            <w:r w:rsidRPr="00DC3638">
              <w:rPr>
                <w:b/>
                <w:bCs/>
                <w:i/>
                <w:iCs/>
                <w:sz w:val="16"/>
                <w:szCs w:val="16"/>
              </w:rPr>
              <w:t xml:space="preserve"> </w:t>
            </w:r>
            <w:r w:rsidRPr="00DC3638">
              <w:rPr>
                <w:b/>
                <w:i/>
                <w:iCs/>
                <w:color w:val="000000"/>
                <w:sz w:val="16"/>
                <w:szCs w:val="16"/>
                <w:lang w:val="fr-CH"/>
              </w:rPr>
              <w:br/>
            </w:r>
            <w:r w:rsidRPr="007203A1">
              <w:rPr>
                <w:b/>
                <w:sz w:val="16"/>
                <w:szCs w:val="16"/>
              </w:rPr>
              <w:t>(%)</w:t>
            </w:r>
          </w:p>
        </w:tc>
      </w:tr>
      <w:tr w:rsidR="00F01031" w:rsidRPr="00DC3638" w14:paraId="25F4FD8D" w14:textId="77777777" w:rsidTr="00A46EE0">
        <w:tc>
          <w:tcPr>
            <w:tcW w:w="3119" w:type="dxa"/>
            <w:tcBorders>
              <w:top w:val="single" w:sz="12" w:space="0" w:color="auto"/>
            </w:tcBorders>
          </w:tcPr>
          <w:p w14:paraId="349BC344"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240</w:t>
            </w:r>
          </w:p>
        </w:tc>
        <w:tc>
          <w:tcPr>
            <w:tcW w:w="3118" w:type="dxa"/>
            <w:tcBorders>
              <w:top w:val="single" w:sz="12" w:space="0" w:color="auto"/>
            </w:tcBorders>
          </w:tcPr>
          <w:p w14:paraId="569ED241"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100</w:t>
            </w:r>
          </w:p>
        </w:tc>
      </w:tr>
      <w:tr w:rsidR="00F01031" w:rsidRPr="00DC3638" w14:paraId="7B7DBEE6" w14:textId="77777777" w:rsidTr="00A46EE0">
        <w:tc>
          <w:tcPr>
            <w:tcW w:w="3119" w:type="dxa"/>
          </w:tcPr>
          <w:p w14:paraId="42AFE051"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250</w:t>
            </w:r>
          </w:p>
        </w:tc>
        <w:tc>
          <w:tcPr>
            <w:tcW w:w="3118" w:type="dxa"/>
          </w:tcPr>
          <w:p w14:paraId="703D51F3"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95</w:t>
            </w:r>
          </w:p>
        </w:tc>
      </w:tr>
      <w:tr w:rsidR="00F01031" w:rsidRPr="00DC3638" w14:paraId="22DE1042" w14:textId="77777777" w:rsidTr="00A46EE0">
        <w:tc>
          <w:tcPr>
            <w:tcW w:w="3119" w:type="dxa"/>
            <w:tcBorders>
              <w:bottom w:val="single" w:sz="4" w:space="0" w:color="auto"/>
            </w:tcBorders>
          </w:tcPr>
          <w:p w14:paraId="221185DA"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260</w:t>
            </w:r>
          </w:p>
        </w:tc>
        <w:tc>
          <w:tcPr>
            <w:tcW w:w="3118" w:type="dxa"/>
            <w:tcBorders>
              <w:bottom w:val="single" w:sz="4" w:space="0" w:color="auto"/>
            </w:tcBorders>
          </w:tcPr>
          <w:p w14:paraId="1548BF42"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85</w:t>
            </w:r>
          </w:p>
        </w:tc>
      </w:tr>
      <w:tr w:rsidR="00F01031" w:rsidRPr="00DC3638" w14:paraId="0D88EAE0" w14:textId="77777777" w:rsidTr="00A46EE0">
        <w:tc>
          <w:tcPr>
            <w:tcW w:w="3119" w:type="dxa"/>
            <w:tcBorders>
              <w:bottom w:val="single" w:sz="12" w:space="0" w:color="auto"/>
            </w:tcBorders>
          </w:tcPr>
          <w:p w14:paraId="3C22802E"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270</w:t>
            </w:r>
          </w:p>
        </w:tc>
        <w:tc>
          <w:tcPr>
            <w:tcW w:w="3118" w:type="dxa"/>
            <w:tcBorders>
              <w:bottom w:val="single" w:sz="12" w:space="0" w:color="auto"/>
            </w:tcBorders>
          </w:tcPr>
          <w:p w14:paraId="129C3423" w14:textId="77777777" w:rsidR="00F01031" w:rsidRPr="00DC3638" w:rsidRDefault="00F01031" w:rsidP="00A46EE0">
            <w:pPr>
              <w:suppressAutoHyphens w:val="0"/>
              <w:kinsoku/>
              <w:overflowPunct/>
              <w:snapToGrid/>
              <w:spacing w:before="60" w:after="60"/>
              <w:ind w:left="57" w:right="57"/>
              <w:jc w:val="center"/>
              <w:rPr>
                <w:iCs/>
                <w:color w:val="000000"/>
                <w:lang w:val="fr-CH"/>
              </w:rPr>
            </w:pPr>
            <w:r w:rsidRPr="00DC3638">
              <w:t>75</w:t>
            </w:r>
          </w:p>
        </w:tc>
      </w:tr>
    </w:tbl>
    <w:p w14:paraId="58A743C7" w14:textId="77777777" w:rsidR="00F01031" w:rsidRPr="007203A1" w:rsidRDefault="00F01031" w:rsidP="00F01031">
      <w:pPr>
        <w:pStyle w:val="SingleTxtG"/>
        <w:spacing w:before="240"/>
        <w:ind w:left="2268"/>
      </w:pPr>
      <w:r w:rsidRPr="007203A1">
        <w:rPr>
          <w:rFonts w:eastAsia="Times New Roman"/>
          <w:bCs/>
        </w:rPr>
        <w:t>Pour des vitesses maximales en utilisation intermédiaires, des interpolations linéaires de l</w:t>
      </w:r>
      <w:r>
        <w:rPr>
          <w:rFonts w:eastAsia="Times New Roman"/>
          <w:bCs/>
        </w:rPr>
        <w:t>’</w:t>
      </w:r>
      <w:r w:rsidRPr="007203A1">
        <w:rPr>
          <w:rFonts w:eastAsia="Times New Roman"/>
          <w:bCs/>
        </w:rPr>
        <w:t>indice de charge maximale sont permises.</w:t>
      </w:r>
    </w:p>
    <w:p w14:paraId="23E0102C" w14:textId="77777777" w:rsidR="00F01031" w:rsidRDefault="00F01031" w:rsidP="005912C9">
      <w:pPr>
        <w:pStyle w:val="SingleTxtG"/>
        <w:keepNext/>
      </w:pPr>
      <w:r w:rsidRPr="00F01031">
        <w:rPr>
          <w:i/>
        </w:rPr>
        <w:t>Le paragraphe 2.36.4 devient le 2.36.6</w:t>
      </w:r>
      <w:r w:rsidRPr="00DC3638">
        <w:t xml:space="preserve"> et se lit comme suit</w:t>
      </w:r>
      <w:r w:rsidR="00B76070">
        <w:t> :</w:t>
      </w:r>
    </w:p>
    <w:p w14:paraId="65D92A85" w14:textId="77777777" w:rsidR="00F01031" w:rsidRPr="00DC3638" w:rsidRDefault="00F01031" w:rsidP="00F01031">
      <w:pPr>
        <w:pStyle w:val="SingleTxtG"/>
        <w:ind w:left="2268" w:hanging="1134"/>
        <w:rPr>
          <w:strike/>
        </w:rPr>
      </w:pPr>
      <w:r w:rsidRPr="00DC3638">
        <w:rPr>
          <w:rFonts w:eastAsia="Times New Roman"/>
        </w:rPr>
        <w:t>« 2.36.</w:t>
      </w:r>
      <w:r w:rsidRPr="007203A1">
        <w:rPr>
          <w:rFonts w:eastAsia="Times New Roman"/>
          <w:bCs/>
        </w:rPr>
        <w:t>6</w:t>
      </w:r>
      <w:r>
        <w:rPr>
          <w:rFonts w:eastAsia="Times New Roman"/>
        </w:rPr>
        <w:tab/>
      </w:r>
      <w:r w:rsidRPr="00DC3638">
        <w:rPr>
          <w:rFonts w:eastAsia="Times New Roman"/>
          <w:bCs/>
        </w:rPr>
        <w:t xml:space="preserve">Pour </w:t>
      </w:r>
      <w:r w:rsidRPr="007203A1">
        <w:rPr>
          <w:rFonts w:eastAsia="Times New Roman"/>
          <w:bCs/>
        </w:rPr>
        <w:t>les pneumatiques marqués du symbole de catégorie de vitesse</w:t>
      </w:r>
      <w:r w:rsidR="00B76070">
        <w:rPr>
          <w:rFonts w:eastAsia="Times New Roman"/>
          <w:bCs/>
        </w:rPr>
        <w:t xml:space="preserve"> </w:t>
      </w:r>
      <w:r w:rsidRPr="007203A1">
        <w:rPr>
          <w:rFonts w:eastAsia="Times New Roman"/>
          <w:bCs/>
        </w:rPr>
        <w:t>“W” et identifiés par la lettre de code</w:t>
      </w:r>
      <w:r>
        <w:rPr>
          <w:rFonts w:eastAsia="Times New Roman"/>
          <w:bCs/>
        </w:rPr>
        <w:t xml:space="preserve"> </w:t>
      </w:r>
      <w:r w:rsidRPr="007203A1">
        <w:rPr>
          <w:rFonts w:eastAsia="Times New Roman"/>
          <w:bCs/>
        </w:rPr>
        <w:t>“Z” conçus pour être utilisés à des vitesses supérieures à 270 km/h et utilisés</w:t>
      </w:r>
      <w:r w:rsidRPr="00DC3638">
        <w:rPr>
          <w:rFonts w:eastAsia="Times New Roman"/>
        </w:rPr>
        <w:t xml:space="preserve"> à des vitesses supérieures à 270 km/h, l</w:t>
      </w:r>
      <w:r>
        <w:rPr>
          <w:rFonts w:eastAsia="Times New Roman"/>
        </w:rPr>
        <w:t>’</w:t>
      </w:r>
      <w:r w:rsidRPr="00DC3638">
        <w:rPr>
          <w:rFonts w:eastAsia="Times New Roman"/>
        </w:rPr>
        <w:t xml:space="preserve">indice de charge maximale ne doit pas dépasser </w:t>
      </w:r>
      <w:r w:rsidRPr="007203A1">
        <w:rPr>
          <w:rFonts w:eastAsia="Times New Roman"/>
        </w:rPr>
        <w:t>u</w:t>
      </w:r>
      <w:r w:rsidRPr="007203A1">
        <w:rPr>
          <w:rFonts w:eastAsia="Times New Roman"/>
          <w:bCs/>
        </w:rPr>
        <w:t>ne interpolation linéaire entre l</w:t>
      </w:r>
      <w:r>
        <w:rPr>
          <w:rFonts w:eastAsia="Times New Roman"/>
          <w:bCs/>
        </w:rPr>
        <w:t>’</w:t>
      </w:r>
      <w:r w:rsidRPr="007203A1">
        <w:rPr>
          <w:rFonts w:eastAsia="Times New Roman"/>
          <w:bCs/>
        </w:rPr>
        <w:t xml:space="preserve">indice de charge prescrit à 270 km/h et la charge maximale à la vitesse maximale, les deux valeurs étant </w:t>
      </w:r>
      <w:r w:rsidRPr="00DC3638">
        <w:rPr>
          <w:rFonts w:eastAsia="Times New Roman"/>
          <w:bCs/>
        </w:rPr>
        <w:t>d</w:t>
      </w:r>
      <w:r w:rsidRPr="00DC3638">
        <w:rPr>
          <w:rFonts w:eastAsia="Times New Roman"/>
        </w:rPr>
        <w:t>éterminées par le fabricant du pneumatique. »</w:t>
      </w:r>
      <w:r>
        <w:rPr>
          <w:rFonts w:eastAsia="Times New Roman"/>
        </w:rPr>
        <w:t>.</w:t>
      </w:r>
    </w:p>
    <w:p w14:paraId="5741158B" w14:textId="77777777" w:rsidR="00F01031" w:rsidRDefault="00F01031" w:rsidP="005912C9">
      <w:pPr>
        <w:pStyle w:val="SingleTxtG"/>
        <w:keepNext/>
      </w:pPr>
      <w:r w:rsidRPr="00F01031">
        <w:rPr>
          <w:i/>
        </w:rPr>
        <w:t>Paragraphe 3.1.14</w:t>
      </w:r>
      <w:r w:rsidRPr="00DC3638">
        <w:t>, lire</w:t>
      </w:r>
      <w:r w:rsidR="00B76070">
        <w:t> :</w:t>
      </w:r>
    </w:p>
    <w:p w14:paraId="76E45E8B" w14:textId="77777777" w:rsidR="00F01031" w:rsidRPr="00DC3638" w:rsidRDefault="00F01031" w:rsidP="00F01031">
      <w:pPr>
        <w:pStyle w:val="SingleTxtG"/>
        <w:ind w:left="2268" w:hanging="1134"/>
        <w:rPr>
          <w:color w:val="000000"/>
        </w:rPr>
      </w:pPr>
      <w:r w:rsidRPr="00DC3638">
        <w:rPr>
          <w:rFonts w:eastAsia="Times New Roman"/>
        </w:rPr>
        <w:t>« 3.1.14</w:t>
      </w:r>
      <w:r w:rsidRPr="00DC3638">
        <w:rPr>
          <w:rFonts w:eastAsia="Times New Roman"/>
        </w:rPr>
        <w:tab/>
        <w:t xml:space="preserve">Les pneumatiques conçus pour des vitesses supérieures à 240 km/h doivent porter la lettre de code appropriée </w:t>
      </w:r>
      <w:r w:rsidRPr="00DC3638">
        <w:rPr>
          <w:rFonts w:eastAsia="Times New Roman"/>
          <w:bCs/>
        </w:rPr>
        <w:t>“</w:t>
      </w:r>
      <w:r w:rsidRPr="00DC3638">
        <w:rPr>
          <w:rFonts w:eastAsia="Times New Roman"/>
        </w:rPr>
        <w:t>V</w:t>
      </w:r>
      <w:r w:rsidRPr="00DC3638">
        <w:rPr>
          <w:rFonts w:eastAsia="Times New Roman"/>
          <w:bCs/>
        </w:rPr>
        <w:t>”</w:t>
      </w:r>
      <w:r w:rsidRPr="00DC3638">
        <w:rPr>
          <w:rFonts w:eastAsia="Times New Roman"/>
        </w:rPr>
        <w:t xml:space="preserve"> ou </w:t>
      </w:r>
      <w:r w:rsidRPr="00DC3638">
        <w:rPr>
          <w:rFonts w:eastAsia="Times New Roman"/>
          <w:bCs/>
        </w:rPr>
        <w:t>“</w:t>
      </w:r>
      <w:r w:rsidRPr="00DC3638">
        <w:rPr>
          <w:rFonts w:eastAsia="Times New Roman"/>
        </w:rPr>
        <w:t>Z</w:t>
      </w:r>
      <w:r w:rsidRPr="00DC3638">
        <w:rPr>
          <w:rFonts w:eastAsia="Times New Roman"/>
          <w:bCs/>
        </w:rPr>
        <w:t>”</w:t>
      </w:r>
      <w:r>
        <w:rPr>
          <w:rFonts w:eastAsia="Times New Roman"/>
          <w:bCs/>
        </w:rPr>
        <w:t>,</w:t>
      </w:r>
      <w:r w:rsidRPr="00DC3638">
        <w:rPr>
          <w:rFonts w:eastAsia="Times New Roman"/>
        </w:rPr>
        <w:t xml:space="preserve"> </w:t>
      </w:r>
      <w:r w:rsidRPr="007203A1">
        <w:rPr>
          <w:rFonts w:eastAsia="Times New Roman"/>
          <w:bCs/>
        </w:rPr>
        <w:t>attribuée conformément au paragraphe 2.31.3</w:t>
      </w:r>
      <w:r w:rsidRPr="00DC3638">
        <w:rPr>
          <w:rFonts w:eastAsia="Times New Roman"/>
        </w:rPr>
        <w:t>. »</w:t>
      </w:r>
      <w:r>
        <w:rPr>
          <w:rFonts w:eastAsia="Times New Roman"/>
        </w:rPr>
        <w:t>.</w:t>
      </w:r>
    </w:p>
    <w:p w14:paraId="320BEDA9" w14:textId="77777777" w:rsidR="00F01031" w:rsidRDefault="00F01031" w:rsidP="005912C9">
      <w:pPr>
        <w:pStyle w:val="SingleTxtG"/>
        <w:keepNext/>
        <w:rPr>
          <w:i/>
        </w:rPr>
      </w:pPr>
      <w:r w:rsidRPr="00F01031">
        <w:rPr>
          <w:i/>
        </w:rPr>
        <w:t>Paragraphe 3.1.15</w:t>
      </w:r>
      <w:r w:rsidRPr="00DC3638">
        <w:t>, lire</w:t>
      </w:r>
      <w:r w:rsidR="00B76070">
        <w:t> :</w:t>
      </w:r>
    </w:p>
    <w:p w14:paraId="0EA94D48" w14:textId="77777777" w:rsidR="00F01031" w:rsidRPr="00DC3638" w:rsidRDefault="00F01031" w:rsidP="00F01031">
      <w:pPr>
        <w:pStyle w:val="SingleTxtG"/>
        <w:ind w:left="2268" w:hanging="1134"/>
        <w:rPr>
          <w:color w:val="000000"/>
        </w:rPr>
      </w:pPr>
      <w:r w:rsidRPr="00DC3638">
        <w:rPr>
          <w:rFonts w:eastAsia="Times New Roman"/>
        </w:rPr>
        <w:t>« 3.1.15</w:t>
      </w:r>
      <w:r w:rsidRPr="00DC3638">
        <w:rPr>
          <w:rFonts w:eastAsia="Times New Roman"/>
        </w:rPr>
        <w:tab/>
        <w:t xml:space="preserve">Les pneumatiques conçus pour des vitesses supérieures à 240 km/h </w:t>
      </w:r>
      <w:r w:rsidRPr="007203A1">
        <w:rPr>
          <w:rFonts w:eastAsia="Times New Roman"/>
          <w:bCs/>
        </w:rPr>
        <w:t>mais inférieures à 270 km/h</w:t>
      </w:r>
      <w:r>
        <w:rPr>
          <w:rFonts w:eastAsia="Times New Roman"/>
          <w:bCs/>
        </w:rPr>
        <w:t xml:space="preserve"> </w:t>
      </w:r>
      <w:r w:rsidRPr="00DC3638">
        <w:rPr>
          <w:rFonts w:eastAsia="Times New Roman"/>
        </w:rPr>
        <w:t>doivent porter, entre parenthèses, l</w:t>
      </w:r>
      <w:r>
        <w:rPr>
          <w:rFonts w:eastAsia="Times New Roman"/>
        </w:rPr>
        <w:t>’</w:t>
      </w:r>
      <w:r w:rsidRPr="00DC3638">
        <w:rPr>
          <w:rFonts w:eastAsia="Times New Roman"/>
        </w:rPr>
        <w:t>indication de l</w:t>
      </w:r>
      <w:r>
        <w:rPr>
          <w:rFonts w:eastAsia="Times New Roman"/>
        </w:rPr>
        <w:t>’</w:t>
      </w:r>
      <w:r w:rsidRPr="00DC3638">
        <w:rPr>
          <w:rFonts w:eastAsia="Times New Roman"/>
        </w:rPr>
        <w:t>indice de charge maximale (voir par. 3) applicable à une vitesse de 210 km/h</w:t>
      </w:r>
      <w:r>
        <w:rPr>
          <w:rFonts w:eastAsia="Times New Roman"/>
        </w:rPr>
        <w:t xml:space="preserve"> </w:t>
      </w:r>
      <w:r w:rsidRPr="00DC3638">
        <w:rPr>
          <w:rFonts w:eastAsia="Times New Roman"/>
        </w:rPr>
        <w:t>et un symbole de catégorie de vitesse de référence (voir par. 3) comme suit</w:t>
      </w:r>
      <w:r w:rsidR="00B76070">
        <w:rPr>
          <w:rFonts w:eastAsia="Times New Roman"/>
        </w:rPr>
        <w:t> :</w:t>
      </w:r>
    </w:p>
    <w:p w14:paraId="10067151" w14:textId="77777777" w:rsidR="00F01031" w:rsidRPr="00DC3638" w:rsidRDefault="00F01031" w:rsidP="00F01031">
      <w:pPr>
        <w:pStyle w:val="SingleTxtG"/>
        <w:ind w:left="2268"/>
        <w:rPr>
          <w:color w:val="000000"/>
        </w:rPr>
      </w:pPr>
      <w:r w:rsidRPr="00DC3638">
        <w:rPr>
          <w:bCs/>
        </w:rPr>
        <w:t>“</w:t>
      </w:r>
      <w:r w:rsidRPr="00DC3638">
        <w:t>V</w:t>
      </w:r>
      <w:r w:rsidRPr="00DC3638">
        <w:rPr>
          <w:bCs/>
        </w:rPr>
        <w:t>”</w:t>
      </w:r>
      <w:r w:rsidRPr="00DC3638">
        <w:t xml:space="preserve"> dans le cas de pneumatiques identifiés par la lettre de code </w:t>
      </w:r>
      <w:r w:rsidRPr="00DC3638">
        <w:rPr>
          <w:bCs/>
        </w:rPr>
        <w:t>“</w:t>
      </w:r>
      <w:r w:rsidRPr="00DC3638">
        <w:t>V</w:t>
      </w:r>
      <w:r w:rsidRPr="00DC3638">
        <w:rPr>
          <w:bCs/>
        </w:rPr>
        <w:t>”</w:t>
      </w:r>
      <w:r w:rsidRPr="00DC3638">
        <w:t xml:space="preserve"> dans la désignation des dimensions</w:t>
      </w:r>
      <w:proofErr w:type="gramStart"/>
      <w:r w:rsidRPr="00DC3638">
        <w:t>.»</w:t>
      </w:r>
      <w:proofErr w:type="gramEnd"/>
      <w:r>
        <w:t>.</w:t>
      </w:r>
    </w:p>
    <w:p w14:paraId="6235DFB4" w14:textId="77777777" w:rsidR="00F01031" w:rsidRPr="00DC3638" w:rsidRDefault="00F01031" w:rsidP="005912C9">
      <w:pPr>
        <w:pStyle w:val="SingleTxtG"/>
        <w:keepNext/>
        <w:rPr>
          <w:i/>
          <w:color w:val="000000"/>
        </w:rPr>
      </w:pPr>
      <w:r w:rsidRPr="00F01031">
        <w:rPr>
          <w:i/>
        </w:rPr>
        <w:t>Ajouter le nouveau paragraphe 3.1.16</w:t>
      </w:r>
      <w:r w:rsidRPr="00DC3638">
        <w:t>, libellé comme suit</w:t>
      </w:r>
      <w:r w:rsidR="00B76070">
        <w:t> :</w:t>
      </w:r>
    </w:p>
    <w:p w14:paraId="47D3EDD5" w14:textId="77777777" w:rsidR="00F01031" w:rsidRPr="007203A1" w:rsidRDefault="00F01031" w:rsidP="00F01031">
      <w:pPr>
        <w:pStyle w:val="SingleTxtG"/>
        <w:ind w:left="2268" w:hanging="1134"/>
        <w:rPr>
          <w:color w:val="000000"/>
        </w:rPr>
      </w:pPr>
      <w:r w:rsidRPr="00DC3638">
        <w:t>« </w:t>
      </w:r>
      <w:r w:rsidRPr="007203A1">
        <w:rPr>
          <w:rFonts w:eastAsia="Times New Roman"/>
          <w:bCs/>
        </w:rPr>
        <w:t>3.1.16</w:t>
      </w:r>
      <w:r w:rsidRPr="00DC3638">
        <w:rPr>
          <w:rFonts w:eastAsia="Times New Roman"/>
        </w:rPr>
        <w:tab/>
      </w:r>
      <w:r w:rsidRPr="007203A1">
        <w:rPr>
          <w:rFonts w:eastAsia="Times New Roman"/>
          <w:bCs/>
        </w:rPr>
        <w:t>Les pneumatiques conçus pour des vitesses supérieures à 270 km/h doivent porter, entre parenthèses, l</w:t>
      </w:r>
      <w:r>
        <w:rPr>
          <w:rFonts w:eastAsia="Times New Roman"/>
          <w:bCs/>
        </w:rPr>
        <w:t>’</w:t>
      </w:r>
      <w:r w:rsidRPr="007203A1">
        <w:rPr>
          <w:rFonts w:eastAsia="Times New Roman"/>
          <w:bCs/>
        </w:rPr>
        <w:t>indication de l</w:t>
      </w:r>
      <w:r>
        <w:rPr>
          <w:rFonts w:eastAsia="Times New Roman"/>
          <w:bCs/>
        </w:rPr>
        <w:t>’</w:t>
      </w:r>
      <w:r w:rsidRPr="007203A1">
        <w:rPr>
          <w:rFonts w:eastAsia="Times New Roman"/>
          <w:bCs/>
        </w:rPr>
        <w:t>indice de charge maximale (voir par. 3) applicable à une vitesse de 240 km/h et un symbole de catégorie de vitesse de référence (voir par. 3) comme suit</w:t>
      </w:r>
      <w:r w:rsidR="00B76070">
        <w:rPr>
          <w:rFonts w:eastAsia="Times New Roman"/>
          <w:bCs/>
        </w:rPr>
        <w:t> :</w:t>
      </w:r>
    </w:p>
    <w:p w14:paraId="2857DE5F" w14:textId="77777777" w:rsidR="00F01031" w:rsidRPr="007203A1" w:rsidRDefault="00F01031" w:rsidP="00F01031">
      <w:pPr>
        <w:pStyle w:val="SingleTxtG"/>
        <w:ind w:left="2268"/>
        <w:rPr>
          <w:iCs/>
          <w:color w:val="000000"/>
        </w:rPr>
      </w:pPr>
      <w:r w:rsidRPr="007203A1">
        <w:rPr>
          <w:bCs/>
        </w:rPr>
        <w:t>“</w:t>
      </w:r>
      <w:r w:rsidRPr="007203A1">
        <w:t>W</w:t>
      </w:r>
      <w:r w:rsidRPr="007203A1">
        <w:rPr>
          <w:bCs/>
        </w:rPr>
        <w:t>”</w:t>
      </w:r>
      <w:r w:rsidRPr="007203A1">
        <w:t xml:space="preserve"> dans le cas de pneumatiques identifiés par la lettre de code</w:t>
      </w:r>
      <w:r w:rsidR="00B76070">
        <w:t xml:space="preserve"> </w:t>
      </w:r>
      <w:r w:rsidRPr="007203A1">
        <w:rPr>
          <w:bCs/>
        </w:rPr>
        <w:t>“</w:t>
      </w:r>
      <w:r w:rsidRPr="007203A1">
        <w:t>Z</w:t>
      </w:r>
      <w:r w:rsidRPr="007203A1">
        <w:rPr>
          <w:bCs/>
        </w:rPr>
        <w:t>”</w:t>
      </w:r>
      <w:r w:rsidRPr="007203A1">
        <w:t xml:space="preserve"> dans la désignation des dimensions. </w:t>
      </w:r>
      <w:r w:rsidRPr="00DC3638">
        <w:t>»</w:t>
      </w:r>
      <w:r>
        <w:t>.</w:t>
      </w:r>
    </w:p>
    <w:p w14:paraId="4DFA9BC2" w14:textId="77777777" w:rsidR="00F01031" w:rsidRPr="00DC3638" w:rsidRDefault="00F01031" w:rsidP="00F01031">
      <w:pPr>
        <w:pStyle w:val="SingleTxtG"/>
        <w:rPr>
          <w:i/>
          <w:iCs/>
        </w:rPr>
      </w:pPr>
      <w:r w:rsidRPr="00DC3638">
        <w:rPr>
          <w:i/>
          <w:iCs/>
        </w:rPr>
        <w:t>L</w:t>
      </w:r>
      <w:r>
        <w:rPr>
          <w:i/>
          <w:iCs/>
        </w:rPr>
        <w:t>’</w:t>
      </w:r>
      <w:r w:rsidRPr="00DC3638">
        <w:rPr>
          <w:i/>
          <w:iCs/>
        </w:rPr>
        <w:t>ancien paragraphe</w:t>
      </w:r>
      <w:r>
        <w:rPr>
          <w:i/>
          <w:iCs/>
        </w:rPr>
        <w:t xml:space="preserve"> </w:t>
      </w:r>
      <w:r w:rsidRPr="00DC3638">
        <w:rPr>
          <w:i/>
          <w:iCs/>
        </w:rPr>
        <w:t>3.1.16</w:t>
      </w:r>
      <w:r w:rsidRPr="00DC3638">
        <w:t xml:space="preserve"> devient le paragraphe</w:t>
      </w:r>
      <w:r>
        <w:t xml:space="preserve"> </w:t>
      </w:r>
      <w:r w:rsidRPr="00DC3638">
        <w:t>3.1.17.</w:t>
      </w:r>
    </w:p>
    <w:p w14:paraId="223632A0" w14:textId="77777777" w:rsidR="00F01031" w:rsidRDefault="00F01031" w:rsidP="005912C9">
      <w:pPr>
        <w:pStyle w:val="SingleTxtG"/>
        <w:keepNext/>
      </w:pPr>
      <w:r w:rsidRPr="00F01031">
        <w:rPr>
          <w:i/>
        </w:rPr>
        <w:t>Paragraphe 4.1.15</w:t>
      </w:r>
      <w:r w:rsidRPr="00DC3638">
        <w:t>, lire</w:t>
      </w:r>
      <w:r w:rsidR="00B76070">
        <w:t> :</w:t>
      </w:r>
    </w:p>
    <w:p w14:paraId="1440F31A" w14:textId="77777777" w:rsidR="00F01031" w:rsidRPr="00DC3638" w:rsidRDefault="00F01031" w:rsidP="00F01031">
      <w:pPr>
        <w:pStyle w:val="SingleTxtG"/>
        <w:ind w:left="2268" w:hanging="1134"/>
      </w:pPr>
      <w:r w:rsidRPr="00DC3638">
        <w:rPr>
          <w:rFonts w:eastAsia="Times New Roman"/>
        </w:rPr>
        <w:t>« 4.1.15</w:t>
      </w:r>
      <w:r w:rsidRPr="00DC3638">
        <w:rPr>
          <w:rFonts w:eastAsia="Times New Roman"/>
        </w:rPr>
        <w:tab/>
        <w:t>Pour les pneumatiques identifiés par la lettre de code</w:t>
      </w:r>
      <w:r w:rsidR="00B76070">
        <w:rPr>
          <w:rFonts w:eastAsia="Times New Roman"/>
        </w:rPr>
        <w:t xml:space="preserve"> </w:t>
      </w:r>
      <w:r w:rsidRPr="00DC3638">
        <w:rPr>
          <w:rFonts w:eastAsia="Times New Roman"/>
          <w:bCs/>
        </w:rPr>
        <w:t>“</w:t>
      </w:r>
      <w:r w:rsidRPr="00DC3638">
        <w:rPr>
          <w:rFonts w:eastAsia="Times New Roman"/>
        </w:rPr>
        <w:t>V</w:t>
      </w:r>
      <w:r w:rsidRPr="00DC3638">
        <w:rPr>
          <w:rFonts w:eastAsia="Times New Roman"/>
          <w:bCs/>
        </w:rPr>
        <w:t>”</w:t>
      </w:r>
      <w:r w:rsidRPr="00DC3638">
        <w:rPr>
          <w:rFonts w:eastAsia="Times New Roman"/>
        </w:rPr>
        <w:t xml:space="preserve"> dans la désignation des dimensions et conçus pour des vitesses supérieures à 240 km/h </w:t>
      </w:r>
      <w:r w:rsidRPr="007203A1">
        <w:rPr>
          <w:rFonts w:eastAsia="Times New Roman"/>
          <w:bCs/>
        </w:rPr>
        <w:t>mais inférieures à 270 km/h</w:t>
      </w:r>
      <w:r>
        <w:rPr>
          <w:rFonts w:eastAsia="Times New Roman"/>
          <w:bCs/>
        </w:rPr>
        <w:t>,</w:t>
      </w:r>
      <w:r w:rsidRPr="007203A1">
        <w:rPr>
          <w:rFonts w:eastAsia="Times New Roman"/>
          <w:bCs/>
        </w:rPr>
        <w:t xml:space="preserve"> </w:t>
      </w:r>
      <w:r w:rsidRPr="00DC3638">
        <w:rPr>
          <w:rFonts w:eastAsia="Times New Roman"/>
        </w:rPr>
        <w:t>ou pour les pneumatiques identifiés au moyen de la lettre de code</w:t>
      </w:r>
      <w:r w:rsidR="00B76070">
        <w:rPr>
          <w:rFonts w:eastAsia="Times New Roman"/>
        </w:rPr>
        <w:t xml:space="preserve"> </w:t>
      </w:r>
      <w:r w:rsidRPr="00DC3638">
        <w:rPr>
          <w:rFonts w:eastAsia="Times New Roman"/>
          <w:bCs/>
        </w:rPr>
        <w:t>“</w:t>
      </w:r>
      <w:r w:rsidRPr="00DC3638">
        <w:rPr>
          <w:rFonts w:eastAsia="Times New Roman"/>
        </w:rPr>
        <w:t>Z</w:t>
      </w:r>
      <w:r w:rsidRPr="00DC3638">
        <w:rPr>
          <w:rFonts w:eastAsia="Times New Roman"/>
          <w:bCs/>
        </w:rPr>
        <w:t>”</w:t>
      </w:r>
      <w:r w:rsidRPr="00DC3638">
        <w:rPr>
          <w:rFonts w:eastAsia="Times New Roman"/>
        </w:rPr>
        <w:t xml:space="preserve"> dans la désignation des dimensions et conçus pour des vitesses supérieures à 270 km/h, la vitesse maximale autorisée par le fabricant </w:t>
      </w:r>
      <w:r w:rsidRPr="00DC3638">
        <w:rPr>
          <w:rFonts w:eastAsia="Times New Roman"/>
        </w:rPr>
        <w:lastRenderedPageBreak/>
        <w:t>du pneumatique et la capacité de charge autorisée pour cette vitesse maximale. »</w:t>
      </w:r>
      <w:r>
        <w:rPr>
          <w:rFonts w:eastAsia="Times New Roman"/>
        </w:rPr>
        <w:t>.</w:t>
      </w:r>
    </w:p>
    <w:p w14:paraId="1ABAF128" w14:textId="77777777" w:rsidR="00F01031" w:rsidRDefault="00F01031" w:rsidP="005912C9">
      <w:pPr>
        <w:pStyle w:val="SingleTxtG"/>
        <w:keepNext/>
        <w:rPr>
          <w:i/>
        </w:rPr>
      </w:pPr>
      <w:r w:rsidRPr="00F01031">
        <w:rPr>
          <w:i/>
        </w:rPr>
        <w:t>Paragraphe 6.2.1.1</w:t>
      </w:r>
      <w:r w:rsidRPr="00DC3638">
        <w:t>, lire</w:t>
      </w:r>
      <w:r w:rsidR="00B76070">
        <w:t> :</w:t>
      </w:r>
    </w:p>
    <w:p w14:paraId="10C254AA" w14:textId="77777777" w:rsidR="00F01031" w:rsidRPr="00DC3638" w:rsidRDefault="00F01031" w:rsidP="00F01031">
      <w:pPr>
        <w:pStyle w:val="SingleTxtG"/>
        <w:ind w:left="2268" w:hanging="1134"/>
      </w:pPr>
      <w:r w:rsidRPr="00DC3638">
        <w:rPr>
          <w:rFonts w:eastAsia="Times New Roman"/>
        </w:rPr>
        <w:t>« 6.2.1.1</w:t>
      </w:r>
      <w:r>
        <w:rPr>
          <w:rFonts w:eastAsia="Times New Roman"/>
        </w:rPr>
        <w:tab/>
      </w:r>
      <w:r w:rsidRPr="00DC3638">
        <w:rPr>
          <w:rFonts w:eastAsia="Times New Roman"/>
        </w:rPr>
        <w:t>Lorsqu</w:t>
      </w:r>
      <w:r>
        <w:rPr>
          <w:rFonts w:eastAsia="Times New Roman"/>
        </w:rPr>
        <w:t>’</w:t>
      </w:r>
      <w:r w:rsidRPr="00DC3638">
        <w:rPr>
          <w:rFonts w:eastAsia="Times New Roman"/>
        </w:rPr>
        <w:t>une demande d</w:t>
      </w:r>
      <w:r>
        <w:rPr>
          <w:rFonts w:eastAsia="Times New Roman"/>
        </w:rPr>
        <w:t>’</w:t>
      </w:r>
      <w:r w:rsidRPr="00DC3638">
        <w:rPr>
          <w:rFonts w:eastAsia="Times New Roman"/>
        </w:rPr>
        <w:t>homologation est faite pour des pneumatiques identifiés au moyen de la lettre de code</w:t>
      </w:r>
      <w:r w:rsidR="00B76070">
        <w:rPr>
          <w:rFonts w:eastAsia="Times New Roman"/>
        </w:rPr>
        <w:t xml:space="preserve"> </w:t>
      </w:r>
      <w:r w:rsidRPr="00DC3638">
        <w:rPr>
          <w:rFonts w:eastAsia="Times New Roman"/>
          <w:bCs/>
        </w:rPr>
        <w:t>“</w:t>
      </w:r>
      <w:r w:rsidRPr="00DC3638">
        <w:rPr>
          <w:rFonts w:eastAsia="Times New Roman"/>
        </w:rPr>
        <w:t>V</w:t>
      </w:r>
      <w:r w:rsidRPr="00DC3638">
        <w:rPr>
          <w:rFonts w:eastAsia="Times New Roman"/>
          <w:bCs/>
        </w:rPr>
        <w:t>”</w:t>
      </w:r>
      <w:r w:rsidRPr="00DC3638">
        <w:rPr>
          <w:rFonts w:eastAsia="Times New Roman"/>
        </w:rPr>
        <w:t xml:space="preserve"> dans la désignation des dimensions et conçus pour des vitesses supérieures à 240</w:t>
      </w:r>
      <w:r w:rsidR="00B76070">
        <w:rPr>
          <w:rFonts w:eastAsia="Times New Roman"/>
        </w:rPr>
        <w:t> </w:t>
      </w:r>
      <w:r w:rsidRPr="00DC3638">
        <w:rPr>
          <w:rFonts w:eastAsia="Times New Roman"/>
        </w:rPr>
        <w:t>km/h ou pour des pneumatiques identifiés au moyen de la lettre de code</w:t>
      </w:r>
      <w:r w:rsidR="00B76070">
        <w:rPr>
          <w:rFonts w:eastAsia="Times New Roman"/>
        </w:rPr>
        <w:t xml:space="preserve"> </w:t>
      </w:r>
      <w:r w:rsidRPr="00DC3638">
        <w:rPr>
          <w:rFonts w:eastAsia="Times New Roman"/>
          <w:bCs/>
        </w:rPr>
        <w:t>“</w:t>
      </w:r>
      <w:r w:rsidRPr="00DC3638">
        <w:rPr>
          <w:rFonts w:eastAsia="Times New Roman"/>
        </w:rPr>
        <w:t>Z</w:t>
      </w:r>
      <w:r w:rsidRPr="00DC3638">
        <w:rPr>
          <w:rFonts w:eastAsia="Times New Roman"/>
          <w:bCs/>
        </w:rPr>
        <w:t>”</w:t>
      </w:r>
      <w:r w:rsidRPr="00DC3638">
        <w:rPr>
          <w:rFonts w:eastAsia="Times New Roman"/>
        </w:rPr>
        <w:t xml:space="preserve"> dans la désignation des dimensions et conçus pour des vitesses supérieures à 270 km/h (voir par. 4.1.15), l</w:t>
      </w:r>
      <w:r>
        <w:rPr>
          <w:rFonts w:eastAsia="Times New Roman"/>
        </w:rPr>
        <w:t>’</w:t>
      </w:r>
      <w:r w:rsidRPr="00DC3638">
        <w:rPr>
          <w:rFonts w:eastAsia="Times New Roman"/>
        </w:rPr>
        <w:t xml:space="preserve">essai de charge/vitesse ci-dessus est effectué sur un seul pneumatique aux conditions de charge et de vitesse indiquées sur le pneumatique (voir par. 3.1.15). Un autre essai de charge/vitesse doit être effectué sur un second pneumatique du même type aux conditions de charge et de vitesse spécifiées, le cas échéant, par le fabricant du pneumatique comme étant la charge et la vitesse maximales (voir par. 4.1.15). </w:t>
      </w:r>
      <w:r w:rsidRPr="007203A1">
        <w:rPr>
          <w:rFonts w:eastAsia="Times New Roman"/>
        </w:rPr>
        <w:t>Pour les pneumatiques identifiés au moyen de la lettre de code</w:t>
      </w:r>
      <w:r w:rsidR="00B76070">
        <w:rPr>
          <w:rFonts w:eastAsia="Times New Roman"/>
        </w:rPr>
        <w:t xml:space="preserve"> </w:t>
      </w:r>
      <w:r w:rsidRPr="007203A1">
        <w:rPr>
          <w:rFonts w:eastAsia="Times New Roman"/>
          <w:bCs/>
        </w:rPr>
        <w:t>“</w:t>
      </w:r>
      <w:r w:rsidRPr="007203A1">
        <w:rPr>
          <w:rFonts w:eastAsia="Times New Roman"/>
        </w:rPr>
        <w:t>V</w:t>
      </w:r>
      <w:r w:rsidRPr="007203A1">
        <w:rPr>
          <w:rFonts w:eastAsia="Times New Roman"/>
          <w:bCs/>
        </w:rPr>
        <w:t>”</w:t>
      </w:r>
      <w:r w:rsidRPr="00DC3638">
        <w:rPr>
          <w:rFonts w:eastAsia="Times New Roman"/>
          <w:bCs/>
        </w:rPr>
        <w:t xml:space="preserve"> </w:t>
      </w:r>
      <w:r w:rsidRPr="007203A1">
        <w:rPr>
          <w:rFonts w:eastAsia="Times New Roman"/>
        </w:rPr>
        <w:t>dans la désignation des dimensions et conçus pour des vitesses supérieures à 240 km/h, la charge maximale spécifiée par le fabricant ne doit pas dépasser l</w:t>
      </w:r>
      <w:r>
        <w:rPr>
          <w:rFonts w:eastAsia="Times New Roman"/>
        </w:rPr>
        <w:t>’</w:t>
      </w:r>
      <w:r w:rsidRPr="007203A1">
        <w:rPr>
          <w:rFonts w:eastAsia="Times New Roman"/>
        </w:rPr>
        <w:t>indice de charge maximale spécifié au paragraphe 2.36.4 par référence à la vitesse maximale spécifiée par le fabricant.</w:t>
      </w:r>
      <w:r w:rsidRPr="00DC3638">
        <w:t> »</w:t>
      </w:r>
      <w:r>
        <w:t>.</w:t>
      </w:r>
    </w:p>
    <w:p w14:paraId="0A36BC07" w14:textId="77777777" w:rsidR="00F01031" w:rsidRDefault="00F01031" w:rsidP="005912C9">
      <w:pPr>
        <w:pStyle w:val="SingleTxtG"/>
        <w:keepNext/>
        <w:rPr>
          <w:i/>
        </w:rPr>
      </w:pPr>
      <w:r w:rsidRPr="00F01031">
        <w:rPr>
          <w:i/>
        </w:rPr>
        <w:t>Paragraphe 7.1.4</w:t>
      </w:r>
      <w:r w:rsidRPr="00DC3638">
        <w:t>, lire</w:t>
      </w:r>
      <w:r w:rsidR="00B76070">
        <w:t> :</w:t>
      </w:r>
    </w:p>
    <w:p w14:paraId="70D809D8" w14:textId="77777777" w:rsidR="00F01031" w:rsidRPr="00DC3638" w:rsidRDefault="00F01031" w:rsidP="00F01031">
      <w:pPr>
        <w:pStyle w:val="SingleTxtG"/>
        <w:ind w:left="2268" w:hanging="1134"/>
        <w:rPr>
          <w:color w:val="000000"/>
        </w:rPr>
      </w:pPr>
      <w:r w:rsidRPr="00DC3638">
        <w:rPr>
          <w:rFonts w:eastAsia="Times New Roman"/>
        </w:rPr>
        <w:t>« 7.1.4</w:t>
      </w:r>
      <w:r>
        <w:rPr>
          <w:rFonts w:eastAsia="Times New Roman"/>
        </w:rPr>
        <w:tab/>
      </w:r>
      <w:r w:rsidRPr="00DC3638">
        <w:rPr>
          <w:rFonts w:eastAsia="Times New Roman"/>
        </w:rPr>
        <w:tab/>
        <w:t>Des extensions d</w:t>
      </w:r>
      <w:r>
        <w:rPr>
          <w:rFonts w:eastAsia="Times New Roman"/>
        </w:rPr>
        <w:t>’</w:t>
      </w:r>
      <w:r w:rsidRPr="00DC3638">
        <w:rPr>
          <w:rFonts w:eastAsia="Times New Roman"/>
        </w:rPr>
        <w:t>homologation aux pneumatiques conçus pour des vitesses supérieures à 240 km/h</w:t>
      </w:r>
      <w:r w:rsidRPr="007203A1">
        <w:rPr>
          <w:rFonts w:eastAsia="Times New Roman"/>
          <w:bCs/>
        </w:rPr>
        <w:t xml:space="preserve"> mais inférieures à 270 km/h </w:t>
      </w:r>
      <w:r w:rsidRPr="00DC3638">
        <w:rPr>
          <w:rFonts w:eastAsia="Times New Roman"/>
        </w:rPr>
        <w:t xml:space="preserve">pour les pneumatiques identifiés par la lettre de code </w:t>
      </w:r>
      <w:r w:rsidRPr="00DC3638">
        <w:rPr>
          <w:rFonts w:eastAsia="Times New Roman"/>
          <w:bCs/>
        </w:rPr>
        <w:t>“</w:t>
      </w:r>
      <w:r w:rsidRPr="00DC3638">
        <w:rPr>
          <w:rFonts w:eastAsia="Times New Roman"/>
        </w:rPr>
        <w:t>V</w:t>
      </w:r>
      <w:r w:rsidRPr="00DC3638">
        <w:rPr>
          <w:rFonts w:eastAsia="Times New Roman"/>
          <w:bCs/>
        </w:rPr>
        <w:t>”</w:t>
      </w:r>
      <w:r w:rsidRPr="00DC3638">
        <w:rPr>
          <w:rFonts w:eastAsia="Times New Roman"/>
        </w:rPr>
        <w:t xml:space="preserve"> dans la désignation de la dimension (ou 270 km/h pour les pneumatiques identifiés par la lettre de code</w:t>
      </w:r>
      <w:r w:rsidR="00B76070">
        <w:rPr>
          <w:rFonts w:eastAsia="Times New Roman"/>
        </w:rPr>
        <w:t xml:space="preserve"> </w:t>
      </w:r>
      <w:r w:rsidRPr="00DC3638">
        <w:rPr>
          <w:rFonts w:eastAsia="Times New Roman"/>
          <w:bCs/>
        </w:rPr>
        <w:t>“</w:t>
      </w:r>
      <w:r w:rsidRPr="00DC3638">
        <w:rPr>
          <w:rFonts w:eastAsia="Times New Roman"/>
        </w:rPr>
        <w:t>Z</w:t>
      </w:r>
      <w:r w:rsidRPr="00DC3638">
        <w:rPr>
          <w:rFonts w:eastAsia="Times New Roman"/>
          <w:bCs/>
        </w:rPr>
        <w:t>”</w:t>
      </w:r>
      <w:r w:rsidRPr="00DC3638">
        <w:rPr>
          <w:rFonts w:eastAsia="Times New Roman"/>
        </w:rPr>
        <w:t xml:space="preserve"> dans la désignation de la dimension), visant à obtenir un agrément pour des vitesses et/ou des charges maximales différentes, sont autorisées, à condition qu</w:t>
      </w:r>
      <w:r>
        <w:rPr>
          <w:rFonts w:eastAsia="Times New Roman"/>
        </w:rPr>
        <w:t>’</w:t>
      </w:r>
      <w:r w:rsidRPr="00DC3638">
        <w:rPr>
          <w:rFonts w:eastAsia="Times New Roman"/>
        </w:rPr>
        <w:t>un nouveau procès-verbal d</w:t>
      </w:r>
      <w:r>
        <w:rPr>
          <w:rFonts w:eastAsia="Times New Roman"/>
        </w:rPr>
        <w:t>’</w:t>
      </w:r>
      <w:r w:rsidRPr="00DC3638">
        <w:rPr>
          <w:rFonts w:eastAsia="Times New Roman"/>
        </w:rPr>
        <w:t>essai portant sur la nouvelle vitesse maximale et le nouvel indice de charge maximal soit fourni par le service technique chargé d</w:t>
      </w:r>
      <w:r>
        <w:rPr>
          <w:rFonts w:eastAsia="Times New Roman"/>
        </w:rPr>
        <w:t>’</w:t>
      </w:r>
      <w:r w:rsidRPr="00DC3638">
        <w:rPr>
          <w:rFonts w:eastAsia="Times New Roman"/>
        </w:rPr>
        <w:t>effectuer les essais.</w:t>
      </w:r>
    </w:p>
    <w:p w14:paraId="2AFE913E" w14:textId="77777777" w:rsidR="00F01031" w:rsidRDefault="00F01031" w:rsidP="00F01031">
      <w:pPr>
        <w:pStyle w:val="SingleTxtG"/>
        <w:ind w:left="2268"/>
      </w:pPr>
      <w:r w:rsidRPr="00DC3638">
        <w:t>Ces nouvelles capacités de charge/vitesse doivent être spécifiées à la rubrique 9 de l</w:t>
      </w:r>
      <w:r>
        <w:t>’</w:t>
      </w:r>
      <w:r w:rsidRPr="00DC3638">
        <w:t>annexe</w:t>
      </w:r>
      <w:r w:rsidR="00B76070">
        <w:t xml:space="preserve"> </w:t>
      </w:r>
      <w:r w:rsidRPr="00DC3638">
        <w:t>1</w:t>
      </w:r>
      <w:proofErr w:type="gramStart"/>
      <w:r w:rsidRPr="00DC3638">
        <w:t>.»</w:t>
      </w:r>
      <w:proofErr w:type="gramEnd"/>
      <w:r>
        <w:t>.</w:t>
      </w:r>
    </w:p>
    <w:p w14:paraId="0316AF0D" w14:textId="77777777" w:rsidR="00F01031" w:rsidRPr="001943CE" w:rsidRDefault="00F01031" w:rsidP="00F01031">
      <w:pPr>
        <w:pStyle w:val="SingleTxtG"/>
        <w:keepNext/>
        <w:rPr>
          <w:iCs/>
        </w:rPr>
      </w:pPr>
      <w:r w:rsidRPr="007A3422">
        <w:rPr>
          <w:i/>
        </w:rPr>
        <w:t xml:space="preserve">Ajouter </w:t>
      </w:r>
      <w:r w:rsidR="00661983">
        <w:rPr>
          <w:i/>
        </w:rPr>
        <w:t>le</w:t>
      </w:r>
      <w:r w:rsidRPr="007A3422">
        <w:rPr>
          <w:i/>
        </w:rPr>
        <w:t xml:space="preserve"> nouveau paragraphe 12</w:t>
      </w:r>
      <w:r>
        <w:t>, libellé comme suit</w:t>
      </w:r>
      <w:r w:rsidR="00B76070">
        <w:t> :</w:t>
      </w:r>
    </w:p>
    <w:p w14:paraId="184629B1" w14:textId="77777777" w:rsidR="00F01031" w:rsidRPr="007203A1" w:rsidRDefault="00F01031" w:rsidP="005912C9">
      <w:pPr>
        <w:pStyle w:val="HChG"/>
        <w:tabs>
          <w:tab w:val="left" w:pos="2268"/>
        </w:tabs>
      </w:pPr>
      <w:r>
        <w:rPr>
          <w:lang w:val="fr-FR"/>
        </w:rPr>
        <w:tab/>
      </w:r>
      <w:r>
        <w:rPr>
          <w:lang w:val="fr-FR"/>
        </w:rPr>
        <w:tab/>
      </w:r>
      <w:r w:rsidRPr="00F01031">
        <w:rPr>
          <w:b w:val="0"/>
          <w:sz w:val="20"/>
          <w:lang w:val="fr-FR"/>
        </w:rPr>
        <w:t>« </w:t>
      </w:r>
      <w:r w:rsidRPr="007203A1">
        <w:rPr>
          <w:lang w:val="fr-FR"/>
        </w:rPr>
        <w:t>12.</w:t>
      </w:r>
      <w:r w:rsidRPr="007203A1">
        <w:rPr>
          <w:lang w:val="fr-FR"/>
        </w:rPr>
        <w:tab/>
        <w:t>Dispositions transitoires</w:t>
      </w:r>
    </w:p>
    <w:p w14:paraId="56BA25F9" w14:textId="77777777" w:rsidR="00F01031" w:rsidRPr="00F01031" w:rsidRDefault="00F01031" w:rsidP="00F01031">
      <w:pPr>
        <w:pStyle w:val="SingleTxtG"/>
        <w:ind w:left="2268" w:hanging="1134"/>
      </w:pPr>
      <w:r w:rsidRPr="00F01031">
        <w:t>12.1</w:t>
      </w:r>
      <w:r>
        <w:tab/>
      </w:r>
      <w:r w:rsidRPr="00F01031">
        <w:t>À compter de la date officielle d’entrée en vigueur du complément 18 à la série originale d’amendements, aucune Partie contractante appliquant le présent Règlement ne devra refuser d’accorder ou d’accepter une homologation de type au titre du complément 18 à la version originale de ce Règlement.</w:t>
      </w:r>
    </w:p>
    <w:p w14:paraId="3E4F948E" w14:textId="77777777" w:rsidR="00F01031" w:rsidRPr="00F01031" w:rsidRDefault="00F01031" w:rsidP="00F01031">
      <w:pPr>
        <w:pStyle w:val="SingleTxtG"/>
        <w:ind w:left="2268" w:hanging="1134"/>
      </w:pPr>
      <w:r w:rsidRPr="00F01031">
        <w:t>12.2</w:t>
      </w:r>
      <w:r>
        <w:tab/>
      </w:r>
      <w:r w:rsidRPr="00F01031">
        <w:t>À compter du 1</w:t>
      </w:r>
      <w:r w:rsidRPr="00973BA7">
        <w:rPr>
          <w:vertAlign w:val="superscript"/>
        </w:rPr>
        <w:t>er</w:t>
      </w:r>
      <w:r w:rsidR="00973BA7">
        <w:t> </w:t>
      </w:r>
      <w:r w:rsidRPr="00F01031">
        <w:t>septembre 2020, aucune Partie contractante appliquant le présent Règlement ne devra accorder d’homologation de type au titre de la version originale de ce Règlement si le pneumatique à homologuer ne satisfait pas aux prescriptions du complément 18.</w:t>
      </w:r>
    </w:p>
    <w:p w14:paraId="0E02CFED" w14:textId="77777777" w:rsidR="00F01031" w:rsidRPr="007203A1" w:rsidRDefault="00F01031" w:rsidP="00F01031">
      <w:pPr>
        <w:pStyle w:val="SingleTxtG"/>
        <w:ind w:left="2268" w:hanging="1134"/>
        <w:rPr>
          <w:rFonts w:eastAsia="Times New Roman"/>
        </w:rPr>
      </w:pPr>
      <w:r w:rsidRPr="00475B54">
        <w:t>12.3</w:t>
      </w:r>
      <w:r>
        <w:tab/>
      </w:r>
      <w:r w:rsidRPr="00475B54">
        <w:t>Pour les pneumatiques homologués pour la première fois avant le 31</w:t>
      </w:r>
      <w:r w:rsidR="00B76070">
        <w:t> </w:t>
      </w:r>
      <w:r w:rsidRPr="00475B54">
        <w:t>août 2020, les Parties contractantes appliquant le présent Règlement pourront continuer à accorder des extensions d</w:t>
      </w:r>
      <w:r>
        <w:t>’</w:t>
      </w:r>
      <w:r w:rsidRPr="00475B54">
        <w:t>homologations de type sans tenir compte des dispositions du complément 18. »</w:t>
      </w:r>
      <w:r>
        <w:t>.</w:t>
      </w:r>
    </w:p>
    <w:p w14:paraId="1CEF5D63" w14:textId="77777777" w:rsidR="00F01031" w:rsidRDefault="00F01031" w:rsidP="00F01031">
      <w:pPr>
        <w:pStyle w:val="SingleTxtG"/>
        <w:keepNext/>
      </w:pPr>
      <w:r w:rsidRPr="00F01031">
        <w:rPr>
          <w:i/>
        </w:rPr>
        <w:t>Annexe 7</w:t>
      </w:r>
      <w:r w:rsidRPr="00DC3638">
        <w:t>,</w:t>
      </w:r>
    </w:p>
    <w:p w14:paraId="25DE71D6" w14:textId="77777777" w:rsidR="00F01031" w:rsidRPr="00DC3638" w:rsidRDefault="00F01031" w:rsidP="00F01031">
      <w:pPr>
        <w:pStyle w:val="SingleTxtG"/>
        <w:keepNext/>
        <w:keepLines/>
        <w:rPr>
          <w:color w:val="000000"/>
        </w:rPr>
      </w:pPr>
      <w:r w:rsidRPr="00DC3638">
        <w:rPr>
          <w:i/>
        </w:rPr>
        <w:t>Paragraphe 2.2.3</w:t>
      </w:r>
      <w:r w:rsidRPr="00DC3638">
        <w:t>, lire</w:t>
      </w:r>
      <w:r w:rsidR="00B76070">
        <w:t> :</w:t>
      </w:r>
    </w:p>
    <w:p w14:paraId="61C1F489" w14:textId="77777777" w:rsidR="00F01031" w:rsidRPr="00DC3638" w:rsidRDefault="00F01031" w:rsidP="00F01031">
      <w:pPr>
        <w:pStyle w:val="SingleTxtG"/>
        <w:ind w:left="2268" w:hanging="1134"/>
        <w:rPr>
          <w:color w:val="000000"/>
        </w:rPr>
      </w:pPr>
      <w:r w:rsidRPr="00DC3638">
        <w:rPr>
          <w:rFonts w:eastAsia="Times New Roman"/>
        </w:rPr>
        <w:t>« 2.2.3</w:t>
      </w:r>
      <w:r>
        <w:rPr>
          <w:rFonts w:eastAsia="Times New Roman"/>
        </w:rPr>
        <w:tab/>
      </w:r>
      <w:r w:rsidRPr="00DC3638">
        <w:rPr>
          <w:rFonts w:eastAsia="Times New Roman"/>
        </w:rPr>
        <w:tab/>
        <w:t>L</w:t>
      </w:r>
      <w:r>
        <w:rPr>
          <w:rFonts w:eastAsia="Times New Roman"/>
        </w:rPr>
        <w:t>’</w:t>
      </w:r>
      <w:r w:rsidRPr="00DC3638">
        <w:rPr>
          <w:rFonts w:eastAsia="Times New Roman"/>
        </w:rPr>
        <w:t>indice de charge maximale correspondant à une vitesse maximale de 270 km/h pour les pneumatiques portant le code de vitesse</w:t>
      </w:r>
      <w:r w:rsidR="00B76070">
        <w:rPr>
          <w:rFonts w:eastAsia="Times New Roman"/>
        </w:rPr>
        <w:t xml:space="preserve"> </w:t>
      </w:r>
      <w:r w:rsidRPr="00DC3638">
        <w:rPr>
          <w:rFonts w:eastAsia="Times New Roman"/>
        </w:rPr>
        <w:t>“W” (voir par. 2.36.</w:t>
      </w:r>
      <w:r w:rsidRPr="007203A1">
        <w:rPr>
          <w:rFonts w:eastAsia="Times New Roman"/>
          <w:bCs/>
        </w:rPr>
        <w:t>5 du présent Règlement</w:t>
      </w:r>
      <w:r w:rsidRPr="00DC3638">
        <w:rPr>
          <w:rFonts w:eastAsia="Times New Roman"/>
        </w:rPr>
        <w:t>). »</w:t>
      </w:r>
      <w:r>
        <w:rPr>
          <w:rFonts w:eastAsia="Times New Roman"/>
        </w:rPr>
        <w:t>.</w:t>
      </w:r>
    </w:p>
    <w:p w14:paraId="68CF04C8" w14:textId="77777777" w:rsidR="00F01031" w:rsidRDefault="00F01031" w:rsidP="00F01031">
      <w:pPr>
        <w:pStyle w:val="SingleTxtG"/>
      </w:pPr>
      <w:r w:rsidRPr="00DC3638">
        <w:t>Supprimer les paragraphes 2.2.4, 2.5.2.1 et 2.5.6.1.</w:t>
      </w:r>
    </w:p>
    <w:p w14:paraId="68F764C4" w14:textId="77777777" w:rsidR="00F01031" w:rsidRPr="00DC3638" w:rsidRDefault="00F01031" w:rsidP="00F01031">
      <w:pPr>
        <w:pStyle w:val="H4G"/>
        <w:rPr>
          <w:i w:val="0"/>
          <w:color w:val="000000"/>
        </w:rPr>
      </w:pPr>
      <w:r w:rsidRPr="00DC3638">
        <w:rPr>
          <w:rFonts w:eastAsia="Times New Roman"/>
          <w:iCs/>
        </w:rPr>
        <w:lastRenderedPageBreak/>
        <w:tab/>
      </w:r>
      <w:r w:rsidRPr="00DC3638">
        <w:rPr>
          <w:rFonts w:eastAsia="Times New Roman"/>
          <w:iCs/>
        </w:rPr>
        <w:tab/>
      </w:r>
      <w:r>
        <w:rPr>
          <w:rFonts w:eastAsia="Times New Roman"/>
          <w:iCs/>
        </w:rPr>
        <w:t xml:space="preserve">Ajouter </w:t>
      </w:r>
      <w:r w:rsidR="00407714">
        <w:rPr>
          <w:rFonts w:eastAsia="Times New Roman"/>
          <w:iCs/>
        </w:rPr>
        <w:t>le</w:t>
      </w:r>
      <w:r w:rsidRPr="00DC3638">
        <w:rPr>
          <w:rFonts w:eastAsia="Times New Roman"/>
          <w:iCs/>
        </w:rPr>
        <w:t xml:space="preserve"> nouveau paragraphe</w:t>
      </w:r>
      <w:r w:rsidR="00407714">
        <w:rPr>
          <w:rFonts w:eastAsia="Times New Roman"/>
          <w:iCs/>
        </w:rPr>
        <w:t xml:space="preserve"> </w:t>
      </w:r>
      <w:r w:rsidRPr="00DC3638">
        <w:rPr>
          <w:rFonts w:eastAsia="Times New Roman"/>
          <w:iCs/>
        </w:rPr>
        <w:t>2.6.1</w:t>
      </w:r>
      <w:r w:rsidRPr="00DC3638">
        <w:rPr>
          <w:rFonts w:eastAsia="Times New Roman"/>
          <w:i w:val="0"/>
        </w:rPr>
        <w:t>, libellé comme suit</w:t>
      </w:r>
      <w:r w:rsidR="00B76070">
        <w:rPr>
          <w:rFonts w:eastAsia="Times New Roman"/>
          <w:i w:val="0"/>
        </w:rPr>
        <w:t> :</w:t>
      </w:r>
    </w:p>
    <w:p w14:paraId="75E1938F" w14:textId="77777777" w:rsidR="00F01031" w:rsidRPr="007203A1" w:rsidRDefault="00F01031" w:rsidP="00F01031">
      <w:pPr>
        <w:pStyle w:val="SingleTxtG"/>
        <w:ind w:left="2268" w:hanging="1134"/>
        <w:rPr>
          <w:color w:val="000000"/>
        </w:rPr>
      </w:pPr>
      <w:r w:rsidRPr="00DC3638">
        <w:rPr>
          <w:rFonts w:eastAsia="Times New Roman"/>
        </w:rPr>
        <w:t>« </w:t>
      </w:r>
      <w:r w:rsidRPr="007203A1">
        <w:rPr>
          <w:rFonts w:eastAsia="Times New Roman"/>
          <w:bCs/>
        </w:rPr>
        <w:t>2.6.1</w:t>
      </w:r>
      <w:r w:rsidRPr="00DC3638">
        <w:rPr>
          <w:rFonts w:eastAsia="Times New Roman"/>
        </w:rPr>
        <w:tab/>
      </w:r>
      <w:r w:rsidRPr="00DC3638">
        <w:rPr>
          <w:rFonts w:eastAsia="Times New Roman"/>
        </w:rPr>
        <w:tab/>
      </w:r>
      <w:r w:rsidRPr="007203A1">
        <w:rPr>
          <w:rFonts w:eastAsia="Times New Roman"/>
          <w:bCs/>
        </w:rPr>
        <w:t>Appliquer sur l</w:t>
      </w:r>
      <w:r>
        <w:rPr>
          <w:rFonts w:eastAsia="Times New Roman"/>
          <w:bCs/>
        </w:rPr>
        <w:t>’</w:t>
      </w:r>
      <w:r w:rsidRPr="007203A1">
        <w:rPr>
          <w:rFonts w:eastAsia="Times New Roman"/>
          <w:bCs/>
        </w:rPr>
        <w:t>axe d</w:t>
      </w:r>
      <w:r>
        <w:rPr>
          <w:rFonts w:eastAsia="Times New Roman"/>
          <w:bCs/>
        </w:rPr>
        <w:t>’</w:t>
      </w:r>
      <w:r w:rsidRPr="007203A1">
        <w:rPr>
          <w:rFonts w:eastAsia="Times New Roman"/>
          <w:bCs/>
        </w:rPr>
        <w:t>essai une force d</w:t>
      </w:r>
      <w:r>
        <w:rPr>
          <w:rFonts w:eastAsia="Times New Roman"/>
          <w:bCs/>
        </w:rPr>
        <w:t>’</w:t>
      </w:r>
      <w:r w:rsidRPr="007203A1">
        <w:rPr>
          <w:rFonts w:eastAsia="Times New Roman"/>
          <w:bCs/>
        </w:rPr>
        <w:t>essai égale à 65 % de la charge maximale à la vitesse maximale spécifiée par le fabricant du pneumatique</w:t>
      </w:r>
      <w:r w:rsidR="00B76070">
        <w:rPr>
          <w:rFonts w:eastAsia="Times New Roman"/>
          <w:bCs/>
        </w:rPr>
        <w:t> ;</w:t>
      </w:r>
      <w:r w:rsidRPr="00DC3638">
        <w:rPr>
          <w:rFonts w:eastAsia="Times New Roman"/>
        </w:rPr>
        <w:t> »</w:t>
      </w:r>
      <w:r>
        <w:rPr>
          <w:rFonts w:eastAsia="Times New Roman"/>
        </w:rPr>
        <w:t>.</w:t>
      </w:r>
    </w:p>
    <w:p w14:paraId="69E6C56A" w14:textId="77777777" w:rsidR="00F01031" w:rsidRPr="00DC3638" w:rsidRDefault="00F01031" w:rsidP="005912C9">
      <w:pPr>
        <w:pStyle w:val="SingleTxtG"/>
        <w:keepNext/>
        <w:rPr>
          <w:color w:val="000000"/>
        </w:rPr>
      </w:pPr>
      <w:r w:rsidRPr="00DC3638">
        <w:rPr>
          <w:i/>
          <w:iCs/>
        </w:rPr>
        <w:t>Les anciens paragraphes 2.6.1 à 2.6.4</w:t>
      </w:r>
      <w:r w:rsidRPr="00DC3638">
        <w:t xml:space="preserve"> deviennent les paragraphes 2.6.2 à 2.6.5 et se lisent comme suit</w:t>
      </w:r>
      <w:r w:rsidR="00B76070">
        <w:t> :</w:t>
      </w:r>
    </w:p>
    <w:p w14:paraId="55306612" w14:textId="77777777" w:rsidR="00F01031" w:rsidRPr="007203A1" w:rsidRDefault="00F01031" w:rsidP="00F01031">
      <w:pPr>
        <w:pStyle w:val="SingleTxtG"/>
        <w:ind w:left="2268" w:hanging="1134"/>
        <w:rPr>
          <w:color w:val="000000"/>
        </w:rPr>
      </w:pPr>
      <w:r w:rsidRPr="00DC3638">
        <w:rPr>
          <w:rFonts w:eastAsia="Times New Roman"/>
          <w:bCs/>
        </w:rPr>
        <w:t>« </w:t>
      </w:r>
      <w:r w:rsidRPr="007203A1">
        <w:rPr>
          <w:rFonts w:eastAsia="Times New Roman"/>
          <w:bCs/>
        </w:rPr>
        <w:t>2.6.2</w:t>
      </w:r>
      <w:r w:rsidRPr="00DC3638">
        <w:rPr>
          <w:rFonts w:eastAsia="Times New Roman"/>
        </w:rPr>
        <w:tab/>
      </w:r>
      <w:r w:rsidRPr="00DC3638">
        <w:rPr>
          <w:rFonts w:eastAsia="Times New Roman"/>
        </w:rPr>
        <w:tab/>
      </w:r>
      <w:r w:rsidRPr="007203A1">
        <w:rPr>
          <w:rFonts w:eastAsia="Times New Roman"/>
          <w:bCs/>
        </w:rPr>
        <w:t xml:space="preserve">Passer en </w:t>
      </w:r>
      <w:r w:rsidR="00661983">
        <w:rPr>
          <w:rFonts w:eastAsia="Times New Roman"/>
          <w:bCs/>
        </w:rPr>
        <w:t>20 </w:t>
      </w:r>
      <w:r w:rsidRPr="007203A1">
        <w:rPr>
          <w:rFonts w:eastAsia="Times New Roman"/>
          <w:bCs/>
        </w:rPr>
        <w:t>min</w:t>
      </w:r>
      <w:r w:rsidRPr="00DC3638">
        <w:rPr>
          <w:rFonts w:eastAsia="Times New Roman"/>
        </w:rPr>
        <w:t xml:space="preserve"> de la vitesse zéro à la vitesse de départ de l</w:t>
      </w:r>
      <w:r>
        <w:rPr>
          <w:rFonts w:eastAsia="Times New Roman"/>
        </w:rPr>
        <w:t>’</w:t>
      </w:r>
      <w:r w:rsidRPr="00DC3638">
        <w:rPr>
          <w:rFonts w:eastAsia="Times New Roman"/>
        </w:rPr>
        <w:t xml:space="preserve">essai, </w:t>
      </w:r>
      <w:r w:rsidRPr="007203A1">
        <w:rPr>
          <w:rFonts w:eastAsia="Times New Roman"/>
          <w:bCs/>
        </w:rPr>
        <w:t>qui est inférieure de 30 km/h à la vitesse maximale spécifiée par le fabricant du pneumatique (voir par. 4.1.15 du présent Règlement) si un tambour d</w:t>
      </w:r>
      <w:r>
        <w:rPr>
          <w:rFonts w:eastAsia="Times New Roman"/>
          <w:bCs/>
        </w:rPr>
        <w:t>’</w:t>
      </w:r>
      <w:r w:rsidRPr="007203A1">
        <w:rPr>
          <w:rFonts w:eastAsia="Times New Roman"/>
          <w:bCs/>
        </w:rPr>
        <w:t xml:space="preserve">essai de 2,0 m de diamètre est utilisé, ou inférieure de 40 km/h </w:t>
      </w:r>
      <w:r>
        <w:rPr>
          <w:rFonts w:eastAsia="Times New Roman"/>
          <w:bCs/>
        </w:rPr>
        <w:t xml:space="preserve">si </w:t>
      </w:r>
      <w:r w:rsidRPr="007203A1">
        <w:rPr>
          <w:rFonts w:eastAsia="Times New Roman"/>
          <w:bCs/>
        </w:rPr>
        <w:t>un tambour d</w:t>
      </w:r>
      <w:r>
        <w:rPr>
          <w:rFonts w:eastAsia="Times New Roman"/>
          <w:bCs/>
        </w:rPr>
        <w:t>’</w:t>
      </w:r>
      <w:r w:rsidRPr="007203A1">
        <w:rPr>
          <w:rFonts w:eastAsia="Times New Roman"/>
          <w:bCs/>
        </w:rPr>
        <w:t>essai de 1,7 m de diamètre est utilisé</w:t>
      </w:r>
      <w:r w:rsidR="00B76070">
        <w:rPr>
          <w:rFonts w:eastAsia="Times New Roman"/>
          <w:bCs/>
        </w:rPr>
        <w:t> ;</w:t>
      </w:r>
    </w:p>
    <w:p w14:paraId="3CC8B654" w14:textId="77777777" w:rsidR="00F01031" w:rsidRPr="007203A1" w:rsidRDefault="00F01031" w:rsidP="00F01031">
      <w:pPr>
        <w:pStyle w:val="SingleTxtG"/>
        <w:ind w:left="2268" w:hanging="1134"/>
        <w:rPr>
          <w:color w:val="000000"/>
        </w:rPr>
      </w:pPr>
      <w:r w:rsidRPr="007203A1">
        <w:rPr>
          <w:rFonts w:eastAsia="Times New Roman"/>
          <w:bCs/>
        </w:rPr>
        <w:t>2.6.3</w:t>
      </w:r>
      <w:r w:rsidRPr="00DC3638">
        <w:rPr>
          <w:rFonts w:eastAsia="Times New Roman"/>
        </w:rPr>
        <w:tab/>
      </w:r>
      <w:r w:rsidRPr="00DC3638">
        <w:rPr>
          <w:rFonts w:eastAsia="Times New Roman"/>
        </w:rPr>
        <w:tab/>
      </w:r>
      <w:r w:rsidRPr="007203A1">
        <w:rPr>
          <w:rFonts w:eastAsia="Times New Roman"/>
          <w:bCs/>
        </w:rPr>
        <w:t>Rouler</w:t>
      </w:r>
      <w:r w:rsidRPr="00DC3638">
        <w:rPr>
          <w:rFonts w:eastAsia="Times New Roman"/>
        </w:rPr>
        <w:t xml:space="preserve"> </w:t>
      </w:r>
      <w:r w:rsidR="00661983">
        <w:rPr>
          <w:rFonts w:eastAsia="Times New Roman"/>
        </w:rPr>
        <w:t>20 </w:t>
      </w:r>
      <w:r w:rsidRPr="00DC3638">
        <w:rPr>
          <w:rFonts w:eastAsia="Times New Roman"/>
        </w:rPr>
        <w:t>min à la vitesse de départ de l</w:t>
      </w:r>
      <w:r>
        <w:rPr>
          <w:rFonts w:eastAsia="Times New Roman"/>
        </w:rPr>
        <w:t>’</w:t>
      </w:r>
      <w:r w:rsidRPr="00DC3638">
        <w:rPr>
          <w:rFonts w:eastAsia="Times New Roman"/>
        </w:rPr>
        <w:t>essai</w:t>
      </w:r>
      <w:r w:rsidR="00B76070">
        <w:rPr>
          <w:rFonts w:eastAsia="Times New Roman"/>
        </w:rPr>
        <w:t> ;</w:t>
      </w:r>
    </w:p>
    <w:p w14:paraId="7B077CAB" w14:textId="77777777" w:rsidR="00F01031" w:rsidRPr="007203A1" w:rsidRDefault="00F01031" w:rsidP="00F01031">
      <w:pPr>
        <w:pStyle w:val="SingleTxtG"/>
        <w:ind w:left="2268" w:hanging="1134"/>
        <w:rPr>
          <w:color w:val="000000"/>
        </w:rPr>
      </w:pPr>
      <w:r w:rsidRPr="007203A1">
        <w:rPr>
          <w:rFonts w:eastAsia="Times New Roman"/>
          <w:bCs/>
        </w:rPr>
        <w:t>2.6.4</w:t>
      </w:r>
      <w:r w:rsidRPr="00DC3638">
        <w:rPr>
          <w:rFonts w:eastAsia="Times New Roman"/>
        </w:rPr>
        <w:tab/>
      </w:r>
      <w:r w:rsidRPr="00DC3638">
        <w:rPr>
          <w:rFonts w:eastAsia="Times New Roman"/>
        </w:rPr>
        <w:tab/>
      </w:r>
      <w:r w:rsidRPr="007203A1">
        <w:rPr>
          <w:rFonts w:eastAsia="Times New Roman"/>
          <w:bCs/>
        </w:rPr>
        <w:t>Passer en</w:t>
      </w:r>
      <w:r w:rsidR="00661983">
        <w:rPr>
          <w:rFonts w:eastAsia="Times New Roman"/>
          <w:bCs/>
        </w:rPr>
        <w:t xml:space="preserve"> 20 </w:t>
      </w:r>
      <w:r w:rsidRPr="007203A1">
        <w:rPr>
          <w:rFonts w:eastAsia="Times New Roman"/>
          <w:bCs/>
        </w:rPr>
        <w:t xml:space="preserve">min </w:t>
      </w:r>
      <w:r w:rsidRPr="00DC3638">
        <w:rPr>
          <w:rFonts w:eastAsia="Times New Roman"/>
        </w:rPr>
        <w:t>de la vitesse zéro à la vitesse de départ de l</w:t>
      </w:r>
      <w:r>
        <w:rPr>
          <w:rFonts w:eastAsia="Times New Roman"/>
        </w:rPr>
        <w:t>’</w:t>
      </w:r>
      <w:r w:rsidRPr="00DC3638">
        <w:rPr>
          <w:rFonts w:eastAsia="Times New Roman"/>
        </w:rPr>
        <w:t>essai,</w:t>
      </w:r>
      <w:r w:rsidRPr="007203A1">
        <w:rPr>
          <w:rFonts w:eastAsia="Times New Roman"/>
          <w:bCs/>
        </w:rPr>
        <w:t xml:space="preserve"> qui est la vitesse maximale spécifiée par le fabricant du pneumatique (voir par. 4.1.15 du présent Règlement) si un tambour d</w:t>
      </w:r>
      <w:r>
        <w:rPr>
          <w:rFonts w:eastAsia="Times New Roman"/>
          <w:bCs/>
        </w:rPr>
        <w:t>’</w:t>
      </w:r>
      <w:r w:rsidRPr="007203A1">
        <w:rPr>
          <w:rFonts w:eastAsia="Times New Roman"/>
          <w:bCs/>
        </w:rPr>
        <w:t>essai de 2,0 m de diamètre est utilisé, ou inférieure de 10 km/h si un tambour d</w:t>
      </w:r>
      <w:r>
        <w:rPr>
          <w:rFonts w:eastAsia="Times New Roman"/>
          <w:bCs/>
        </w:rPr>
        <w:t>’</w:t>
      </w:r>
      <w:r w:rsidRPr="007203A1">
        <w:rPr>
          <w:rFonts w:eastAsia="Times New Roman"/>
          <w:bCs/>
        </w:rPr>
        <w:t>essai de 1,7 m de diamètre est utilisé</w:t>
      </w:r>
      <w:r w:rsidR="00B76070">
        <w:rPr>
          <w:rFonts w:eastAsia="Times New Roman"/>
          <w:bCs/>
        </w:rPr>
        <w:t> ;</w:t>
      </w:r>
    </w:p>
    <w:p w14:paraId="6946A940" w14:textId="77777777" w:rsidR="00F01031" w:rsidRDefault="00F01031" w:rsidP="00F01031">
      <w:pPr>
        <w:pStyle w:val="SingleTxtG"/>
        <w:ind w:left="2268" w:hanging="1134"/>
        <w:rPr>
          <w:rFonts w:eastAsia="Times New Roman"/>
        </w:rPr>
      </w:pPr>
      <w:r w:rsidRPr="007203A1">
        <w:rPr>
          <w:rFonts w:eastAsia="Times New Roman"/>
          <w:bCs/>
        </w:rPr>
        <w:t>2.6.5</w:t>
      </w:r>
      <w:r w:rsidRPr="00DC3638">
        <w:rPr>
          <w:rFonts w:eastAsia="Times New Roman"/>
        </w:rPr>
        <w:tab/>
      </w:r>
      <w:r w:rsidRPr="00DC3638">
        <w:rPr>
          <w:rFonts w:eastAsia="Times New Roman"/>
        </w:rPr>
        <w:tab/>
      </w:r>
      <w:r w:rsidRPr="007203A1">
        <w:rPr>
          <w:rFonts w:eastAsia="Times New Roman"/>
          <w:bCs/>
        </w:rPr>
        <w:t xml:space="preserve">Rouler </w:t>
      </w:r>
      <w:r w:rsidR="00661983">
        <w:rPr>
          <w:rFonts w:eastAsia="Times New Roman"/>
        </w:rPr>
        <w:t>5 </w:t>
      </w:r>
      <w:r w:rsidRPr="00DC3638">
        <w:rPr>
          <w:rFonts w:eastAsia="Times New Roman"/>
        </w:rPr>
        <w:t>min à la vitesse maximale de l</w:t>
      </w:r>
      <w:r>
        <w:rPr>
          <w:rFonts w:eastAsia="Times New Roman"/>
        </w:rPr>
        <w:t>’</w:t>
      </w:r>
      <w:r w:rsidRPr="00DC3638">
        <w:rPr>
          <w:rFonts w:eastAsia="Times New Roman"/>
        </w:rPr>
        <w:t>essai. »</w:t>
      </w:r>
      <w:r>
        <w:rPr>
          <w:rFonts w:eastAsia="Times New Roman"/>
        </w:rPr>
        <w:t>.</w:t>
      </w:r>
    </w:p>
    <w:p w14:paraId="56D7E346" w14:textId="77777777" w:rsidR="00F9573C" w:rsidRPr="00F01031" w:rsidRDefault="00F01031" w:rsidP="00F01031">
      <w:pPr>
        <w:pStyle w:val="SingleTxtG"/>
        <w:spacing w:before="240" w:after="0"/>
        <w:jc w:val="center"/>
        <w:rPr>
          <w:u w:val="single"/>
        </w:rPr>
      </w:pPr>
      <w:r>
        <w:rPr>
          <w:u w:val="single"/>
        </w:rPr>
        <w:tab/>
      </w:r>
      <w:r>
        <w:rPr>
          <w:u w:val="single"/>
        </w:rPr>
        <w:tab/>
      </w:r>
      <w:r>
        <w:rPr>
          <w:u w:val="single"/>
        </w:rPr>
        <w:tab/>
      </w:r>
    </w:p>
    <w:sectPr w:rsidR="00F9573C" w:rsidRPr="00F01031" w:rsidSect="00F0103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F0F2" w14:textId="77777777" w:rsidR="00754365" w:rsidRDefault="00754365" w:rsidP="00F95C08">
      <w:pPr>
        <w:spacing w:line="240" w:lineRule="auto"/>
      </w:pPr>
    </w:p>
  </w:endnote>
  <w:endnote w:type="continuationSeparator" w:id="0">
    <w:p w14:paraId="6D95B1AB" w14:textId="77777777" w:rsidR="00754365" w:rsidRPr="00AC3823" w:rsidRDefault="00754365" w:rsidP="00AC3823">
      <w:pPr>
        <w:pStyle w:val="Footer"/>
      </w:pPr>
    </w:p>
  </w:endnote>
  <w:endnote w:type="continuationNotice" w:id="1">
    <w:p w14:paraId="4C3F7290" w14:textId="77777777" w:rsidR="00754365" w:rsidRDefault="007543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205B" w14:textId="77777777" w:rsidR="00F01031" w:rsidRPr="00F01031" w:rsidRDefault="00F01031" w:rsidP="00F01031">
    <w:pPr>
      <w:pStyle w:val="Footer"/>
      <w:tabs>
        <w:tab w:val="right" w:pos="9638"/>
      </w:tabs>
    </w:pPr>
    <w:r w:rsidRPr="00F01031">
      <w:rPr>
        <w:b/>
        <w:sz w:val="18"/>
      </w:rPr>
      <w:fldChar w:fldCharType="begin"/>
    </w:r>
    <w:r w:rsidRPr="00F01031">
      <w:rPr>
        <w:b/>
        <w:sz w:val="18"/>
      </w:rPr>
      <w:instrText xml:space="preserve"> PAGE  \* MERGEFORMAT </w:instrText>
    </w:r>
    <w:r w:rsidRPr="00F01031">
      <w:rPr>
        <w:b/>
        <w:sz w:val="18"/>
      </w:rPr>
      <w:fldChar w:fldCharType="separate"/>
    </w:r>
    <w:r w:rsidRPr="00F01031">
      <w:rPr>
        <w:b/>
        <w:noProof/>
        <w:sz w:val="18"/>
      </w:rPr>
      <w:t>2</w:t>
    </w:r>
    <w:r w:rsidRPr="00F01031">
      <w:rPr>
        <w:b/>
        <w:sz w:val="18"/>
      </w:rPr>
      <w:fldChar w:fldCharType="end"/>
    </w:r>
    <w:r>
      <w:rPr>
        <w:b/>
        <w:sz w:val="18"/>
      </w:rPr>
      <w:tab/>
    </w:r>
    <w:r>
      <w:t>GE.19-06139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3D4D" w14:textId="77777777" w:rsidR="00F01031" w:rsidRPr="00F01031" w:rsidRDefault="00F01031" w:rsidP="00F01031">
    <w:pPr>
      <w:pStyle w:val="Footer"/>
      <w:tabs>
        <w:tab w:val="right" w:pos="9638"/>
      </w:tabs>
      <w:rPr>
        <w:b/>
        <w:sz w:val="18"/>
      </w:rPr>
    </w:pPr>
    <w:r>
      <w:t>GE.19-06139</w:t>
    </w:r>
    <w:r>
      <w:tab/>
    </w:r>
    <w:r w:rsidRPr="00F01031">
      <w:rPr>
        <w:b/>
        <w:sz w:val="18"/>
      </w:rPr>
      <w:fldChar w:fldCharType="begin"/>
    </w:r>
    <w:r w:rsidRPr="00F01031">
      <w:rPr>
        <w:b/>
        <w:sz w:val="18"/>
      </w:rPr>
      <w:instrText xml:space="preserve"> PAGE  \* MERGEFORMAT </w:instrText>
    </w:r>
    <w:r w:rsidRPr="00F01031">
      <w:rPr>
        <w:b/>
        <w:sz w:val="18"/>
      </w:rPr>
      <w:fldChar w:fldCharType="separate"/>
    </w:r>
    <w:r w:rsidRPr="00F01031">
      <w:rPr>
        <w:b/>
        <w:noProof/>
        <w:sz w:val="18"/>
      </w:rPr>
      <w:t>3</w:t>
    </w:r>
    <w:r w:rsidRPr="00F010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719B" w14:textId="77777777" w:rsidR="007F20FA" w:rsidRPr="00F01031" w:rsidRDefault="00F01031" w:rsidP="00F01031">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2F4975A" wp14:editId="2C5F5C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06139  (</w:t>
    </w:r>
    <w:proofErr w:type="gramEnd"/>
    <w:r>
      <w:rPr>
        <w:sz w:val="20"/>
      </w:rPr>
      <w:t>F)    060519    060519</w:t>
    </w:r>
    <w:r>
      <w:rPr>
        <w:sz w:val="20"/>
      </w:rPr>
      <w:br/>
    </w:r>
    <w:r w:rsidRPr="00F01031">
      <w:rPr>
        <w:rFonts w:ascii="C39T30Lfz" w:hAnsi="C39T30Lfz"/>
        <w:sz w:val="56"/>
      </w:rPr>
      <w:t></w:t>
    </w:r>
    <w:r w:rsidRPr="00F01031">
      <w:rPr>
        <w:rFonts w:ascii="C39T30Lfz" w:hAnsi="C39T30Lfz"/>
        <w:sz w:val="56"/>
      </w:rPr>
      <w:t></w:t>
    </w:r>
    <w:r w:rsidRPr="00F01031">
      <w:rPr>
        <w:rFonts w:ascii="C39T30Lfz" w:hAnsi="C39T30Lfz"/>
        <w:sz w:val="56"/>
      </w:rPr>
      <w:t></w:t>
    </w:r>
    <w:r w:rsidRPr="00F01031">
      <w:rPr>
        <w:rFonts w:ascii="C39T30Lfz" w:hAnsi="C39T30Lfz"/>
        <w:sz w:val="56"/>
      </w:rPr>
      <w:t></w:t>
    </w:r>
    <w:r w:rsidRPr="00F01031">
      <w:rPr>
        <w:rFonts w:ascii="C39T30Lfz" w:hAnsi="C39T30Lfz"/>
        <w:sz w:val="56"/>
      </w:rPr>
      <w:t></w:t>
    </w:r>
    <w:r w:rsidRPr="00F01031">
      <w:rPr>
        <w:rFonts w:ascii="C39T30Lfz" w:hAnsi="C39T30Lfz"/>
        <w:sz w:val="56"/>
      </w:rPr>
      <w:t></w:t>
    </w:r>
    <w:r w:rsidRPr="00F01031">
      <w:rPr>
        <w:rFonts w:ascii="C39T30Lfz" w:hAnsi="C39T30Lfz"/>
        <w:sz w:val="56"/>
      </w:rPr>
      <w:t></w:t>
    </w:r>
    <w:r w:rsidRPr="00F01031">
      <w:rPr>
        <w:rFonts w:ascii="C39T30Lfz" w:hAnsi="C39T30Lfz"/>
        <w:sz w:val="56"/>
      </w:rPr>
      <w:t></w:t>
    </w:r>
    <w:r w:rsidRPr="00F01031">
      <w:rPr>
        <w:rFonts w:ascii="C39T30Lfz" w:hAnsi="C39T30Lfz"/>
        <w:sz w:val="56"/>
      </w:rPr>
      <w:t></w:t>
    </w:r>
    <w:r>
      <w:rPr>
        <w:noProof/>
        <w:sz w:val="20"/>
      </w:rPr>
      <w:drawing>
        <wp:anchor distT="0" distB="0" distL="114300" distR="114300" simplePos="0" relativeHeight="251658240" behindDoc="0" locked="0" layoutInCell="1" allowOverlap="1" wp14:anchorId="617C7BB6" wp14:editId="7FA2D4D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5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5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85BC" w14:textId="77777777" w:rsidR="00754365" w:rsidRPr="00AC3823" w:rsidRDefault="00754365" w:rsidP="00AC3823">
      <w:pPr>
        <w:pStyle w:val="Footer"/>
        <w:tabs>
          <w:tab w:val="right" w:pos="2155"/>
        </w:tabs>
        <w:spacing w:after="80" w:line="240" w:lineRule="atLeast"/>
        <w:ind w:left="680"/>
        <w:rPr>
          <w:u w:val="single"/>
        </w:rPr>
      </w:pPr>
      <w:r>
        <w:rPr>
          <w:u w:val="single"/>
        </w:rPr>
        <w:tab/>
      </w:r>
    </w:p>
  </w:footnote>
  <w:footnote w:type="continuationSeparator" w:id="0">
    <w:p w14:paraId="65560BE7" w14:textId="77777777" w:rsidR="00754365" w:rsidRPr="00AC3823" w:rsidRDefault="00754365" w:rsidP="00AC3823">
      <w:pPr>
        <w:pStyle w:val="Footer"/>
        <w:tabs>
          <w:tab w:val="right" w:pos="2155"/>
        </w:tabs>
        <w:spacing w:after="80" w:line="240" w:lineRule="atLeast"/>
        <w:ind w:left="680"/>
        <w:rPr>
          <w:u w:val="single"/>
        </w:rPr>
      </w:pPr>
      <w:r>
        <w:rPr>
          <w:u w:val="single"/>
        </w:rPr>
        <w:tab/>
      </w:r>
    </w:p>
  </w:footnote>
  <w:footnote w:type="continuationNotice" w:id="1">
    <w:p w14:paraId="584322A6" w14:textId="77777777" w:rsidR="00754365" w:rsidRPr="00AC3823" w:rsidRDefault="00754365">
      <w:pPr>
        <w:spacing w:line="240" w:lineRule="auto"/>
        <w:rPr>
          <w:sz w:val="2"/>
          <w:szCs w:val="2"/>
        </w:rPr>
      </w:pPr>
    </w:p>
  </w:footnote>
  <w:footnote w:id="2">
    <w:p w14:paraId="24CD7476" w14:textId="77777777" w:rsidR="00F01031" w:rsidRPr="00706101" w:rsidRDefault="00F01031" w:rsidP="00F01031">
      <w:pPr>
        <w:pStyle w:val="FootnoteText"/>
      </w:pPr>
      <w:r w:rsidRPr="005912C9">
        <w:rPr>
          <w:sz w:val="20"/>
        </w:rPr>
        <w:tab/>
        <w:t>*</w:t>
      </w:r>
      <w:r w:rsidRPr="005912C9">
        <w:rPr>
          <w:sz w:val="20"/>
        </w:rPr>
        <w:tab/>
      </w:r>
      <w:r w:rsidRPr="005912C9">
        <w:rPr>
          <w:spacing w:val="-1"/>
        </w:rPr>
        <w:t>Conformément au programme de travail du Comité des transports intérieurs pour la période 2018-2019 (ECE/TRANS/274, par.</w:t>
      </w:r>
      <w:r w:rsidR="005912C9">
        <w:rPr>
          <w:spacing w:val="-1"/>
        </w:rPr>
        <w:t> </w:t>
      </w:r>
      <w:r w:rsidRPr="005912C9">
        <w:rPr>
          <w:spacing w:val="-1"/>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AED4" w14:textId="2FFA4EB1" w:rsidR="00F01031" w:rsidRPr="00F01031" w:rsidRDefault="0036007E">
    <w:pPr>
      <w:pStyle w:val="Header"/>
    </w:pPr>
    <w:r>
      <w:fldChar w:fldCharType="begin"/>
    </w:r>
    <w:r>
      <w:instrText xml:space="preserve"> TITLE  \* MERGEFORMAT </w:instrText>
    </w:r>
    <w:r>
      <w:fldChar w:fldCharType="separate"/>
    </w:r>
    <w:r>
      <w:t>ECE/TRANS/WP.29/2019/53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FA2B" w14:textId="768A199B" w:rsidR="00F01031" w:rsidRPr="00F01031" w:rsidRDefault="0036007E" w:rsidP="00F01031">
    <w:pPr>
      <w:pStyle w:val="Header"/>
      <w:jc w:val="right"/>
    </w:pPr>
    <w:r>
      <w:fldChar w:fldCharType="begin"/>
    </w:r>
    <w:r>
      <w:instrText xml:space="preserve"> TITLE  \* MERGEFORMAT </w:instrText>
    </w:r>
    <w:r>
      <w:fldChar w:fldCharType="separate"/>
    </w:r>
    <w:r>
      <w:t>ECE/TRANS/WP.29/2019/53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65"/>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6007E"/>
    <w:rsid w:val="003916DE"/>
    <w:rsid w:val="00407714"/>
    <w:rsid w:val="00421996"/>
    <w:rsid w:val="00441C3B"/>
    <w:rsid w:val="00446FE5"/>
    <w:rsid w:val="00452396"/>
    <w:rsid w:val="0047780C"/>
    <w:rsid w:val="004837D8"/>
    <w:rsid w:val="004E2EED"/>
    <w:rsid w:val="004E468C"/>
    <w:rsid w:val="005505B7"/>
    <w:rsid w:val="00573BE5"/>
    <w:rsid w:val="00586ED3"/>
    <w:rsid w:val="005912C9"/>
    <w:rsid w:val="00596AA9"/>
    <w:rsid w:val="00661983"/>
    <w:rsid w:val="0071601D"/>
    <w:rsid w:val="00754365"/>
    <w:rsid w:val="007A3422"/>
    <w:rsid w:val="007A62E6"/>
    <w:rsid w:val="007F20FA"/>
    <w:rsid w:val="0080684C"/>
    <w:rsid w:val="00824F87"/>
    <w:rsid w:val="00871C75"/>
    <w:rsid w:val="008776DC"/>
    <w:rsid w:val="008E5A6A"/>
    <w:rsid w:val="009446C0"/>
    <w:rsid w:val="009705C8"/>
    <w:rsid w:val="00973BA7"/>
    <w:rsid w:val="00994729"/>
    <w:rsid w:val="009C1CF4"/>
    <w:rsid w:val="009F6B74"/>
    <w:rsid w:val="00A3029F"/>
    <w:rsid w:val="00A30353"/>
    <w:rsid w:val="00AC3823"/>
    <w:rsid w:val="00AE323C"/>
    <w:rsid w:val="00AF0CB5"/>
    <w:rsid w:val="00B00181"/>
    <w:rsid w:val="00B00B0D"/>
    <w:rsid w:val="00B45F2E"/>
    <w:rsid w:val="00B76070"/>
    <w:rsid w:val="00B765F7"/>
    <w:rsid w:val="00BA0CA9"/>
    <w:rsid w:val="00C02897"/>
    <w:rsid w:val="00C97039"/>
    <w:rsid w:val="00D3439C"/>
    <w:rsid w:val="00DB1831"/>
    <w:rsid w:val="00DD3BFD"/>
    <w:rsid w:val="00DF6678"/>
    <w:rsid w:val="00E0299A"/>
    <w:rsid w:val="00E85C74"/>
    <w:rsid w:val="00EA6547"/>
    <w:rsid w:val="00EF2E22"/>
    <w:rsid w:val="00F01031"/>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CB7C3"/>
  <w15:docId w15:val="{E68A0E87-6E8A-460E-A48F-053FFD3E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uiPriority w:val="59"/>
    <w:rsid w:val="00F01031"/>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F01031"/>
    <w:rPr>
      <w:rFonts w:ascii="Times New Roman" w:eastAsiaTheme="minorHAnsi" w:hAnsi="Times New Roman" w:cs="Times New Roman"/>
      <w:sz w:val="20"/>
      <w:szCs w:val="20"/>
      <w:lang w:eastAsia="en-US"/>
    </w:rPr>
  </w:style>
  <w:style w:type="character" w:customStyle="1" w:styleId="HChGChar">
    <w:name w:val="_ H _Ch_G Char"/>
    <w:link w:val="HChG"/>
    <w:rsid w:val="00F01031"/>
    <w:rPr>
      <w:rFonts w:ascii="Times New Roman" w:eastAsiaTheme="minorHAnsi" w:hAnsi="Times New Roman" w:cs="Times New Roman"/>
      <w:b/>
      <w:sz w:val="28"/>
      <w:szCs w:val="20"/>
      <w:lang w:eastAsia="en-US"/>
    </w:rPr>
  </w:style>
  <w:style w:type="paragraph" w:customStyle="1" w:styleId="para">
    <w:name w:val="para"/>
    <w:basedOn w:val="Normal"/>
    <w:link w:val="paraChar"/>
    <w:qFormat/>
    <w:rsid w:val="00F01031"/>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F01031"/>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1553</Words>
  <Characters>8853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ECE/TRANS/WP.29/2019/53</vt:lpstr>
      <vt:lpstr>ECE/TRANS/WP.29/2019/53</vt:lpstr>
    </vt:vector>
  </TitlesOfParts>
  <Company>DCM</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ECE/TRANS/WP.29/2019/53</dc:title>
  <dc:subject/>
  <dc:creator>Nicolas MORIN</dc:creator>
  <cp:keywords/>
  <cp:lastModifiedBy>Marie-Claude Collet</cp:lastModifiedBy>
  <cp:revision>3</cp:revision>
  <cp:lastPrinted>2019-05-08T09:34:00Z</cp:lastPrinted>
  <dcterms:created xsi:type="dcterms:W3CDTF">2019-05-08T09:34:00Z</dcterms:created>
  <dcterms:modified xsi:type="dcterms:W3CDTF">2019-05-08T09:35:00Z</dcterms:modified>
</cp:coreProperties>
</file>