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29C5D3E" w14:textId="77777777" w:rsidTr="00C97039">
        <w:trPr>
          <w:trHeight w:hRule="exact" w:val="851"/>
        </w:trPr>
        <w:tc>
          <w:tcPr>
            <w:tcW w:w="1276" w:type="dxa"/>
            <w:tcBorders>
              <w:bottom w:val="single" w:sz="4" w:space="0" w:color="auto"/>
            </w:tcBorders>
          </w:tcPr>
          <w:p w14:paraId="1CB70F87" w14:textId="77777777" w:rsidR="00F35BAF" w:rsidRPr="00DB58B5" w:rsidRDefault="00F35BAF" w:rsidP="00C421FC">
            <w:bookmarkStart w:id="0" w:name="_GoBack"/>
            <w:bookmarkEnd w:id="0"/>
          </w:p>
        </w:tc>
        <w:tc>
          <w:tcPr>
            <w:tcW w:w="2268" w:type="dxa"/>
            <w:tcBorders>
              <w:bottom w:val="single" w:sz="4" w:space="0" w:color="auto"/>
            </w:tcBorders>
            <w:vAlign w:val="bottom"/>
          </w:tcPr>
          <w:p w14:paraId="35DB686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417117" w14:textId="77777777" w:rsidR="00F35BAF" w:rsidRPr="00DB58B5" w:rsidRDefault="00C421FC" w:rsidP="00C421FC">
            <w:pPr>
              <w:jc w:val="right"/>
            </w:pPr>
            <w:r w:rsidRPr="00C421FC">
              <w:rPr>
                <w:sz w:val="40"/>
              </w:rPr>
              <w:t>ECE</w:t>
            </w:r>
            <w:r>
              <w:t>/TRANS/WP.29/2019/46</w:t>
            </w:r>
          </w:p>
        </w:tc>
      </w:tr>
      <w:tr w:rsidR="00F35BAF" w:rsidRPr="00DB58B5" w14:paraId="1098665C" w14:textId="77777777" w:rsidTr="00C97039">
        <w:trPr>
          <w:trHeight w:hRule="exact" w:val="2835"/>
        </w:trPr>
        <w:tc>
          <w:tcPr>
            <w:tcW w:w="1276" w:type="dxa"/>
            <w:tcBorders>
              <w:top w:val="single" w:sz="4" w:space="0" w:color="auto"/>
              <w:bottom w:val="single" w:sz="12" w:space="0" w:color="auto"/>
            </w:tcBorders>
          </w:tcPr>
          <w:p w14:paraId="13B1DDDB" w14:textId="77777777" w:rsidR="00F35BAF" w:rsidRPr="00DB58B5" w:rsidRDefault="00F35BAF" w:rsidP="00C97039">
            <w:pPr>
              <w:spacing w:before="120"/>
              <w:jc w:val="center"/>
            </w:pPr>
            <w:r>
              <w:rPr>
                <w:noProof/>
                <w:lang w:eastAsia="fr-CH"/>
              </w:rPr>
              <w:drawing>
                <wp:inline distT="0" distB="0" distL="0" distR="0" wp14:anchorId="432B1198" wp14:editId="664ED1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98D53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38F486" w14:textId="77777777" w:rsidR="00F35BAF" w:rsidRDefault="00C421FC" w:rsidP="00C97039">
            <w:pPr>
              <w:spacing w:before="240"/>
            </w:pPr>
            <w:r>
              <w:t xml:space="preserve">Distr. </w:t>
            </w:r>
            <w:proofErr w:type="gramStart"/>
            <w:r>
              <w:t>générale</w:t>
            </w:r>
            <w:proofErr w:type="gramEnd"/>
          </w:p>
          <w:p w14:paraId="0F09AC72" w14:textId="77777777" w:rsidR="00C421FC" w:rsidRDefault="00C421FC" w:rsidP="00C421FC">
            <w:pPr>
              <w:spacing w:line="240" w:lineRule="exact"/>
            </w:pPr>
            <w:r>
              <w:t>1</w:t>
            </w:r>
            <w:r w:rsidR="00246889">
              <w:t>1</w:t>
            </w:r>
            <w:r>
              <w:t xml:space="preserve"> avril 2019</w:t>
            </w:r>
          </w:p>
          <w:p w14:paraId="01295D3F" w14:textId="77777777" w:rsidR="00C421FC" w:rsidRDefault="00C421FC" w:rsidP="00C421FC">
            <w:pPr>
              <w:spacing w:line="240" w:lineRule="exact"/>
            </w:pPr>
            <w:r>
              <w:t>Français</w:t>
            </w:r>
          </w:p>
          <w:p w14:paraId="2AEAE678" w14:textId="77777777" w:rsidR="00C421FC" w:rsidRPr="00DB58B5" w:rsidRDefault="00C421FC" w:rsidP="00C421FC">
            <w:pPr>
              <w:spacing w:line="240" w:lineRule="exact"/>
            </w:pPr>
            <w:r>
              <w:t>Original</w:t>
            </w:r>
            <w:r w:rsidR="00246889">
              <w:t> :</w:t>
            </w:r>
            <w:r>
              <w:t xml:space="preserve"> anglais</w:t>
            </w:r>
          </w:p>
        </w:tc>
      </w:tr>
    </w:tbl>
    <w:p w14:paraId="419B9174" w14:textId="77777777" w:rsidR="007F20FA" w:rsidRPr="000312C0" w:rsidRDefault="007F20FA" w:rsidP="007F20FA">
      <w:pPr>
        <w:spacing w:before="120"/>
        <w:rPr>
          <w:b/>
          <w:sz w:val="28"/>
          <w:szCs w:val="28"/>
        </w:rPr>
      </w:pPr>
      <w:r w:rsidRPr="000312C0">
        <w:rPr>
          <w:b/>
          <w:sz w:val="28"/>
          <w:szCs w:val="28"/>
        </w:rPr>
        <w:t>Commission économique pour l’Europe</w:t>
      </w:r>
    </w:p>
    <w:p w14:paraId="0827EFEA" w14:textId="77777777" w:rsidR="007F20FA" w:rsidRDefault="007F20FA" w:rsidP="007F20FA">
      <w:pPr>
        <w:spacing w:before="120"/>
        <w:rPr>
          <w:sz w:val="28"/>
          <w:szCs w:val="28"/>
        </w:rPr>
      </w:pPr>
      <w:r w:rsidRPr="00685843">
        <w:rPr>
          <w:sz w:val="28"/>
          <w:szCs w:val="28"/>
        </w:rPr>
        <w:t>Comité des transports intérieurs</w:t>
      </w:r>
    </w:p>
    <w:p w14:paraId="7F2B9ADA" w14:textId="77777777" w:rsidR="00246889" w:rsidRPr="00246889" w:rsidRDefault="00246889" w:rsidP="00246889">
      <w:pPr>
        <w:spacing w:before="120"/>
        <w:rPr>
          <w:b/>
          <w:sz w:val="24"/>
          <w:szCs w:val="24"/>
          <w:lang w:val="fr-FR"/>
        </w:rPr>
      </w:pPr>
      <w:r w:rsidRPr="00246889">
        <w:rPr>
          <w:b/>
          <w:sz w:val="24"/>
          <w:szCs w:val="24"/>
          <w:lang w:val="fr-FR"/>
        </w:rPr>
        <w:t xml:space="preserve">Forum mondial de l’harmonisation </w:t>
      </w:r>
      <w:r>
        <w:rPr>
          <w:b/>
          <w:sz w:val="24"/>
          <w:szCs w:val="24"/>
          <w:lang w:val="fr-FR"/>
        </w:rPr>
        <w:br/>
      </w:r>
      <w:r w:rsidRPr="00246889">
        <w:rPr>
          <w:b/>
          <w:sz w:val="24"/>
          <w:szCs w:val="24"/>
          <w:lang w:val="fr-FR"/>
        </w:rPr>
        <w:t>des Règlements concernant les véhicules</w:t>
      </w:r>
    </w:p>
    <w:p w14:paraId="46E09BE6" w14:textId="77777777" w:rsidR="00246889" w:rsidRPr="00862D67" w:rsidRDefault="00246889" w:rsidP="00246889">
      <w:pPr>
        <w:tabs>
          <w:tab w:val="center" w:pos="4819"/>
        </w:tabs>
        <w:spacing w:before="120"/>
        <w:rPr>
          <w:b/>
          <w:lang w:val="fr-FR"/>
        </w:rPr>
      </w:pPr>
      <w:r w:rsidRPr="00862D67">
        <w:rPr>
          <w:b/>
          <w:lang w:val="fr-FR"/>
        </w:rPr>
        <w:t>178</w:t>
      </w:r>
      <w:r w:rsidRPr="00246889">
        <w:rPr>
          <w:b/>
          <w:vertAlign w:val="superscript"/>
          <w:lang w:val="fr-FR"/>
        </w:rPr>
        <w:t>e</w:t>
      </w:r>
      <w:r>
        <w:rPr>
          <w:b/>
          <w:lang w:val="fr-FR"/>
        </w:rPr>
        <w:t> </w:t>
      </w:r>
      <w:r w:rsidRPr="00862D67">
        <w:rPr>
          <w:b/>
          <w:lang w:val="fr-FR"/>
        </w:rPr>
        <w:t>session</w:t>
      </w:r>
    </w:p>
    <w:p w14:paraId="31C9A664" w14:textId="77777777" w:rsidR="00246889" w:rsidRPr="00862D67" w:rsidRDefault="00246889" w:rsidP="00246889">
      <w:pPr>
        <w:rPr>
          <w:lang w:val="fr-FR"/>
        </w:rPr>
      </w:pPr>
      <w:r w:rsidRPr="00862D67">
        <w:rPr>
          <w:lang w:val="fr-FR"/>
        </w:rPr>
        <w:t>Genève, 25-28 juin 2019</w:t>
      </w:r>
    </w:p>
    <w:p w14:paraId="20010A05" w14:textId="77777777" w:rsidR="00246889" w:rsidRPr="00862D67" w:rsidRDefault="00246889" w:rsidP="00246889">
      <w:pPr>
        <w:rPr>
          <w:lang w:val="fr-FR"/>
        </w:rPr>
      </w:pPr>
      <w:r w:rsidRPr="00862D67">
        <w:rPr>
          <w:lang w:val="fr-FR"/>
        </w:rPr>
        <w:t>Point 4.8.1</w:t>
      </w:r>
      <w:bookmarkStart w:id="1" w:name="_Hlk7532978"/>
      <w:r w:rsidRPr="00862D67">
        <w:rPr>
          <w:lang w:val="fr-FR"/>
        </w:rPr>
        <w:t xml:space="preserve"> de l’ordre du jour provisoire</w:t>
      </w:r>
    </w:p>
    <w:p w14:paraId="62EA246D" w14:textId="77777777" w:rsidR="00246889" w:rsidRPr="00862D67" w:rsidRDefault="00246889" w:rsidP="00246889">
      <w:pPr>
        <w:rPr>
          <w:b/>
          <w:bCs/>
          <w:lang w:val="fr-FR"/>
        </w:rPr>
      </w:pPr>
      <w:r w:rsidRPr="00862D67">
        <w:rPr>
          <w:b/>
          <w:lang w:val="fr-FR"/>
        </w:rPr>
        <w:t>Accord de 1958</w:t>
      </w:r>
      <w:r>
        <w:rPr>
          <w:b/>
          <w:lang w:val="fr-FR"/>
        </w:rPr>
        <w:t> :</w:t>
      </w:r>
      <w:r w:rsidRPr="00862D67">
        <w:rPr>
          <w:b/>
          <w:lang w:val="fr-FR"/>
        </w:rPr>
        <w:br/>
      </w:r>
      <w:bookmarkEnd w:id="1"/>
      <w:r w:rsidRPr="00862D67">
        <w:rPr>
          <w:b/>
          <w:bCs/>
          <w:lang w:val="fr-FR"/>
        </w:rPr>
        <w:t xml:space="preserve">Examen de projets d’amendements à des Règlements ONU existants, </w:t>
      </w:r>
      <w:r w:rsidRPr="00862D67">
        <w:rPr>
          <w:b/>
          <w:bCs/>
          <w:lang w:val="fr-FR"/>
        </w:rPr>
        <w:br/>
        <w:t>soumis par le GRVA</w:t>
      </w:r>
    </w:p>
    <w:p w14:paraId="4B8455CB" w14:textId="77777777" w:rsidR="00246889" w:rsidRPr="00862D67" w:rsidRDefault="00246889" w:rsidP="00246889">
      <w:pPr>
        <w:pStyle w:val="HChG"/>
        <w:rPr>
          <w:lang w:val="fr-FR"/>
        </w:rPr>
      </w:pPr>
      <w:r>
        <w:rPr>
          <w:lang w:val="fr-FR"/>
        </w:rPr>
        <w:tab/>
      </w:r>
      <w:r>
        <w:rPr>
          <w:lang w:val="fr-FR"/>
        </w:rPr>
        <w:tab/>
      </w:r>
      <w:r w:rsidRPr="00862D67">
        <w:rPr>
          <w:lang w:val="fr-FR"/>
        </w:rPr>
        <w:t>Proposition de complément 1 à la série 04 d’amendements au</w:t>
      </w:r>
      <w:r>
        <w:rPr>
          <w:lang w:val="fr-FR"/>
        </w:rPr>
        <w:t> </w:t>
      </w:r>
      <w:r w:rsidRPr="00862D67">
        <w:rPr>
          <w:lang w:val="fr-FR"/>
        </w:rPr>
        <w:t>Règlement ONU n</w:t>
      </w:r>
      <w:r w:rsidRPr="00862D67">
        <w:rPr>
          <w:vertAlign w:val="superscript"/>
          <w:lang w:val="fr-FR"/>
        </w:rPr>
        <w:t>o</w:t>
      </w:r>
      <w:r w:rsidRPr="00862D67">
        <w:rPr>
          <w:lang w:val="fr-FR"/>
        </w:rPr>
        <w:t> 78 (Freinage des motocycles)</w:t>
      </w:r>
    </w:p>
    <w:p w14:paraId="2EDC31AD" w14:textId="77777777" w:rsidR="00246889" w:rsidRPr="00862D67" w:rsidRDefault="00246889" w:rsidP="00246889">
      <w:pPr>
        <w:pStyle w:val="H1G"/>
        <w:rPr>
          <w:lang w:val="fr-FR"/>
        </w:rPr>
      </w:pPr>
      <w:r>
        <w:rPr>
          <w:lang w:val="fr-FR"/>
        </w:rPr>
        <w:tab/>
      </w:r>
      <w:r>
        <w:rPr>
          <w:lang w:val="fr-FR"/>
        </w:rPr>
        <w:tab/>
      </w:r>
      <w:r w:rsidRPr="00862D67">
        <w:rPr>
          <w:lang w:val="fr-FR"/>
        </w:rPr>
        <w:t xml:space="preserve">Communication du </w:t>
      </w:r>
      <w:bookmarkStart w:id="2" w:name="_Hlk7530048"/>
      <w:r w:rsidRPr="00862D67">
        <w:rPr>
          <w:lang w:val="fr-FR"/>
        </w:rPr>
        <w:t>Groupe de travail des véhicules automatisés/</w:t>
      </w:r>
      <w:r w:rsidR="007930FA">
        <w:rPr>
          <w:lang w:val="fr-FR"/>
        </w:rPr>
        <w:t xml:space="preserve"> </w:t>
      </w:r>
      <w:r w:rsidRPr="00862D67">
        <w:rPr>
          <w:lang w:val="fr-FR"/>
        </w:rPr>
        <w:t>autonomes et connectés</w:t>
      </w:r>
      <w:bookmarkEnd w:id="2"/>
      <w:r w:rsidRPr="00246889">
        <w:rPr>
          <w:b w:val="0"/>
          <w:sz w:val="20"/>
          <w:lang w:val="fr-FR"/>
        </w:rPr>
        <w:footnoteReference w:customMarkFollows="1" w:id="2"/>
        <w:t>*</w:t>
      </w:r>
    </w:p>
    <w:p w14:paraId="506A8706" w14:textId="77777777" w:rsidR="00246889" w:rsidRPr="00862D67" w:rsidRDefault="00246889" w:rsidP="00246889">
      <w:pPr>
        <w:pStyle w:val="SingleTxtG"/>
        <w:ind w:firstLine="567"/>
        <w:rPr>
          <w:lang w:val="fr-FR"/>
        </w:rPr>
      </w:pPr>
      <w:r w:rsidRPr="00862D67">
        <w:rPr>
          <w:lang w:val="fr-FR"/>
        </w:rPr>
        <w:t>Le texte reproduit ci-dessous a été adopté par le Groupe de travail des véhicules automatisés/autonomes et connectés (GRVA) à sa deuxième session (ECE/TRANS/WP.29/</w:t>
      </w:r>
      <w:r>
        <w:rPr>
          <w:lang w:val="fr-FR"/>
        </w:rPr>
        <w:t xml:space="preserve"> </w:t>
      </w:r>
      <w:r w:rsidRPr="00862D67">
        <w:rPr>
          <w:lang w:val="fr-FR"/>
        </w:rPr>
        <w:t>GRVA/2, par.</w:t>
      </w:r>
      <w:r>
        <w:rPr>
          <w:lang w:val="fr-FR"/>
        </w:rPr>
        <w:t> </w:t>
      </w:r>
      <w:r w:rsidRPr="00862D67">
        <w:rPr>
          <w:lang w:val="fr-FR"/>
        </w:rPr>
        <w:t>55)</w:t>
      </w:r>
      <w:r w:rsidRPr="00862D67">
        <w:rPr>
          <w:lang w:val="fr-FR" w:eastAsia="it-IT"/>
        </w:rPr>
        <w:t xml:space="preserve">. Il est fondé sur le document </w:t>
      </w:r>
      <w:r w:rsidRPr="00862D67">
        <w:rPr>
          <w:lang w:val="fr-FR"/>
        </w:rPr>
        <w:t>ECE/TRANS/WP.29/GRVA/2019/7 tel que modifié par l’annexe VI du rapport. Il est soumis au Forum mondial de l’harmonisation des Règlements concernant les véhicules (WP.29) et au Comité d’administration de l’Accord de 1958 (AC.1) pour examen à leurs sessions de juin 2019.</w:t>
      </w:r>
    </w:p>
    <w:p w14:paraId="21CACE78" w14:textId="77777777" w:rsidR="00246889" w:rsidRPr="00862D67" w:rsidRDefault="00246889" w:rsidP="00246889">
      <w:pPr>
        <w:pStyle w:val="HChG"/>
        <w:rPr>
          <w:lang w:val="fr-FR" w:eastAsia="ar-SA"/>
        </w:rPr>
      </w:pPr>
      <w:r w:rsidRPr="00862D67">
        <w:rPr>
          <w:sz w:val="20"/>
          <w:lang w:val="fr-FR"/>
        </w:rPr>
        <w:br w:type="page"/>
      </w:r>
      <w:r w:rsidRPr="00862D67">
        <w:rPr>
          <w:lang w:val="fr-FR" w:eastAsia="ar-SA"/>
        </w:rPr>
        <w:lastRenderedPageBreak/>
        <w:tab/>
      </w:r>
      <w:r w:rsidRPr="00862D67">
        <w:rPr>
          <w:lang w:val="fr-FR" w:eastAsia="ar-SA"/>
        </w:rPr>
        <w:tab/>
      </w:r>
      <w:r w:rsidRPr="00862D67">
        <w:rPr>
          <w:lang w:val="fr-FR"/>
        </w:rPr>
        <w:t>Complément 1 à la série 04 d’amendements au Règlement ONU n</w:t>
      </w:r>
      <w:r w:rsidRPr="00862D67">
        <w:rPr>
          <w:vertAlign w:val="superscript"/>
          <w:lang w:val="fr-FR"/>
        </w:rPr>
        <w:t>o</w:t>
      </w:r>
      <w:r w:rsidRPr="00862D67">
        <w:rPr>
          <w:lang w:val="fr-FR"/>
        </w:rPr>
        <w:t> 78 (Freinage des motocycles)</w:t>
      </w:r>
    </w:p>
    <w:p w14:paraId="7C5F8A89" w14:textId="77777777" w:rsidR="00246889" w:rsidRPr="00862D67" w:rsidRDefault="00246889" w:rsidP="00246889">
      <w:pPr>
        <w:pStyle w:val="SingleTxtG"/>
        <w:rPr>
          <w:lang w:val="fr-FR"/>
        </w:rPr>
      </w:pPr>
      <w:r w:rsidRPr="00246889">
        <w:rPr>
          <w:i/>
          <w:lang w:val="fr-FR"/>
        </w:rPr>
        <w:t>Ajouter le nouveau paragraphe 2.31</w:t>
      </w:r>
      <w:r w:rsidRPr="00862D67">
        <w:rPr>
          <w:lang w:val="fr-FR"/>
        </w:rPr>
        <w:t>, libellé comme suit</w:t>
      </w:r>
      <w:r>
        <w:rPr>
          <w:lang w:val="fr-FR"/>
        </w:rPr>
        <w:t> :</w:t>
      </w:r>
    </w:p>
    <w:p w14:paraId="7852ABC4" w14:textId="77777777" w:rsidR="00246889" w:rsidRPr="00862D67" w:rsidRDefault="00246889" w:rsidP="00246889">
      <w:pPr>
        <w:pStyle w:val="SingleTxtG"/>
        <w:ind w:left="2268" w:hanging="1134"/>
        <w:rPr>
          <w:lang w:val="fr-FR"/>
        </w:rPr>
      </w:pPr>
      <w:r w:rsidRPr="00862D67">
        <w:rPr>
          <w:lang w:val="fr-FR"/>
        </w:rPr>
        <w:t>« 2.31</w:t>
      </w:r>
      <w:r w:rsidRPr="00862D67">
        <w:rPr>
          <w:lang w:val="fr-FR"/>
        </w:rPr>
        <w:tab/>
        <w:t>Par “</w:t>
      </w:r>
      <w:r w:rsidRPr="00862D67">
        <w:rPr>
          <w:i/>
          <w:lang w:val="fr-FR"/>
        </w:rPr>
        <w:t>signal de freinage</w:t>
      </w:r>
      <w:r w:rsidRPr="00862D67">
        <w:rPr>
          <w:lang w:val="fr-FR"/>
        </w:rPr>
        <w:t>”, un signal logique indiquant quand l’allumage du feu-stop est requis ou autorisé, comme spécifié au paragraphe</w:t>
      </w:r>
      <w:r w:rsidR="007930FA">
        <w:rPr>
          <w:lang w:val="fr-FR"/>
        </w:rPr>
        <w:t xml:space="preserve"> </w:t>
      </w:r>
      <w:r w:rsidRPr="00862D67">
        <w:rPr>
          <w:lang w:val="fr-FR"/>
        </w:rPr>
        <w:t>5.1.17 du présent Règlement. ».</w:t>
      </w:r>
    </w:p>
    <w:p w14:paraId="1694841A" w14:textId="77777777" w:rsidR="00246889" w:rsidRPr="00862D67" w:rsidRDefault="00246889" w:rsidP="00246889">
      <w:pPr>
        <w:pStyle w:val="SingleTxtG"/>
        <w:rPr>
          <w:lang w:val="fr-FR"/>
        </w:rPr>
      </w:pPr>
      <w:r w:rsidRPr="00862D67">
        <w:rPr>
          <w:i/>
          <w:iCs/>
          <w:lang w:val="fr-FR"/>
        </w:rPr>
        <w:t>Ajouter le nouveau paragraphe 2.32</w:t>
      </w:r>
      <w:r w:rsidRPr="007930FA">
        <w:rPr>
          <w:iCs/>
          <w:lang w:val="fr-FR"/>
        </w:rPr>
        <w:t xml:space="preserve">, </w:t>
      </w:r>
      <w:r w:rsidRPr="00862D67">
        <w:rPr>
          <w:iCs/>
          <w:lang w:val="fr-FR"/>
        </w:rPr>
        <w:t>libellé comme suit</w:t>
      </w:r>
      <w:r>
        <w:rPr>
          <w:iCs/>
          <w:lang w:val="fr-FR"/>
        </w:rPr>
        <w:t> :</w:t>
      </w:r>
    </w:p>
    <w:p w14:paraId="5A9CA3B3" w14:textId="77777777" w:rsidR="00246889" w:rsidRPr="00862D67" w:rsidRDefault="00246889" w:rsidP="00246889">
      <w:pPr>
        <w:pStyle w:val="SingleTxtG"/>
        <w:ind w:left="2268" w:hanging="1134"/>
        <w:rPr>
          <w:lang w:val="fr-FR"/>
        </w:rPr>
      </w:pPr>
      <w:r w:rsidRPr="00862D67">
        <w:rPr>
          <w:lang w:val="fr-FR"/>
        </w:rPr>
        <w:t>« 2.32</w:t>
      </w:r>
      <w:r w:rsidRPr="00862D67">
        <w:rPr>
          <w:lang w:val="fr-FR"/>
        </w:rPr>
        <w:tab/>
        <w:t>Par “</w:t>
      </w:r>
      <w:r w:rsidRPr="00862D67">
        <w:rPr>
          <w:i/>
          <w:lang w:val="fr-FR"/>
        </w:rPr>
        <w:t>système de freinage électrique par récupération</w:t>
      </w:r>
      <w:r w:rsidRPr="00862D67">
        <w:rPr>
          <w:lang w:val="fr-FR"/>
        </w:rPr>
        <w:t>”, un système de freinage qui, pendant la décélération, permet de convertir l’énergie cinétique du véhicule en énergie électrique, et qui ne fait pas partie du système de freinage de service. ».</w:t>
      </w:r>
    </w:p>
    <w:p w14:paraId="4640E417" w14:textId="77777777" w:rsidR="00246889" w:rsidRPr="00862D67" w:rsidRDefault="00246889" w:rsidP="00246889">
      <w:pPr>
        <w:pStyle w:val="SingleTxtG"/>
        <w:rPr>
          <w:lang w:val="fr-FR"/>
        </w:rPr>
      </w:pPr>
      <w:r w:rsidRPr="00862D67">
        <w:rPr>
          <w:i/>
          <w:iCs/>
          <w:lang w:val="fr-FR"/>
        </w:rPr>
        <w:t>Ajouter le nouveau paragraphe 5.1.17 et ses alinéas</w:t>
      </w:r>
      <w:r w:rsidRPr="00862D67">
        <w:rPr>
          <w:iCs/>
          <w:lang w:val="fr-FR"/>
        </w:rPr>
        <w:t>, libellés comme suit</w:t>
      </w:r>
      <w:r>
        <w:rPr>
          <w:iCs/>
          <w:lang w:val="fr-FR"/>
        </w:rPr>
        <w:t> :</w:t>
      </w:r>
    </w:p>
    <w:p w14:paraId="427B2CEF" w14:textId="77777777" w:rsidR="00246889" w:rsidRPr="00862D67" w:rsidRDefault="00246889" w:rsidP="00246889">
      <w:pPr>
        <w:pStyle w:val="SingleTxtG"/>
        <w:ind w:left="2268" w:hanging="1134"/>
        <w:rPr>
          <w:lang w:val="fr-FR"/>
        </w:rPr>
      </w:pPr>
      <w:r w:rsidRPr="00862D67">
        <w:rPr>
          <w:lang w:val="fr-FR"/>
        </w:rPr>
        <w:t>« 5.1.17</w:t>
      </w:r>
      <w:r w:rsidRPr="00862D67">
        <w:rPr>
          <w:lang w:val="fr-FR"/>
        </w:rPr>
        <w:tab/>
        <w:t>L’émission ou la désactivation du signal de freinage commandant l’allumage du (des) feu(x)-stop, tels que définis dans le Règlement ONU</w:t>
      </w:r>
      <w:r w:rsidR="007930FA">
        <w:rPr>
          <w:lang w:val="fr-FR"/>
        </w:rPr>
        <w:t xml:space="preserve"> </w:t>
      </w:r>
      <w:r w:rsidRPr="00862D67">
        <w:rPr>
          <w:rFonts w:eastAsia="MS Mincho"/>
          <w:lang w:val="fr-FR"/>
        </w:rPr>
        <w:t>n</w:t>
      </w:r>
      <w:r w:rsidRPr="00862D67">
        <w:rPr>
          <w:rFonts w:eastAsia="MS Mincho"/>
          <w:vertAlign w:val="superscript"/>
          <w:lang w:val="fr-FR"/>
        </w:rPr>
        <w:t>o</w:t>
      </w:r>
      <w:r w:rsidRPr="00862D67">
        <w:rPr>
          <w:lang w:val="fr-FR"/>
        </w:rPr>
        <w:t> 53, ne doit se faire qu’aux conditions suivantes</w:t>
      </w:r>
      <w:r>
        <w:rPr>
          <w:lang w:val="fr-FR"/>
        </w:rPr>
        <w:t> :</w:t>
      </w:r>
    </w:p>
    <w:p w14:paraId="0A7799DB" w14:textId="77777777" w:rsidR="00246889" w:rsidRPr="00862D67" w:rsidRDefault="00246889" w:rsidP="00246889">
      <w:pPr>
        <w:pStyle w:val="SingleTxtG"/>
        <w:ind w:left="2268" w:hanging="1134"/>
        <w:rPr>
          <w:lang w:val="fr-FR"/>
        </w:rPr>
      </w:pPr>
      <w:r w:rsidRPr="00862D67">
        <w:rPr>
          <w:lang w:val="fr-FR"/>
        </w:rPr>
        <w:t>5.1.17.1</w:t>
      </w:r>
      <w:r w:rsidRPr="00862D67">
        <w:rPr>
          <w:lang w:val="fr-FR"/>
        </w:rPr>
        <w:tab/>
        <w:t>L’actionnement d’un frein de service par le motocycliste, qui commande l’émission du signal de freinage et l’allumage des feux-stop.</w:t>
      </w:r>
    </w:p>
    <w:p w14:paraId="29560F8C" w14:textId="77777777" w:rsidR="00246889" w:rsidRPr="00862D67" w:rsidRDefault="00246889" w:rsidP="00246889">
      <w:pPr>
        <w:pStyle w:val="SingleTxtG"/>
        <w:ind w:left="2268" w:hanging="1134"/>
        <w:rPr>
          <w:lang w:val="fr-FR"/>
        </w:rPr>
      </w:pPr>
      <w:r w:rsidRPr="00862D67">
        <w:rPr>
          <w:lang w:val="fr-FR"/>
        </w:rPr>
        <w:t>5.1.17.2</w:t>
      </w:r>
      <w:r w:rsidRPr="00862D67">
        <w:rPr>
          <w:lang w:val="fr-FR"/>
        </w:rPr>
        <w:tab/>
        <w:t>En outre, dans le cas d’un véhicule mû seulement par une chaîne de traction électrique équipée d’un système de freinage électrique par récupération tel qu’il est défini au paragraphe</w:t>
      </w:r>
      <w:r w:rsidR="00B94C31">
        <w:rPr>
          <w:lang w:val="fr-FR"/>
        </w:rPr>
        <w:t xml:space="preserve"> </w:t>
      </w:r>
      <w:r w:rsidRPr="00862D67">
        <w:rPr>
          <w:lang w:val="fr-FR"/>
        </w:rPr>
        <w:t>2.32 du présent Règlement, produisant un ralentissement lorsque la pédale d’accélérateur est relâchée, les conditions d’émission du signal de freinage sont les suivantes</w:t>
      </w:r>
      <w:r>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6"/>
        <w:gridCol w:w="3501"/>
      </w:tblGrid>
      <w:tr w:rsidR="00246889" w:rsidRPr="00862D67" w14:paraId="7CE1E963" w14:textId="77777777" w:rsidTr="00E5785F">
        <w:trPr>
          <w:tblHeader/>
        </w:trPr>
        <w:tc>
          <w:tcPr>
            <w:tcW w:w="2736" w:type="dxa"/>
            <w:shd w:val="clear" w:color="auto" w:fill="auto"/>
            <w:vAlign w:val="bottom"/>
          </w:tcPr>
          <w:p w14:paraId="659F2F0C" w14:textId="77777777" w:rsidR="00246889" w:rsidRPr="00862D67" w:rsidRDefault="00246889" w:rsidP="00E5785F">
            <w:pPr>
              <w:spacing w:before="80" w:after="80"/>
              <w:ind w:left="113" w:right="113"/>
              <w:rPr>
                <w:i/>
                <w:lang w:val="fr-FR"/>
              </w:rPr>
            </w:pPr>
            <w:r w:rsidRPr="00862D67">
              <w:rPr>
                <w:i/>
                <w:lang w:val="fr-FR"/>
              </w:rPr>
              <w:t>Décélération du véhicule</w:t>
            </w:r>
          </w:p>
        </w:tc>
        <w:tc>
          <w:tcPr>
            <w:tcW w:w="3501" w:type="dxa"/>
            <w:shd w:val="clear" w:color="auto" w:fill="auto"/>
            <w:vAlign w:val="bottom"/>
          </w:tcPr>
          <w:p w14:paraId="26DCBA40" w14:textId="77777777" w:rsidR="00246889" w:rsidRPr="00862D67" w:rsidRDefault="00246889" w:rsidP="00E5785F">
            <w:pPr>
              <w:spacing w:before="80" w:after="80"/>
              <w:ind w:left="113" w:right="113"/>
              <w:rPr>
                <w:i/>
                <w:lang w:val="fr-FR"/>
              </w:rPr>
            </w:pPr>
            <w:r w:rsidRPr="00862D67">
              <w:rPr>
                <w:bCs/>
                <w:i/>
                <w:iCs/>
                <w:lang w:val="fr-FR"/>
              </w:rPr>
              <w:t>Émission du signal</w:t>
            </w:r>
          </w:p>
        </w:tc>
      </w:tr>
      <w:tr w:rsidR="00246889" w:rsidRPr="00862D67" w14:paraId="0DB9AD60" w14:textId="77777777" w:rsidTr="00E5785F">
        <w:tc>
          <w:tcPr>
            <w:tcW w:w="2736" w:type="dxa"/>
            <w:shd w:val="clear" w:color="auto" w:fill="auto"/>
          </w:tcPr>
          <w:p w14:paraId="01C36764" w14:textId="77777777" w:rsidR="00246889" w:rsidRPr="00862D67" w:rsidRDefault="00246889" w:rsidP="00E5785F">
            <w:pPr>
              <w:spacing w:before="40" w:after="120"/>
              <w:ind w:left="113" w:right="113"/>
              <w:rPr>
                <w:bCs/>
                <w:lang w:val="fr-FR"/>
              </w:rPr>
            </w:pPr>
            <w:r w:rsidRPr="00862D67">
              <w:rPr>
                <w:lang w:val="fr-FR"/>
              </w:rPr>
              <w:t>≤0,7</w:t>
            </w:r>
            <w:r w:rsidR="00B94C31">
              <w:rPr>
                <w:lang w:val="fr-FR"/>
              </w:rPr>
              <w:t> </w:t>
            </w:r>
            <w:r w:rsidRPr="00862D67">
              <w:rPr>
                <w:lang w:val="fr-FR"/>
              </w:rPr>
              <w:t>m/s</w:t>
            </w:r>
            <w:r w:rsidR="00B94C31" w:rsidRPr="00B94C31">
              <w:rPr>
                <w:vertAlign w:val="superscript"/>
                <w:lang w:val="fr-FR"/>
              </w:rPr>
              <w:t>2</w:t>
            </w:r>
          </w:p>
        </w:tc>
        <w:tc>
          <w:tcPr>
            <w:tcW w:w="3501" w:type="dxa"/>
            <w:shd w:val="clear" w:color="auto" w:fill="auto"/>
          </w:tcPr>
          <w:p w14:paraId="40621483" w14:textId="77777777" w:rsidR="00246889" w:rsidRPr="00862D67" w:rsidRDefault="00246889" w:rsidP="00E5785F">
            <w:pPr>
              <w:spacing w:before="40" w:after="120"/>
              <w:ind w:left="113" w:right="113"/>
              <w:rPr>
                <w:bCs/>
                <w:lang w:val="fr-FR"/>
              </w:rPr>
            </w:pPr>
            <w:r w:rsidRPr="00862D67">
              <w:rPr>
                <w:bCs/>
                <w:iCs/>
                <w:lang w:val="fr-FR"/>
              </w:rPr>
              <w:t>Le signal ne doit pas être émis</w:t>
            </w:r>
          </w:p>
        </w:tc>
      </w:tr>
      <w:tr w:rsidR="00246889" w:rsidRPr="00862D67" w14:paraId="4B9F6451" w14:textId="77777777" w:rsidTr="00E5785F">
        <w:tc>
          <w:tcPr>
            <w:tcW w:w="2736" w:type="dxa"/>
            <w:shd w:val="clear" w:color="auto" w:fill="auto"/>
          </w:tcPr>
          <w:p w14:paraId="273D06CE" w14:textId="77777777" w:rsidR="00246889" w:rsidRPr="00862D67" w:rsidRDefault="00246889" w:rsidP="00E5785F">
            <w:pPr>
              <w:spacing w:before="40" w:after="120"/>
              <w:ind w:left="113" w:right="113"/>
              <w:rPr>
                <w:lang w:val="fr-FR"/>
              </w:rPr>
            </w:pPr>
            <w:r w:rsidRPr="00862D67">
              <w:rPr>
                <w:bCs/>
                <w:lang w:val="fr-FR"/>
              </w:rPr>
              <w:t>&gt;0,7</w:t>
            </w:r>
            <w:r w:rsidR="00B94C31">
              <w:rPr>
                <w:bCs/>
                <w:lang w:val="fr-FR"/>
              </w:rPr>
              <w:t> </w:t>
            </w:r>
            <w:r w:rsidRPr="00862D67">
              <w:rPr>
                <w:bCs/>
                <w:lang w:val="fr-FR"/>
              </w:rPr>
              <w:t>m/s</w:t>
            </w:r>
            <w:r w:rsidR="00B94C31" w:rsidRPr="00B94C31">
              <w:rPr>
                <w:bCs/>
                <w:vertAlign w:val="superscript"/>
                <w:lang w:val="fr-FR"/>
              </w:rPr>
              <w:t>2</w:t>
            </w:r>
            <w:r w:rsidRPr="00862D67">
              <w:rPr>
                <w:bCs/>
                <w:lang w:val="fr-FR"/>
              </w:rPr>
              <w:t xml:space="preserve"> et ≤1,3</w:t>
            </w:r>
            <w:r w:rsidR="00B94C31">
              <w:rPr>
                <w:bCs/>
                <w:lang w:val="fr-FR"/>
              </w:rPr>
              <w:t> </w:t>
            </w:r>
            <w:r w:rsidRPr="00862D67">
              <w:rPr>
                <w:bCs/>
                <w:lang w:val="fr-FR"/>
              </w:rPr>
              <w:t>m/s</w:t>
            </w:r>
            <w:r w:rsidR="00B94C31" w:rsidRPr="00B94C31">
              <w:rPr>
                <w:bCs/>
                <w:vertAlign w:val="superscript"/>
                <w:lang w:val="fr-FR"/>
              </w:rPr>
              <w:t>2</w:t>
            </w:r>
          </w:p>
        </w:tc>
        <w:tc>
          <w:tcPr>
            <w:tcW w:w="3501" w:type="dxa"/>
            <w:shd w:val="clear" w:color="auto" w:fill="auto"/>
          </w:tcPr>
          <w:p w14:paraId="6B3AD8E3" w14:textId="77777777" w:rsidR="00246889" w:rsidRPr="00862D67" w:rsidRDefault="00246889" w:rsidP="00E5785F">
            <w:pPr>
              <w:spacing w:before="40" w:after="120"/>
              <w:ind w:left="113" w:right="113"/>
              <w:rPr>
                <w:lang w:val="fr-FR"/>
              </w:rPr>
            </w:pPr>
            <w:r w:rsidRPr="00862D67">
              <w:rPr>
                <w:iCs/>
                <w:lang w:val="fr-FR"/>
              </w:rPr>
              <w:t>Le signal peut être émis</w:t>
            </w:r>
          </w:p>
        </w:tc>
      </w:tr>
      <w:tr w:rsidR="00246889" w:rsidRPr="00862D67" w14:paraId="5B4C44D2" w14:textId="77777777" w:rsidTr="00E5785F">
        <w:tc>
          <w:tcPr>
            <w:tcW w:w="2736" w:type="dxa"/>
            <w:shd w:val="clear" w:color="auto" w:fill="auto"/>
          </w:tcPr>
          <w:p w14:paraId="3CD847F9" w14:textId="77777777" w:rsidR="00246889" w:rsidRPr="00862D67" w:rsidRDefault="00246889" w:rsidP="00E5785F">
            <w:pPr>
              <w:spacing w:before="40" w:after="120"/>
              <w:ind w:left="113" w:right="113"/>
              <w:rPr>
                <w:lang w:val="fr-FR"/>
              </w:rPr>
            </w:pPr>
            <w:r w:rsidRPr="00862D67">
              <w:rPr>
                <w:bCs/>
                <w:lang w:val="fr-FR"/>
              </w:rPr>
              <w:t>&gt;1,3</w:t>
            </w:r>
            <w:r w:rsidR="00B94C31">
              <w:rPr>
                <w:bCs/>
                <w:lang w:val="fr-FR"/>
              </w:rPr>
              <w:t> </w:t>
            </w:r>
            <w:r w:rsidRPr="00862D67">
              <w:rPr>
                <w:bCs/>
                <w:lang w:val="fr-FR"/>
              </w:rPr>
              <w:t>m/s</w:t>
            </w:r>
            <w:r w:rsidRPr="00862D67">
              <w:rPr>
                <w:bCs/>
                <w:vertAlign w:val="superscript"/>
                <w:lang w:val="fr-FR"/>
              </w:rPr>
              <w:t>2</w:t>
            </w:r>
          </w:p>
        </w:tc>
        <w:tc>
          <w:tcPr>
            <w:tcW w:w="3501" w:type="dxa"/>
            <w:shd w:val="clear" w:color="auto" w:fill="auto"/>
          </w:tcPr>
          <w:p w14:paraId="504DFF69" w14:textId="77777777" w:rsidR="00246889" w:rsidRPr="00862D67" w:rsidRDefault="00246889" w:rsidP="00E5785F">
            <w:pPr>
              <w:spacing w:before="40" w:after="120"/>
              <w:ind w:left="113" w:right="113"/>
              <w:rPr>
                <w:lang w:val="fr-FR"/>
              </w:rPr>
            </w:pPr>
            <w:r w:rsidRPr="00862D67">
              <w:rPr>
                <w:iCs/>
                <w:lang w:val="fr-FR"/>
              </w:rPr>
              <w:t>Le signal doit être émis</w:t>
            </w:r>
          </w:p>
        </w:tc>
      </w:tr>
    </w:tbl>
    <w:p w14:paraId="17F918CA" w14:textId="77777777" w:rsidR="00246889" w:rsidRPr="00862D67" w:rsidRDefault="00246889" w:rsidP="00246889">
      <w:pPr>
        <w:pStyle w:val="SingleTxtG"/>
        <w:spacing w:before="120"/>
        <w:ind w:left="2268"/>
        <w:rPr>
          <w:b/>
          <w:lang w:val="fr-FR"/>
        </w:rPr>
      </w:pPr>
      <w:r w:rsidRPr="00862D67">
        <w:rPr>
          <w:lang w:val="fr-FR"/>
        </w:rPr>
        <w:t>Dans tous les cas, le signal doit être désactivé au plus tard lorsque la décélération tombe sous le seuil de 0,7</w:t>
      </w:r>
      <w:r w:rsidR="00B94C31">
        <w:rPr>
          <w:lang w:val="fr-FR"/>
        </w:rPr>
        <w:t> </w:t>
      </w:r>
      <w:r w:rsidRPr="00862D67">
        <w:rPr>
          <w:lang w:val="fr-FR"/>
        </w:rPr>
        <w:t>m/s</w:t>
      </w:r>
      <w:r w:rsidRPr="00246889">
        <w:rPr>
          <w:vertAlign w:val="superscript"/>
          <w:lang w:val="fr-FR"/>
        </w:rPr>
        <w:t>2</w:t>
      </w:r>
      <w:r w:rsidRPr="00246889">
        <w:rPr>
          <w:lang w:val="fr-FR"/>
        </w:rPr>
        <w:t>*</w:t>
      </w:r>
      <w:r w:rsidRPr="00862D67">
        <w:rPr>
          <w:lang w:val="fr-FR"/>
        </w:rPr>
        <w:t>. ».</w:t>
      </w:r>
    </w:p>
    <w:p w14:paraId="4A38B175" w14:textId="77777777" w:rsidR="00246889" w:rsidRPr="00862D67" w:rsidRDefault="00246889" w:rsidP="00246889">
      <w:pPr>
        <w:pStyle w:val="SingleTxtG"/>
        <w:rPr>
          <w:lang w:val="fr-FR"/>
        </w:rPr>
      </w:pPr>
      <w:r w:rsidRPr="00246889">
        <w:rPr>
          <w:i/>
          <w:lang w:val="fr-FR"/>
        </w:rPr>
        <w:t>Ajouter une note de bas de page *</w:t>
      </w:r>
      <w:r w:rsidRPr="00862D67">
        <w:rPr>
          <w:lang w:val="fr-FR"/>
        </w:rPr>
        <w:t>, libellée comme suit</w:t>
      </w:r>
      <w:r>
        <w:rPr>
          <w:lang w:val="fr-FR"/>
        </w:rPr>
        <w:t> :</w:t>
      </w:r>
    </w:p>
    <w:p w14:paraId="7BFCB88E" w14:textId="77777777" w:rsidR="00246889" w:rsidRPr="00862D67" w:rsidRDefault="00246889" w:rsidP="00246889">
      <w:pPr>
        <w:pStyle w:val="FootnoteText"/>
        <w:rPr>
          <w:lang w:val="fr-FR"/>
        </w:rPr>
      </w:pPr>
      <w:r w:rsidRPr="00B94C31">
        <w:rPr>
          <w:sz w:val="20"/>
          <w:lang w:val="fr-FR"/>
        </w:rPr>
        <w:t>« </w:t>
      </w:r>
      <w:r w:rsidRPr="00246889">
        <w:rPr>
          <w:sz w:val="20"/>
          <w:lang w:val="fr-FR"/>
        </w:rPr>
        <w:tab/>
        <w:t>*</w:t>
      </w:r>
      <w:r w:rsidRPr="00246889">
        <w:rPr>
          <w:sz w:val="20"/>
          <w:lang w:val="fr-FR"/>
        </w:rPr>
        <w:tab/>
      </w:r>
      <w:r w:rsidRPr="00862D67">
        <w:rPr>
          <w:lang w:val="fr-FR"/>
        </w:rPr>
        <w:t>Au moment de l’homologation de type, le constructeur automobile doit confirmer le respect de cette disposition.</w:t>
      </w:r>
      <w:r w:rsidRPr="00B94C31">
        <w:rPr>
          <w:sz w:val="20"/>
          <w:lang w:val="fr-FR"/>
        </w:rPr>
        <w:t> ».</w:t>
      </w:r>
    </w:p>
    <w:p w14:paraId="294124BC" w14:textId="77777777" w:rsidR="00F9573C" w:rsidRPr="00246889" w:rsidRDefault="00246889" w:rsidP="00246889">
      <w:pPr>
        <w:pStyle w:val="SingleTxtG"/>
        <w:spacing w:before="240" w:after="0"/>
        <w:jc w:val="center"/>
        <w:rPr>
          <w:u w:val="single"/>
        </w:rPr>
      </w:pPr>
      <w:r>
        <w:rPr>
          <w:u w:val="single"/>
        </w:rPr>
        <w:tab/>
      </w:r>
      <w:r>
        <w:rPr>
          <w:u w:val="single"/>
        </w:rPr>
        <w:tab/>
      </w:r>
      <w:r>
        <w:rPr>
          <w:u w:val="single"/>
        </w:rPr>
        <w:tab/>
      </w:r>
    </w:p>
    <w:sectPr w:rsidR="00F9573C" w:rsidRPr="00246889" w:rsidSect="00C421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EA00" w14:textId="77777777" w:rsidR="00BB2C0B" w:rsidRDefault="00BB2C0B" w:rsidP="00F95C08">
      <w:pPr>
        <w:spacing w:line="240" w:lineRule="auto"/>
      </w:pPr>
    </w:p>
  </w:endnote>
  <w:endnote w:type="continuationSeparator" w:id="0">
    <w:p w14:paraId="6B78A87B" w14:textId="77777777" w:rsidR="00BB2C0B" w:rsidRPr="00AC3823" w:rsidRDefault="00BB2C0B" w:rsidP="00AC3823">
      <w:pPr>
        <w:pStyle w:val="Footer"/>
      </w:pPr>
    </w:p>
  </w:endnote>
  <w:endnote w:type="continuationNotice" w:id="1">
    <w:p w14:paraId="6DA91486" w14:textId="77777777" w:rsidR="00BB2C0B" w:rsidRDefault="00BB2C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A300" w14:textId="77777777" w:rsidR="00C421FC" w:rsidRPr="00C421FC" w:rsidRDefault="00C421FC" w:rsidP="00C421FC">
    <w:pPr>
      <w:pStyle w:val="Footer"/>
      <w:tabs>
        <w:tab w:val="right" w:pos="9638"/>
      </w:tabs>
    </w:pPr>
    <w:r w:rsidRPr="00C421FC">
      <w:rPr>
        <w:b/>
        <w:sz w:val="18"/>
      </w:rPr>
      <w:fldChar w:fldCharType="begin"/>
    </w:r>
    <w:r w:rsidRPr="00C421FC">
      <w:rPr>
        <w:b/>
        <w:sz w:val="18"/>
      </w:rPr>
      <w:instrText xml:space="preserve"> PAGE  \* MERGEFORMAT </w:instrText>
    </w:r>
    <w:r w:rsidRPr="00C421FC">
      <w:rPr>
        <w:b/>
        <w:sz w:val="18"/>
      </w:rPr>
      <w:fldChar w:fldCharType="separate"/>
    </w:r>
    <w:r w:rsidRPr="00C421FC">
      <w:rPr>
        <w:b/>
        <w:noProof/>
        <w:sz w:val="18"/>
      </w:rPr>
      <w:t>2</w:t>
    </w:r>
    <w:r w:rsidRPr="00C421FC">
      <w:rPr>
        <w:b/>
        <w:sz w:val="18"/>
      </w:rPr>
      <w:fldChar w:fldCharType="end"/>
    </w:r>
    <w:r>
      <w:rPr>
        <w:b/>
        <w:sz w:val="18"/>
      </w:rPr>
      <w:tab/>
    </w:r>
    <w:r>
      <w:t>GE.19-06090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2444" w14:textId="77777777" w:rsidR="00C421FC" w:rsidRPr="00C421FC" w:rsidRDefault="00C421FC" w:rsidP="00C421FC">
    <w:pPr>
      <w:pStyle w:val="Footer"/>
      <w:tabs>
        <w:tab w:val="right" w:pos="9638"/>
      </w:tabs>
      <w:rPr>
        <w:b/>
        <w:sz w:val="18"/>
      </w:rPr>
    </w:pPr>
    <w:r>
      <w:t>GE.19-06090</w:t>
    </w:r>
    <w:r>
      <w:tab/>
    </w:r>
    <w:r w:rsidRPr="00C421FC">
      <w:rPr>
        <w:b/>
        <w:sz w:val="18"/>
      </w:rPr>
      <w:fldChar w:fldCharType="begin"/>
    </w:r>
    <w:r w:rsidRPr="00C421FC">
      <w:rPr>
        <w:b/>
        <w:sz w:val="18"/>
      </w:rPr>
      <w:instrText xml:space="preserve"> PAGE  \* MERGEFORMAT </w:instrText>
    </w:r>
    <w:r w:rsidRPr="00C421FC">
      <w:rPr>
        <w:b/>
        <w:sz w:val="18"/>
      </w:rPr>
      <w:fldChar w:fldCharType="separate"/>
    </w:r>
    <w:r w:rsidRPr="00C421FC">
      <w:rPr>
        <w:b/>
        <w:noProof/>
        <w:sz w:val="18"/>
      </w:rPr>
      <w:t>3</w:t>
    </w:r>
    <w:r w:rsidRPr="00C421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1316" w14:textId="77777777" w:rsidR="007F20FA" w:rsidRPr="00C421FC" w:rsidRDefault="00C421FC" w:rsidP="00C421F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36C547B" wp14:editId="3DF1ABB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06090  (</w:t>
    </w:r>
    <w:proofErr w:type="gramEnd"/>
    <w:r>
      <w:rPr>
        <w:sz w:val="20"/>
      </w:rPr>
      <w:t>F)    030519    030519</w:t>
    </w:r>
    <w:r>
      <w:rPr>
        <w:sz w:val="20"/>
      </w:rPr>
      <w:br/>
    </w:r>
    <w:r w:rsidRPr="00C421FC">
      <w:rPr>
        <w:rFonts w:ascii="C39T30Lfz" w:hAnsi="C39T30Lfz"/>
        <w:sz w:val="56"/>
      </w:rPr>
      <w:t></w:t>
    </w:r>
    <w:r w:rsidRPr="00C421FC">
      <w:rPr>
        <w:rFonts w:ascii="C39T30Lfz" w:hAnsi="C39T30Lfz"/>
        <w:sz w:val="56"/>
      </w:rPr>
      <w:t></w:t>
    </w:r>
    <w:r w:rsidRPr="00C421FC">
      <w:rPr>
        <w:rFonts w:ascii="C39T30Lfz" w:hAnsi="C39T30Lfz"/>
        <w:sz w:val="56"/>
      </w:rPr>
      <w:t></w:t>
    </w:r>
    <w:r w:rsidRPr="00C421FC">
      <w:rPr>
        <w:rFonts w:ascii="C39T30Lfz" w:hAnsi="C39T30Lfz"/>
        <w:sz w:val="56"/>
      </w:rPr>
      <w:t></w:t>
    </w:r>
    <w:r w:rsidRPr="00C421FC">
      <w:rPr>
        <w:rFonts w:ascii="C39T30Lfz" w:hAnsi="C39T30Lfz"/>
        <w:sz w:val="56"/>
      </w:rPr>
      <w:t></w:t>
    </w:r>
    <w:r w:rsidRPr="00C421FC">
      <w:rPr>
        <w:rFonts w:ascii="C39T30Lfz" w:hAnsi="C39T30Lfz"/>
        <w:sz w:val="56"/>
      </w:rPr>
      <w:t></w:t>
    </w:r>
    <w:r w:rsidRPr="00C421FC">
      <w:rPr>
        <w:rFonts w:ascii="C39T30Lfz" w:hAnsi="C39T30Lfz"/>
        <w:sz w:val="56"/>
      </w:rPr>
      <w:t></w:t>
    </w:r>
    <w:r w:rsidRPr="00C421FC">
      <w:rPr>
        <w:rFonts w:ascii="C39T30Lfz" w:hAnsi="C39T30Lfz"/>
        <w:sz w:val="56"/>
      </w:rPr>
      <w:t></w:t>
    </w:r>
    <w:r w:rsidRPr="00C421FC">
      <w:rPr>
        <w:rFonts w:ascii="C39T30Lfz" w:hAnsi="C39T30Lfz"/>
        <w:sz w:val="56"/>
      </w:rPr>
      <w:t></w:t>
    </w:r>
    <w:r>
      <w:rPr>
        <w:noProof/>
        <w:sz w:val="20"/>
      </w:rPr>
      <w:drawing>
        <wp:anchor distT="0" distB="0" distL="114300" distR="114300" simplePos="0" relativeHeight="251658240" behindDoc="0" locked="0" layoutInCell="1" allowOverlap="1" wp14:anchorId="7B54FAFE" wp14:editId="062DE3F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9C1D1" w14:textId="77777777" w:rsidR="00BB2C0B" w:rsidRPr="00AC3823" w:rsidRDefault="00BB2C0B" w:rsidP="00AC3823">
      <w:pPr>
        <w:pStyle w:val="Footer"/>
        <w:tabs>
          <w:tab w:val="right" w:pos="2155"/>
        </w:tabs>
        <w:spacing w:after="80" w:line="240" w:lineRule="atLeast"/>
        <w:ind w:left="680"/>
        <w:rPr>
          <w:u w:val="single"/>
        </w:rPr>
      </w:pPr>
      <w:r>
        <w:rPr>
          <w:u w:val="single"/>
        </w:rPr>
        <w:tab/>
      </w:r>
    </w:p>
  </w:footnote>
  <w:footnote w:type="continuationSeparator" w:id="0">
    <w:p w14:paraId="7848D25A" w14:textId="77777777" w:rsidR="00BB2C0B" w:rsidRPr="00AC3823" w:rsidRDefault="00BB2C0B" w:rsidP="00AC3823">
      <w:pPr>
        <w:pStyle w:val="Footer"/>
        <w:tabs>
          <w:tab w:val="right" w:pos="2155"/>
        </w:tabs>
        <w:spacing w:after="80" w:line="240" w:lineRule="atLeast"/>
        <w:ind w:left="680"/>
        <w:rPr>
          <w:u w:val="single"/>
        </w:rPr>
      </w:pPr>
      <w:r>
        <w:rPr>
          <w:u w:val="single"/>
        </w:rPr>
        <w:tab/>
      </w:r>
    </w:p>
  </w:footnote>
  <w:footnote w:type="continuationNotice" w:id="1">
    <w:p w14:paraId="45C347FD" w14:textId="77777777" w:rsidR="00BB2C0B" w:rsidRPr="00AC3823" w:rsidRDefault="00BB2C0B">
      <w:pPr>
        <w:spacing w:line="240" w:lineRule="auto"/>
        <w:rPr>
          <w:sz w:val="2"/>
          <w:szCs w:val="2"/>
        </w:rPr>
      </w:pPr>
    </w:p>
  </w:footnote>
  <w:footnote w:id="2">
    <w:p w14:paraId="298FB17B" w14:textId="77777777" w:rsidR="00246889" w:rsidRPr="006B6B5C" w:rsidRDefault="00246889" w:rsidP="00246889">
      <w:pPr>
        <w:pStyle w:val="FootnoteText"/>
        <w:rPr>
          <w:lang w:val="fr-FR"/>
        </w:rPr>
      </w:pPr>
      <w:r w:rsidRPr="00246889">
        <w:rPr>
          <w:lang w:val="en-GB"/>
        </w:rPr>
        <w:tab/>
      </w:r>
      <w:r w:rsidRPr="00246889">
        <w:rPr>
          <w:sz w:val="20"/>
          <w:lang w:val="fr-FR"/>
        </w:rPr>
        <w:t>*</w:t>
      </w:r>
      <w:r w:rsidRPr="00246889">
        <w:rPr>
          <w:sz w:val="20"/>
          <w:lang w:val="fr-FR"/>
        </w:rPr>
        <w:tab/>
      </w:r>
      <w:r w:rsidRPr="00246889">
        <w:rPr>
          <w:spacing w:val="-1"/>
          <w:lang w:val="fr-FR"/>
        </w:rPr>
        <w:t>Conformément au programme de travail du Comité des transports intérieurs pour la période 2018</w:t>
      </w:r>
      <w:r>
        <w:rPr>
          <w:spacing w:val="-1"/>
          <w:lang w:val="fr-FR"/>
        </w:rPr>
        <w:t>-</w:t>
      </w:r>
      <w:r w:rsidRPr="00246889">
        <w:rPr>
          <w:spacing w:val="-1"/>
          <w:lang w:val="fr-FR"/>
        </w:rPr>
        <w:t>2019 (ECE/TRANS/274, par. 123, et ECE/TRANS/2018/21/Add.1, module 3.1), le Forum mondial a pour mission d</w:t>
      </w:r>
      <w:r>
        <w:rPr>
          <w:spacing w:val="-1"/>
          <w:lang w:val="fr-FR"/>
        </w:rPr>
        <w:t>’</w:t>
      </w:r>
      <w:r w:rsidRPr="00246889">
        <w:rPr>
          <w:spacing w:val="-1"/>
          <w:lang w:val="fr-FR"/>
        </w:rPr>
        <w:t>élaborer, d</w:t>
      </w:r>
      <w:r>
        <w:rPr>
          <w:spacing w:val="-1"/>
          <w:lang w:val="fr-FR"/>
        </w:rPr>
        <w:t>’</w:t>
      </w:r>
      <w:r w:rsidRPr="00246889">
        <w:rPr>
          <w:spacing w:val="-1"/>
          <w:lang w:val="fr-FR"/>
        </w:rPr>
        <w:t>harmoniser et de mettre à jour les Règlements ONU en vue d</w:t>
      </w:r>
      <w:r>
        <w:rPr>
          <w:spacing w:val="-1"/>
          <w:lang w:val="fr-FR"/>
        </w:rPr>
        <w:t>’</w:t>
      </w:r>
      <w:r w:rsidRPr="00246889">
        <w:rPr>
          <w:spacing w:val="-1"/>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F594" w14:textId="3CB8C408" w:rsidR="00C421FC" w:rsidRPr="00C421FC" w:rsidRDefault="00DB6CCF">
    <w:pPr>
      <w:pStyle w:val="Header"/>
    </w:pPr>
    <w:r>
      <w:fldChar w:fldCharType="begin"/>
    </w:r>
    <w:r>
      <w:instrText xml:space="preserve"> TITLE  \* MERGEFORMAT </w:instrText>
    </w:r>
    <w:r>
      <w:fldChar w:fldCharType="separate"/>
    </w:r>
    <w:r>
      <w:t>ECE/TRANS/WP.29/2019/46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C438" w14:textId="55BDBD79" w:rsidR="00C421FC" w:rsidRPr="00C421FC" w:rsidRDefault="00DB6CCF" w:rsidP="00C421FC">
    <w:pPr>
      <w:pStyle w:val="Header"/>
      <w:jc w:val="right"/>
    </w:pPr>
    <w:r>
      <w:fldChar w:fldCharType="begin"/>
    </w:r>
    <w:r>
      <w:instrText xml:space="preserve"> TITLE  \* MERGEFORMAT </w:instrText>
    </w:r>
    <w:r>
      <w:fldChar w:fldCharType="separate"/>
    </w:r>
    <w:r>
      <w:t>ECE/TRANS/WP.29/2019/46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0B"/>
    <w:rsid w:val="00017F94"/>
    <w:rsid w:val="00023842"/>
    <w:rsid w:val="000334F9"/>
    <w:rsid w:val="00045FEB"/>
    <w:rsid w:val="0007796D"/>
    <w:rsid w:val="000B7790"/>
    <w:rsid w:val="00111F2F"/>
    <w:rsid w:val="00142888"/>
    <w:rsid w:val="0014365E"/>
    <w:rsid w:val="00143C66"/>
    <w:rsid w:val="00176178"/>
    <w:rsid w:val="001F525A"/>
    <w:rsid w:val="00223272"/>
    <w:rsid w:val="00246889"/>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930FA"/>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94C31"/>
    <w:rsid w:val="00BA0CA9"/>
    <w:rsid w:val="00BB2C0B"/>
    <w:rsid w:val="00C02897"/>
    <w:rsid w:val="00C421FC"/>
    <w:rsid w:val="00C97039"/>
    <w:rsid w:val="00D3439C"/>
    <w:rsid w:val="00DB1831"/>
    <w:rsid w:val="00DB6CCF"/>
    <w:rsid w:val="00DD3BFD"/>
    <w:rsid w:val="00DF6678"/>
    <w:rsid w:val="00E0299A"/>
    <w:rsid w:val="00E85C74"/>
    <w:rsid w:val="00EA6547"/>
    <w:rsid w:val="00EF2E22"/>
    <w:rsid w:val="00F35BAF"/>
    <w:rsid w:val="00F660DF"/>
    <w:rsid w:val="00F94664"/>
    <w:rsid w:val="00F9573C"/>
    <w:rsid w:val="00F95C08"/>
    <w:rsid w:val="00FB42C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66DE2"/>
  <w15:docId w15:val="{B7929ED1-8AFD-4870-9930-C0FC4D6A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46889"/>
    <w:rPr>
      <w:rFonts w:ascii="Times New Roman" w:eastAsiaTheme="minorHAnsi" w:hAnsi="Times New Roman" w:cs="Times New Roman"/>
      <w:sz w:val="20"/>
      <w:szCs w:val="20"/>
      <w:lang w:eastAsia="en-US"/>
    </w:rPr>
  </w:style>
  <w:style w:type="character" w:customStyle="1" w:styleId="HChGChar">
    <w:name w:val="_ H _Ch_G Char"/>
    <w:link w:val="HChG"/>
    <w:rsid w:val="00246889"/>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ECE/TRANS/WP.29/2019/46</vt:lpstr>
      <vt:lpstr>ECE/TRANS/WP.29/2019/46</vt:lpstr>
    </vt:vector>
  </TitlesOfParts>
  <Company>DCM</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ECE/TRANS/WP.29/2019/46</dc:title>
  <dc:subject/>
  <dc:creator>Nicolas MORIN</dc:creator>
  <cp:keywords/>
  <cp:lastModifiedBy>Marie-Claude Collet</cp:lastModifiedBy>
  <cp:revision>3</cp:revision>
  <cp:lastPrinted>2019-05-08T09:20:00Z</cp:lastPrinted>
  <dcterms:created xsi:type="dcterms:W3CDTF">2019-05-08T09:19:00Z</dcterms:created>
  <dcterms:modified xsi:type="dcterms:W3CDTF">2019-05-08T09:20:00Z</dcterms:modified>
</cp:coreProperties>
</file>