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DE826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2D0157" w14:textId="77777777" w:rsidR="002D5AAC" w:rsidRDefault="002D5AAC" w:rsidP="00E215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9945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1BFDA5" w14:textId="77777777" w:rsidR="002D5AAC" w:rsidRDefault="00E21573" w:rsidP="00E21573">
            <w:pPr>
              <w:jc w:val="right"/>
            </w:pPr>
            <w:r w:rsidRPr="00E21573">
              <w:rPr>
                <w:sz w:val="40"/>
              </w:rPr>
              <w:t>ECE</w:t>
            </w:r>
            <w:r>
              <w:t>/TRANS/WP.29/2019/120</w:t>
            </w:r>
          </w:p>
        </w:tc>
      </w:tr>
      <w:tr w:rsidR="002D5AAC" w:rsidRPr="00A22B7D" w14:paraId="272EAC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3D6C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AF7317" wp14:editId="44DF2D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7D33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356AB8" w14:textId="77777777" w:rsidR="002D5AAC" w:rsidRDefault="00E215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4BD5A6" w14:textId="77777777" w:rsidR="00E21573" w:rsidRDefault="00E21573" w:rsidP="00E21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2019</w:t>
            </w:r>
          </w:p>
          <w:p w14:paraId="1F501078" w14:textId="77777777" w:rsidR="00E21573" w:rsidRDefault="00E21573" w:rsidP="00E21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948E94" w14:textId="77777777" w:rsidR="00E21573" w:rsidRPr="008D53B6" w:rsidRDefault="00E21573" w:rsidP="00E21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9A3B60" w14:textId="77777777" w:rsidR="00E215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E4A0EC" w14:textId="77777777" w:rsidR="00E21573" w:rsidRPr="00D12303" w:rsidRDefault="00E21573" w:rsidP="00E21573">
      <w:pPr>
        <w:spacing w:before="120"/>
        <w:rPr>
          <w:sz w:val="28"/>
          <w:szCs w:val="28"/>
        </w:rPr>
      </w:pPr>
      <w:r w:rsidRPr="00D12303">
        <w:rPr>
          <w:sz w:val="28"/>
          <w:szCs w:val="28"/>
        </w:rPr>
        <w:t>Комитет по внутреннему транспорту</w:t>
      </w:r>
    </w:p>
    <w:p w14:paraId="3CFE6FC7" w14:textId="77777777" w:rsidR="00E21573" w:rsidRPr="00D12303" w:rsidRDefault="00E21573" w:rsidP="00E21573">
      <w:pPr>
        <w:spacing w:before="120"/>
        <w:rPr>
          <w:b/>
          <w:sz w:val="24"/>
          <w:szCs w:val="24"/>
        </w:rPr>
      </w:pPr>
      <w:r w:rsidRPr="00D12303">
        <w:rPr>
          <w:b/>
          <w:bCs/>
          <w:sz w:val="24"/>
          <w:szCs w:val="24"/>
        </w:rPr>
        <w:t>Всемирный форум для согласования правил</w:t>
      </w:r>
      <w:r w:rsidR="00EA647C">
        <w:rPr>
          <w:b/>
          <w:bCs/>
          <w:sz w:val="24"/>
          <w:szCs w:val="24"/>
        </w:rPr>
        <w:br/>
      </w:r>
      <w:r w:rsidRPr="00D12303">
        <w:rPr>
          <w:b/>
          <w:bCs/>
          <w:sz w:val="24"/>
          <w:szCs w:val="24"/>
        </w:rPr>
        <w:t>в области транспортных средств</w:t>
      </w:r>
    </w:p>
    <w:p w14:paraId="0812EA75" w14:textId="77777777" w:rsidR="00E21573" w:rsidRPr="00D12303" w:rsidRDefault="00E21573" w:rsidP="00E21573">
      <w:pPr>
        <w:tabs>
          <w:tab w:val="center" w:pos="4819"/>
        </w:tabs>
        <w:spacing w:before="120"/>
        <w:rPr>
          <w:b/>
        </w:rPr>
      </w:pPr>
      <w:r w:rsidRPr="00D12303">
        <w:rPr>
          <w:b/>
          <w:bCs/>
        </w:rPr>
        <w:t>179-я сессия</w:t>
      </w:r>
    </w:p>
    <w:p w14:paraId="58B930B7" w14:textId="77777777" w:rsidR="00E21573" w:rsidRPr="00D12303" w:rsidRDefault="00E21573" w:rsidP="00E21573">
      <w:r w:rsidRPr="00D12303">
        <w:t>Женева, 12–15 ноября 2019 года</w:t>
      </w:r>
    </w:p>
    <w:p w14:paraId="538ECEBF" w14:textId="77777777" w:rsidR="00E21573" w:rsidRPr="00D12303" w:rsidRDefault="00E21573" w:rsidP="00E21573">
      <w:r w:rsidRPr="00D12303">
        <w:t>Пункт 7.5 предварительной повестки дня</w:t>
      </w:r>
    </w:p>
    <w:p w14:paraId="289E4F4D" w14:textId="77777777" w:rsidR="00E21573" w:rsidRPr="00D12303" w:rsidRDefault="00E21573" w:rsidP="00E21573">
      <w:pPr>
        <w:rPr>
          <w:b/>
          <w:bCs/>
        </w:rPr>
      </w:pPr>
      <w:r w:rsidRPr="00D12303">
        <w:rPr>
          <w:b/>
          <w:bCs/>
        </w:rPr>
        <w:t>Обновление резолюции СР.6 о требованиях,</w:t>
      </w:r>
      <w:r w:rsidRPr="00D12303">
        <w:rPr>
          <w:b/>
          <w:bCs/>
        </w:rPr>
        <w:br/>
        <w:t>касающихся испытательного оборудования,</w:t>
      </w:r>
      <w:r w:rsidR="00EA647C">
        <w:rPr>
          <w:b/>
          <w:bCs/>
        </w:rPr>
        <w:br/>
      </w:r>
      <w:r w:rsidRPr="00D12303">
        <w:rPr>
          <w:b/>
          <w:bCs/>
        </w:rPr>
        <w:t>квалификации</w:t>
      </w:r>
      <w:r w:rsidR="00EA647C" w:rsidRPr="00EA647C">
        <w:rPr>
          <w:b/>
          <w:bCs/>
        </w:rPr>
        <w:t xml:space="preserve"> </w:t>
      </w:r>
      <w:r w:rsidRPr="00D12303">
        <w:rPr>
          <w:b/>
          <w:bCs/>
        </w:rPr>
        <w:t>и профессиональной подготовки</w:t>
      </w:r>
      <w:r w:rsidR="00187604">
        <w:rPr>
          <w:b/>
          <w:bCs/>
        </w:rPr>
        <w:br/>
      </w:r>
      <w:r w:rsidRPr="00D12303">
        <w:rPr>
          <w:b/>
          <w:bCs/>
        </w:rPr>
        <w:t>инспекторов</w:t>
      </w:r>
      <w:r w:rsidR="00187604" w:rsidRPr="00187604">
        <w:rPr>
          <w:b/>
          <w:bCs/>
        </w:rPr>
        <w:t xml:space="preserve"> </w:t>
      </w:r>
      <w:r w:rsidRPr="00D12303">
        <w:rPr>
          <w:b/>
          <w:bCs/>
        </w:rPr>
        <w:t>и контроля за испытательными центрами</w:t>
      </w:r>
    </w:p>
    <w:p w14:paraId="5C55159D" w14:textId="77777777" w:rsidR="00E21573" w:rsidRPr="00D12303" w:rsidRDefault="00E21573" w:rsidP="00E21573">
      <w:pPr>
        <w:pStyle w:val="HChG"/>
      </w:pPr>
      <w:r w:rsidRPr="00D12303">
        <w:tab/>
      </w:r>
      <w:r w:rsidRPr="00D12303">
        <w:tab/>
      </w:r>
      <w:r w:rsidRPr="00D12303">
        <w:rPr>
          <w:bCs/>
        </w:rPr>
        <w:t>Предложение о поправке к резолюции СР.6, касающейся административных и технических положений, необходимых для проведения технических осмотров в</w:t>
      </w:r>
      <w:r w:rsidR="00EA647C">
        <w:rPr>
          <w:bCs/>
          <w:lang w:val="en-US"/>
        </w:rPr>
        <w:t> </w:t>
      </w:r>
      <w:r w:rsidRPr="00D12303">
        <w:rPr>
          <w:bCs/>
        </w:rPr>
        <w:t>соответствии с техническими требованиями, указанными в Предписаниях, прилагаемых к</w:t>
      </w:r>
      <w:r w:rsidR="001677FA">
        <w:rPr>
          <w:bCs/>
          <w:lang w:val="en-US"/>
        </w:rPr>
        <w:t> </w:t>
      </w:r>
      <w:r w:rsidRPr="00D12303">
        <w:rPr>
          <w:bCs/>
        </w:rPr>
        <w:t>Соглашению 1997 года</w:t>
      </w:r>
    </w:p>
    <w:p w14:paraId="472AFD4E" w14:textId="77777777" w:rsidR="00E21573" w:rsidRPr="00D12303" w:rsidRDefault="00E21573" w:rsidP="00E21573">
      <w:pPr>
        <w:pStyle w:val="H1G"/>
      </w:pPr>
      <w:r w:rsidRPr="00D12303">
        <w:tab/>
      </w:r>
      <w:r w:rsidRPr="00D12303">
        <w:tab/>
      </w:r>
      <w:r w:rsidRPr="00D12303">
        <w:rPr>
          <w:bCs/>
        </w:rPr>
        <w:t>Представлено неофициальной рабочей группой по периодическим техническим осмотрам</w:t>
      </w:r>
      <w:r w:rsidRPr="00EA64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74467EF" w14:textId="77777777" w:rsidR="00E21573" w:rsidRPr="00D12303" w:rsidRDefault="00E21573" w:rsidP="00E21573">
      <w:pPr>
        <w:pStyle w:val="SingleTxtG"/>
        <w:ind w:firstLine="567"/>
      </w:pPr>
      <w:r w:rsidRPr="00D12303">
        <w:t>Настоящий документ был подготовлен неофициальной рабочей группой по периодическим техническим осмотрам. В нем предложена поправка к резолюции СР.6, касающейся административных и технических положений,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 (доклад ECE/TRANS/WP.29/1139, пункт 120). В его основу положен неофициальный документ WP.29-175-14, распространенный на 178-й сессии Всемирного форума для согласования правил в области транспортных средств (WP.29). Он передается WP.29 для рассмотрения и препровождения рабочим группам WP.29 для включения этого документа в их повестки дня и представления замечаний в соответствии с областями их компетенции на сессиях в ноябре 2019 года.</w:t>
      </w:r>
    </w:p>
    <w:p w14:paraId="76542A6A" w14:textId="77777777" w:rsidR="00E21573" w:rsidRPr="00D12303" w:rsidRDefault="00E21573" w:rsidP="00E21573">
      <w:pPr>
        <w:pStyle w:val="Heading1"/>
      </w:pPr>
      <w:r w:rsidRPr="00D12303">
        <w:br w:type="page"/>
      </w:r>
    </w:p>
    <w:p w14:paraId="15EC289C" w14:textId="77777777" w:rsidR="00E21573" w:rsidRPr="00D12303" w:rsidRDefault="00E21573" w:rsidP="00E21573">
      <w:pPr>
        <w:pStyle w:val="HChG"/>
        <w:rPr>
          <w:rStyle w:val="Strong"/>
          <w:b/>
          <w:bCs w:val="0"/>
        </w:rPr>
      </w:pPr>
      <w:r w:rsidRPr="00D12303">
        <w:lastRenderedPageBreak/>
        <w:tab/>
      </w:r>
      <w:r w:rsidRPr="00D12303">
        <w:tab/>
      </w:r>
      <w:r w:rsidRPr="00D12303">
        <w:rPr>
          <w:bCs/>
        </w:rPr>
        <w:t>Предложение о поправке к резолюции СР.6, касающейся административных и технических положений, необходимых для проведения технических осмотров в</w:t>
      </w:r>
      <w:r w:rsidR="00EA647C">
        <w:rPr>
          <w:bCs/>
          <w:lang w:val="en-US"/>
        </w:rPr>
        <w:t> </w:t>
      </w:r>
      <w:r w:rsidRPr="00D12303">
        <w:rPr>
          <w:bCs/>
        </w:rPr>
        <w:t>соответствии с техническими требованиями, указанными в Предписаниях, прилагаемых к</w:t>
      </w:r>
      <w:r w:rsidR="00EA647C">
        <w:rPr>
          <w:bCs/>
          <w:lang w:val="en-US"/>
        </w:rPr>
        <w:t> </w:t>
      </w:r>
      <w:r w:rsidRPr="00D12303">
        <w:rPr>
          <w:bCs/>
        </w:rPr>
        <w:t>Соглашению 1997 года</w:t>
      </w:r>
    </w:p>
    <w:p w14:paraId="1FDEA524" w14:textId="77777777" w:rsidR="00E21573" w:rsidRPr="00D12303" w:rsidRDefault="00E21573" w:rsidP="00E21573">
      <w:pPr>
        <w:pStyle w:val="H1G"/>
        <w:rPr>
          <w:rStyle w:val="Strong"/>
          <w:b/>
          <w:bCs w:val="0"/>
        </w:rPr>
      </w:pPr>
      <w:r w:rsidRPr="00D12303">
        <w:tab/>
        <w:t>1.</w:t>
      </w:r>
      <w:r w:rsidRPr="00D12303">
        <w:tab/>
      </w:r>
      <w:r w:rsidRPr="00D12303">
        <w:rPr>
          <w:bCs/>
        </w:rPr>
        <w:t>Введение</w:t>
      </w:r>
    </w:p>
    <w:p w14:paraId="3B721FF5" w14:textId="77777777" w:rsidR="00E21573" w:rsidRPr="00D12303" w:rsidRDefault="00E21573" w:rsidP="00EA647C">
      <w:pPr>
        <w:pStyle w:val="SingleTxtG"/>
        <w:spacing w:line="230" w:lineRule="atLeast"/>
      </w:pPr>
      <w:r w:rsidRPr="00D12303">
        <w:t>1.1</w:t>
      </w:r>
      <w:r w:rsidRPr="00D12303">
        <w:tab/>
        <w:t>Проект руководящих принципов для проведения начальных придорожных проверок эксплуатационной пригодности транспортных средств был разработан в соответствии с пунктом F положений о круге ведения неофициальной рабочей группы по периодическим техническим осмотрам (ECE/TRANS/WP.29/1139, приложение VI).</w:t>
      </w:r>
    </w:p>
    <w:p w14:paraId="2440D797" w14:textId="77777777" w:rsidR="00E21573" w:rsidRPr="00D12303" w:rsidRDefault="00E21573" w:rsidP="00EA647C">
      <w:pPr>
        <w:pStyle w:val="SingleTxtG"/>
        <w:spacing w:line="230" w:lineRule="atLeast"/>
      </w:pPr>
      <w:r w:rsidRPr="00D12303">
        <w:t>1.2</w:t>
      </w:r>
      <w:r w:rsidRPr="00D12303">
        <w:tab/>
        <w:t>Эти руководящие принципы следует считать частью резолюции СР.6, касающейся административных и технических положений,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 (ECE/TRANS/WP.29/1132).</w:t>
      </w:r>
    </w:p>
    <w:p w14:paraId="669B90AC" w14:textId="77777777" w:rsidR="00E21573" w:rsidRPr="00D12303" w:rsidRDefault="00E21573" w:rsidP="00E21573">
      <w:pPr>
        <w:pStyle w:val="H1G"/>
        <w:rPr>
          <w:rStyle w:val="Strong"/>
          <w:b/>
          <w:bCs w:val="0"/>
        </w:rPr>
      </w:pPr>
      <w:r w:rsidRPr="00D12303">
        <w:tab/>
        <w:t>2.</w:t>
      </w:r>
      <w:r w:rsidRPr="00D12303">
        <w:tab/>
      </w:r>
      <w:r w:rsidRPr="00D12303">
        <w:rPr>
          <w:bCs/>
        </w:rPr>
        <w:t>Предложение</w:t>
      </w:r>
    </w:p>
    <w:p w14:paraId="790A07FF" w14:textId="77777777" w:rsidR="00E21573" w:rsidRPr="00D12303" w:rsidRDefault="00E21573" w:rsidP="00E21573">
      <w:pPr>
        <w:pStyle w:val="SingleTxtG"/>
      </w:pPr>
      <w:r w:rsidRPr="00D12303">
        <w:t>2.1</w:t>
      </w:r>
      <w:r w:rsidRPr="00D12303">
        <w:tab/>
        <w:t>Добавить к резолюции СР.6, касающейся административных и технических положений,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 (ECE/TRANS/WP.29/1132), новый пункт следующего содержания:</w:t>
      </w:r>
    </w:p>
    <w:p w14:paraId="10E1C8F6" w14:textId="77777777" w:rsidR="00E21573" w:rsidRPr="00D12303" w:rsidRDefault="00E21573" w:rsidP="00E21573">
      <w:pPr>
        <w:pStyle w:val="HChG"/>
        <w:ind w:left="2268"/>
        <w:rPr>
          <w:b w:val="0"/>
          <w:sz w:val="24"/>
        </w:rPr>
      </w:pPr>
      <w:r w:rsidRPr="00EA647C">
        <w:rPr>
          <w:b w:val="0"/>
          <w:sz w:val="20"/>
        </w:rPr>
        <w:t>«</w:t>
      </w:r>
      <w:r w:rsidRPr="00D12303">
        <w:t>6.</w:t>
      </w:r>
      <w:r w:rsidRPr="00D12303">
        <w:tab/>
      </w:r>
      <w:r w:rsidRPr="00D12303">
        <w:rPr>
          <w:bCs/>
        </w:rPr>
        <w:t>Руководящие принципы для проведения начальных придорожных технических осмотров</w:t>
      </w:r>
    </w:p>
    <w:p w14:paraId="40E73AA4" w14:textId="77777777" w:rsidR="00E21573" w:rsidRPr="00D12303" w:rsidRDefault="00E21573" w:rsidP="00EA647C">
      <w:pPr>
        <w:pStyle w:val="SingleTxtG"/>
        <w:spacing w:line="230" w:lineRule="atLeast"/>
        <w:ind w:left="2268" w:hanging="1134"/>
      </w:pPr>
      <w:r w:rsidRPr="00D12303">
        <w:t>6.1.</w:t>
      </w:r>
      <w:r w:rsidRPr="00D12303">
        <w:tab/>
        <w:t>Общий подход</w:t>
      </w:r>
    </w:p>
    <w:p w14:paraId="01C1850A" w14:textId="77777777" w:rsidR="00E21573" w:rsidRPr="00D12303" w:rsidRDefault="00E21573" w:rsidP="00EA647C">
      <w:pPr>
        <w:pStyle w:val="SingleTxtG"/>
        <w:spacing w:line="230" w:lineRule="atLeast"/>
        <w:ind w:left="2268" w:hanging="1134"/>
      </w:pPr>
      <w:r w:rsidRPr="00D12303">
        <w:t>6.1.1</w:t>
      </w:r>
      <w:r w:rsidRPr="00D12303">
        <w:tab/>
        <w:t>Придорожные технические осмотры – это один из видов контроля за состоянием транспортных средств, который служит важным вкладом в обеспечение соответствия транспортных средств применимым требованиям в процессе эксплуатации и является главным условием поддержания постоянно высокого уровня их дорожной пригодности на протяжении всего срока службы.</w:t>
      </w:r>
    </w:p>
    <w:p w14:paraId="781993D7" w14:textId="77777777" w:rsidR="00E21573" w:rsidRPr="00D12303" w:rsidRDefault="00E21573" w:rsidP="00EA647C">
      <w:pPr>
        <w:pStyle w:val="SingleTxtG"/>
        <w:spacing w:line="230" w:lineRule="atLeast"/>
        <w:ind w:left="2268" w:hanging="1134"/>
      </w:pPr>
      <w:r w:rsidRPr="00D12303">
        <w:t>6.1.2</w:t>
      </w:r>
      <w:r w:rsidRPr="00D12303">
        <w:tab/>
        <w:t>Для сокращения административного бремени и расходов и повышения эффективности осмотров компетентные национальные органы должны иметь возможность выбирать прежде всего транспортные средства, эксплуатируемые предприятиями, не соблюдающими стандарты безопасности дорожного движения и охраны окружающей среды, тогда как регулярно обслуживаемые транспортные средства ответственных и заботящихся о безопасности операторов в качестве поощрения должны подвергаться осмотрам реже. Выбор транспортных средств для придорожных осмотров на основе профиля риска их операторов может стать полезным инструментом более тщательной и частой проверки предприятий с высоким уровнем риска.</w:t>
      </w:r>
    </w:p>
    <w:p w14:paraId="08499CB1" w14:textId="77777777" w:rsidR="00E21573" w:rsidRPr="00D12303" w:rsidRDefault="00E21573" w:rsidP="00EA647C">
      <w:pPr>
        <w:pStyle w:val="SingleTxtG"/>
        <w:spacing w:line="230" w:lineRule="atLeast"/>
        <w:ind w:left="2268" w:hanging="1134"/>
      </w:pPr>
      <w:r w:rsidRPr="00D12303">
        <w:t>6.1.3</w:t>
      </w:r>
      <w:r w:rsidRPr="00D12303">
        <w:tab/>
        <w:t xml:space="preserve">Система оценки риска должна служить основой для целенаправленного отбора транспортных средств, эксплуатируемых предприятиями с плохим послужным списком в плане соблюдения требований по техническому обслуживанию и поддержанию эксплуатационной пригодности транспортных средств. В ней должны учитываться результаты как периодических испытаний </w:t>
      </w:r>
      <w:bookmarkStart w:id="1" w:name="_Hlk20406620"/>
      <w:r w:rsidRPr="00D12303">
        <w:t>на эксплуатационную пригодность</w:t>
      </w:r>
      <w:bookmarkEnd w:id="1"/>
      <w:r w:rsidRPr="00D12303">
        <w:t xml:space="preserve">, так и придорожных технических осмотров. </w:t>
      </w:r>
    </w:p>
    <w:p w14:paraId="0B0CE6FB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6.1.4</w:t>
      </w:r>
      <w:r w:rsidRPr="00D12303">
        <w:tab/>
        <w:t>При определении рейтинга риска для соответствующего предприятия в системе оценки риска должны учитываться следующие параметры:</w:t>
      </w:r>
    </w:p>
    <w:p w14:paraId="0905D2E6" w14:textId="77777777" w:rsidR="00E21573" w:rsidRPr="00D12303" w:rsidRDefault="00E21573" w:rsidP="00E21573">
      <w:pPr>
        <w:pStyle w:val="SingleTxtG"/>
        <w:ind w:left="2268"/>
      </w:pPr>
      <w:r w:rsidRPr="00D12303">
        <w:t>а)</w:t>
      </w:r>
      <w:r w:rsidRPr="00D12303">
        <w:tab/>
        <w:t>количество дефектов;</w:t>
      </w:r>
    </w:p>
    <w:p w14:paraId="3F787F5F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серьезность дефектов;</w:t>
      </w:r>
    </w:p>
    <w:p w14:paraId="0CBB33BC" w14:textId="77777777" w:rsidR="00E21573" w:rsidRPr="00D12303" w:rsidRDefault="00E21573" w:rsidP="00E21573">
      <w:pPr>
        <w:pStyle w:val="SingleTxtG"/>
        <w:ind w:left="2268"/>
      </w:pPr>
      <w:r w:rsidRPr="00D12303">
        <w:t>c)</w:t>
      </w:r>
      <w:r w:rsidRPr="00D12303">
        <w:tab/>
        <w:t>количество придорожных технических осмотров или периодических и добровольных испытаний на эксплуатационную пригодность;</w:t>
      </w:r>
    </w:p>
    <w:p w14:paraId="04BC6D12" w14:textId="77777777" w:rsidR="00E21573" w:rsidRPr="00D12303" w:rsidRDefault="00E21573" w:rsidP="00E21573">
      <w:pPr>
        <w:pStyle w:val="SingleTxtG"/>
        <w:ind w:left="2268"/>
      </w:pPr>
      <w:r w:rsidRPr="00D12303">
        <w:t>d)</w:t>
      </w:r>
      <w:r w:rsidRPr="00D12303">
        <w:tab/>
        <w:t>временной фактор.</w:t>
      </w:r>
    </w:p>
    <w:p w14:paraId="4BB100BD" w14:textId="77777777" w:rsidR="00E21573" w:rsidRPr="00D12303" w:rsidRDefault="00E21573" w:rsidP="00E21573">
      <w:pPr>
        <w:pStyle w:val="SingleTxtG"/>
        <w:ind w:left="2268" w:hanging="1134"/>
      </w:pPr>
      <w:r w:rsidRPr="00D12303">
        <w:t>6.1.5</w:t>
      </w:r>
      <w:r w:rsidRPr="00D12303">
        <w:tab/>
        <w:t xml:space="preserve">Договаривающимся сторонам следует принимать надлежащие технические и административные меры для обеспечения функционирования систем оценки рисков. </w:t>
      </w:r>
    </w:p>
    <w:p w14:paraId="60762B26" w14:textId="77777777" w:rsidR="00E21573" w:rsidRPr="00D12303" w:rsidRDefault="00E21573" w:rsidP="00E21573">
      <w:pPr>
        <w:pStyle w:val="SingleTxtG"/>
        <w:ind w:left="2268" w:hanging="1134"/>
      </w:pPr>
      <w:r w:rsidRPr="00D12303">
        <w:t>6.1.6</w:t>
      </w:r>
      <w:r w:rsidRPr="00D12303">
        <w:tab/>
        <w:t xml:space="preserve">Для присвоения предприятию того или иного профиля риска Договаривающиеся стороны могут применять критерии, указанные в разделе 6.6 руководящих принципов. Эта информация используется для более тщательных и частых проверок предприятий с высоким уровнем риска. Системой оценки рисков управляют компетентные органы Договаривающихся сторон. </w:t>
      </w:r>
    </w:p>
    <w:p w14:paraId="30623E80" w14:textId="77777777" w:rsidR="00E21573" w:rsidRPr="00D12303" w:rsidRDefault="00E21573" w:rsidP="00E21573">
      <w:pPr>
        <w:pStyle w:val="SingleTxtG"/>
        <w:ind w:left="2268" w:hanging="1134"/>
      </w:pPr>
      <w:r w:rsidRPr="00D12303">
        <w:t>6.1.7</w:t>
      </w:r>
      <w:r w:rsidRPr="00D12303">
        <w:tab/>
        <w:t xml:space="preserve">Договаривающиеся стороны могут разрешить проведение дополнительных добровольных испытаний на эксплуатационную пригодность. Для улучшения профиля риска предприятия во внимание может быть принята информация о соблюдении требований в отношении эксплуатационной пригодности, полученная в результате добровольных испытаний. </w:t>
      </w:r>
    </w:p>
    <w:p w14:paraId="44048B58" w14:textId="77777777" w:rsidR="00E21573" w:rsidRPr="00D12303" w:rsidRDefault="00E21573" w:rsidP="00E21573">
      <w:pPr>
        <w:pStyle w:val="SingleTxtG"/>
        <w:ind w:left="2268" w:hanging="1134"/>
      </w:pPr>
      <w:r w:rsidRPr="00D12303">
        <w:t>6.1.8</w:t>
      </w:r>
      <w:r w:rsidRPr="00D12303">
        <w:tab/>
        <w:t>Использование мобильных инспекционных комплексов сокращает задержки и затраты для операторов, поскольку более тщательные осмотры могут проводиться непосредственно в дорожных условиях. Для</w:t>
      </w:r>
      <w:r w:rsidR="00EA647C">
        <w:rPr>
          <w:lang w:val="en-US"/>
        </w:rPr>
        <w:t> </w:t>
      </w:r>
      <w:r w:rsidRPr="00D12303">
        <w:t xml:space="preserve">проведения более обстоятельных проверок могут также использоваться подходящие ближайшие испытательные центры и специальные придорожные станции осмотра. </w:t>
      </w:r>
    </w:p>
    <w:p w14:paraId="7D627672" w14:textId="77777777" w:rsidR="00E21573" w:rsidRPr="00D12303" w:rsidRDefault="00E21573" w:rsidP="00E21573">
      <w:pPr>
        <w:pStyle w:val="SingleTxtG"/>
        <w:ind w:left="2268" w:hanging="1134"/>
      </w:pPr>
      <w:r w:rsidRPr="00D12303">
        <w:t>6.1.9</w:t>
      </w:r>
      <w:r w:rsidRPr="00D12303">
        <w:tab/>
        <w:t>Сотрудники, проводящие придорожный технический осмотр, должны иметь соответствующую подготовку или квалификации, в том числе в отношении проведения эффективных визуальных осмотров. Инспекторы, проводящие более обстоятельные придорожные технические осмотры, должны обладать по меньшей мере теми же навыками и отвечать тем же требованиям, что и инспекторы, проводящие испытания на эксплуатационную пригодность в соответствии с Венским соглашением 1997 года. Договаривающимся сторонам следует требовать от инспекторов, проводящих осмотры на специальных придорожных станциях или мобильных инспекционных комплексах, выполнения этих же или эквивалентных требований, утвержденных компетентным органом.</w:t>
      </w:r>
    </w:p>
    <w:p w14:paraId="4566FE8E" w14:textId="77777777" w:rsidR="00E21573" w:rsidRPr="00D12303" w:rsidRDefault="00E21573" w:rsidP="00E21573">
      <w:pPr>
        <w:pStyle w:val="SingleTxtG"/>
        <w:ind w:left="2268" w:hanging="1134"/>
      </w:pPr>
      <w:r w:rsidRPr="00D12303">
        <w:t>6.1.10</w:t>
      </w:r>
      <w:r w:rsidRPr="00D12303">
        <w:tab/>
        <w:t xml:space="preserve">Во внимание необходимо принимать также то обстоятельство, что придорожный технический осмотр должен проводиться как для иностранных, так и </w:t>
      </w:r>
      <w:r w:rsidR="00D65937">
        <w:t>для</w:t>
      </w:r>
      <w:r w:rsidRPr="00D12303">
        <w:t xml:space="preserve"> зарегистрированных в стране транспортных средств. Это обусловливает некоторые различия, в частности в плане наличия данных, используемых при выборе транспортных средств для осмотра. </w:t>
      </w:r>
    </w:p>
    <w:p w14:paraId="1B407344" w14:textId="77777777" w:rsidR="00E21573" w:rsidRPr="00D12303" w:rsidRDefault="00E21573" w:rsidP="00E21573">
      <w:pPr>
        <w:pStyle w:val="SingleTxtG"/>
        <w:ind w:left="2268" w:hanging="1134"/>
      </w:pPr>
      <w:r w:rsidRPr="00D12303">
        <w:t>6.1.11</w:t>
      </w:r>
      <w:r w:rsidRPr="00D12303">
        <w:tab/>
        <w:t xml:space="preserve">Это означает, что инспектор должен определить масштабы осмотра с учетом своих знаний, опыта и применимых правовых рамок. </w:t>
      </w:r>
    </w:p>
    <w:p w14:paraId="1292BDD7" w14:textId="77777777" w:rsidR="00E21573" w:rsidRPr="00D12303" w:rsidRDefault="00E21573" w:rsidP="00E21573">
      <w:pPr>
        <w:pStyle w:val="SingleTxtG"/>
        <w:ind w:left="2268" w:hanging="1134"/>
      </w:pPr>
      <w:r w:rsidRPr="00D12303">
        <w:t>6.1.12</w:t>
      </w:r>
      <w:r w:rsidRPr="00D12303">
        <w:tab/>
        <w:t xml:space="preserve">В этой рекомендации предлагается подход к выбору транспортного средства и его первоначальному осмотру с учетом того, что окончательный охват осмотра определяется инспектором исходя из фактического состояния транспортного средства. </w:t>
      </w:r>
    </w:p>
    <w:p w14:paraId="2289952F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6.1.13</w:t>
      </w:r>
      <w:r w:rsidRPr="00D12303">
        <w:tab/>
        <w:t>Начальный придорожный технический осмотр может проводиться в сочетании с другими проверками, например проверкой тахографа или инспекциями на основании Европейского соглашения о международной дорожной перевозке опасных грузов (ДОПОГ) и Соглашения о международных перевозках скоропортящихся пищевых продуктов</w:t>
      </w:r>
      <w:r w:rsidR="00EA647C">
        <w:rPr>
          <w:lang w:val="en-US"/>
        </w:rPr>
        <w:t> </w:t>
      </w:r>
      <w:r w:rsidRPr="00D12303">
        <w:t>(СПС).</w:t>
      </w:r>
    </w:p>
    <w:p w14:paraId="132CE8C5" w14:textId="77777777" w:rsidR="00E21573" w:rsidRPr="00D12303" w:rsidRDefault="00E21573" w:rsidP="00E21573">
      <w:pPr>
        <w:pStyle w:val="SingleTxtG"/>
        <w:ind w:left="2268" w:hanging="1134"/>
      </w:pPr>
      <w:r w:rsidRPr="00D12303">
        <w:t>6.1.14</w:t>
      </w:r>
      <w:r w:rsidRPr="00D12303">
        <w:tab/>
        <w:t>Для целей настоящих руководящих принципов:</w:t>
      </w:r>
    </w:p>
    <w:p w14:paraId="3CEA85FD" w14:textId="77777777" w:rsidR="00E21573" w:rsidRPr="00D12303" w:rsidRDefault="00E21573" w:rsidP="00E21573">
      <w:pPr>
        <w:pStyle w:val="SingleTxtG"/>
        <w:ind w:left="2268"/>
      </w:pPr>
      <w:r w:rsidRPr="00D12303">
        <w:t>а)</w:t>
      </w:r>
      <w:r w:rsidRPr="00D12303">
        <w:tab/>
        <w:t xml:space="preserve">«Оператор» означает физическое или юридическое лицо, осуществляющее эксплуатацию транспортного средства в качестве его собственника или уполномоченное собственником осуществлять эксплуатацию транспортного средства. </w:t>
      </w:r>
    </w:p>
    <w:p w14:paraId="0C230C23" w14:textId="77777777" w:rsidR="00E21573" w:rsidRPr="00D12303" w:rsidRDefault="00E21573" w:rsidP="00E21573">
      <w:pPr>
        <w:pStyle w:val="SingleTxtG"/>
        <w:ind w:left="2268"/>
      </w:pPr>
      <w:r w:rsidRPr="00D12303">
        <w:t>b)</w:t>
      </w:r>
      <w:r w:rsidRPr="00D12303">
        <w:tab/>
        <w:t xml:space="preserve">«Мобильный инспекционный комплекс» означает транспортируемую систему испытательного оборудования, необходимого для проведения более обстоятельных придорожных технических осмотров инспекторами, обладающими для этого соответствующей компетенцией. </w:t>
      </w:r>
    </w:p>
    <w:p w14:paraId="37954A4C" w14:textId="77777777" w:rsidR="00E21573" w:rsidRPr="00D12303" w:rsidRDefault="00E21573" w:rsidP="00E21573">
      <w:pPr>
        <w:pStyle w:val="SingleTxtG"/>
        <w:ind w:left="2268"/>
      </w:pPr>
      <w:r w:rsidRPr="00D12303">
        <w:t>c)</w:t>
      </w:r>
      <w:r w:rsidRPr="00D12303">
        <w:tab/>
        <w:t xml:space="preserve">«Специальная придорожная станция осмотра» означает конкретный участок для проведения начальных и/или более обстоятельных придорожных технических осмотров, на котором также </w:t>
      </w:r>
      <w:r w:rsidR="00D65937">
        <w:t>может</w:t>
      </w:r>
      <w:r w:rsidRPr="00D12303">
        <w:t xml:space="preserve"> быть стационарно установлено испытательное оборудование.</w:t>
      </w:r>
    </w:p>
    <w:p w14:paraId="75500632" w14:textId="77777777" w:rsidR="00E21573" w:rsidRPr="00D12303" w:rsidRDefault="00E21573" w:rsidP="00E21573">
      <w:pPr>
        <w:pStyle w:val="SingleTxtG"/>
        <w:ind w:left="2268" w:hanging="1134"/>
      </w:pPr>
      <w:r w:rsidRPr="00D12303">
        <w:t>6.2</w:t>
      </w:r>
      <w:r w:rsidRPr="00D12303">
        <w:tab/>
        <w:t>Этапы процесса</w:t>
      </w:r>
    </w:p>
    <w:p w14:paraId="1A0A9C09" w14:textId="77777777" w:rsidR="00E21573" w:rsidRPr="00D12303" w:rsidRDefault="00E21573" w:rsidP="00E21573">
      <w:pPr>
        <w:pStyle w:val="SingleTxtG"/>
        <w:ind w:left="2268" w:hanging="1134"/>
      </w:pPr>
      <w:r w:rsidRPr="00D12303">
        <w:t>6.2.1</w:t>
      </w:r>
      <w:r w:rsidRPr="00D12303">
        <w:tab/>
        <w:t xml:space="preserve">Процесс начального придорожного технического осмотра включает следующие этапы: </w:t>
      </w:r>
    </w:p>
    <w:p w14:paraId="2410C017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>выбор (раздел 6.3);</w:t>
      </w:r>
    </w:p>
    <w:p w14:paraId="31A5FC63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начальный осмотр (раздел 6.4);</w:t>
      </w:r>
    </w:p>
    <w:p w14:paraId="47D02720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результат и последствия (раздел 6.5).</w:t>
      </w:r>
    </w:p>
    <w:p w14:paraId="1779C334" w14:textId="77777777" w:rsidR="00E21573" w:rsidRPr="00D12303" w:rsidRDefault="00E21573" w:rsidP="00E21573">
      <w:pPr>
        <w:pStyle w:val="SingleTxtG"/>
        <w:ind w:left="2268" w:hanging="1134"/>
      </w:pPr>
      <w:r w:rsidRPr="00D12303">
        <w:t>6.2.2</w:t>
      </w:r>
      <w:r w:rsidRPr="00D12303">
        <w:tab/>
        <w:t>Выбор – это процесс идентификации в условиях движения подлежащих начальному осмотру транспортных средств на основании визуальных признаков или иных имеющихся данных, свидетельствующих о том, что транспортное средство может иметь дефекты, сказывающиеся на его эксплуатационной пригодности. При возможности следует также принимать во внимание данные о рейтинге рисков. Выбор может производиться с учетом общего состояния транспортного средства, собранной оперативной информации и скрытых измерений выбросов в пути с помощью устройств дистанционного зондирования. Для</w:t>
      </w:r>
      <w:r w:rsidR="00EA647C">
        <w:rPr>
          <w:lang w:val="en-US"/>
        </w:rPr>
        <w:t> </w:t>
      </w:r>
      <w:r w:rsidRPr="00D12303">
        <w:t>выявления перегрузок, чрезмерно высокого уровня выбросов, утечек топлива, перегрева тормозов или других потенциальных дефектов движущихся транспортных средств могут использоваться методы дистанционного зондирования в сочетании с устройствами автоматического распознавания регистрационных знаков или без них. Наличие процедур выбора не препятству</w:t>
      </w:r>
      <w:r w:rsidR="00D65937">
        <w:t>е</w:t>
      </w:r>
      <w:r w:rsidRPr="00D12303">
        <w:t>т придорожным осмотрам транспортных средств на основе случайной выборки.</w:t>
      </w:r>
    </w:p>
    <w:p w14:paraId="35426DCB" w14:textId="77777777" w:rsidR="00E21573" w:rsidRPr="00D12303" w:rsidRDefault="00E21573" w:rsidP="00E21573">
      <w:pPr>
        <w:pStyle w:val="SingleTxtG"/>
        <w:ind w:left="2268" w:hanging="1134"/>
      </w:pPr>
      <w:r w:rsidRPr="00D12303">
        <w:t>6.2.3</w:t>
      </w:r>
      <w:r w:rsidRPr="00D12303">
        <w:tab/>
        <w:t>Хотя начальный осмотр должен основываться главным образом на визуальной информации, инспектор имеет возможность провести более обстоятельную проверку, если он/она сочтет это целесообразным.</w:t>
      </w:r>
    </w:p>
    <w:p w14:paraId="507ADEA9" w14:textId="77777777" w:rsidR="00E21573" w:rsidRPr="00D12303" w:rsidRDefault="00E21573" w:rsidP="00E21573">
      <w:pPr>
        <w:pStyle w:val="SingleTxtG"/>
        <w:ind w:left="2268" w:hanging="1134"/>
      </w:pPr>
      <w:r w:rsidRPr="00D12303">
        <w:t>6.2.4</w:t>
      </w:r>
      <w:r w:rsidRPr="00D12303">
        <w:tab/>
        <w:t>По результатам начального осмотра может быть составлен акт о выявленных дефектах, определения которых приводятся в Предписаниях</w:t>
      </w:r>
      <w:r w:rsidR="00EA647C">
        <w:rPr>
          <w:lang w:val="en-US"/>
        </w:rPr>
        <w:t> </w:t>
      </w:r>
      <w:r w:rsidRPr="00D12303">
        <w:t>ООН, прилагаемых к Венскому соглашению 1997 года:</w:t>
      </w:r>
    </w:p>
    <w:p w14:paraId="14BCD20A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>без дефектов;</w:t>
      </w:r>
    </w:p>
    <w:p w14:paraId="2AD2788A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незначительные дефекты;</w:t>
      </w:r>
    </w:p>
    <w:p w14:paraId="676714BB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серьезные дефекты;</w:t>
      </w:r>
    </w:p>
    <w:p w14:paraId="78933886" w14:textId="77777777" w:rsidR="00E21573" w:rsidRPr="00D12303" w:rsidRDefault="00E21573" w:rsidP="00E21573">
      <w:pPr>
        <w:pStyle w:val="SingleTxtG"/>
        <w:ind w:left="2835" w:hanging="567"/>
      </w:pPr>
      <w:r w:rsidRPr="00D12303">
        <w:lastRenderedPageBreak/>
        <w:t>d)</w:t>
      </w:r>
      <w:r w:rsidRPr="00D12303">
        <w:tab/>
        <w:t>опасные дефекты;</w:t>
      </w:r>
    </w:p>
    <w:p w14:paraId="42EC70C7" w14:textId="77777777" w:rsidR="00E21573" w:rsidRPr="00D12303" w:rsidRDefault="00E21573" w:rsidP="00E21573">
      <w:pPr>
        <w:pStyle w:val="SingleTxtG"/>
        <w:ind w:left="2835" w:hanging="567"/>
      </w:pPr>
      <w:r w:rsidRPr="00D12303">
        <w:t>e)</w:t>
      </w:r>
      <w:r w:rsidRPr="00D12303">
        <w:tab/>
        <w:t>либо любое сочетание вышеперечисленных дефектов.</w:t>
      </w:r>
    </w:p>
    <w:p w14:paraId="03AF6521" w14:textId="77777777" w:rsidR="00E21573" w:rsidRPr="00D12303" w:rsidRDefault="00E21573" w:rsidP="00E21573">
      <w:pPr>
        <w:pStyle w:val="SingleTxtG"/>
        <w:ind w:left="2268" w:hanging="1134"/>
      </w:pPr>
      <w:r w:rsidRPr="00D12303">
        <w:t>6.2.5</w:t>
      </w:r>
      <w:r w:rsidRPr="00D12303">
        <w:tab/>
        <w:t>Независимо от выявленных дефектов инспектор может принять решение о необходимости проведения более обстоятельного осмотра. В таких случаях он/она может также дать рекомендации в отношении охвата такого более обстоятельного осмотра.</w:t>
      </w:r>
    </w:p>
    <w:p w14:paraId="7AC74680" w14:textId="77777777" w:rsidR="00E21573" w:rsidRPr="00D12303" w:rsidRDefault="00E21573" w:rsidP="00E21573">
      <w:pPr>
        <w:pStyle w:val="SingleTxtG"/>
        <w:ind w:left="2268" w:hanging="1134"/>
      </w:pPr>
      <w:r w:rsidRPr="00D12303">
        <w:t>6.3</w:t>
      </w:r>
      <w:r w:rsidRPr="00D12303">
        <w:tab/>
        <w:t>Выбор</w:t>
      </w:r>
    </w:p>
    <w:p w14:paraId="49E8A073" w14:textId="77777777" w:rsidR="00E21573" w:rsidRPr="00D12303" w:rsidRDefault="00E21573" w:rsidP="00E21573">
      <w:pPr>
        <w:pStyle w:val="SingleTxtG"/>
        <w:ind w:left="2268" w:hanging="1134"/>
      </w:pPr>
      <w:r w:rsidRPr="00D12303">
        <w:t>6.3.1</w:t>
      </w:r>
      <w:r w:rsidRPr="00D12303">
        <w:tab/>
        <w:t>При выявлении транспортных средств, которые будут подлежать начальному придорожному техническому осмотру, инспекторы могут в приоритетном порядке выбирать транспортные средства предприятий с высоким уровнем риска, который указан в соответствующей системе оценки рисков. Транспортные средства могут также отбираться для осмотра на выборочной основе или при наличии подозрений в том, что транспортное средство представляет угрозу безопасности дорожного движения или окружающей среде.</w:t>
      </w:r>
    </w:p>
    <w:p w14:paraId="7C6030AB" w14:textId="77777777" w:rsidR="00E21573" w:rsidRPr="00D12303" w:rsidRDefault="00E21573" w:rsidP="00E21573">
      <w:pPr>
        <w:pStyle w:val="SingleTxtG"/>
        <w:ind w:left="2268" w:hanging="1134"/>
      </w:pPr>
      <w:r w:rsidRPr="00D12303">
        <w:t>6.3.2</w:t>
      </w:r>
      <w:r w:rsidRPr="00D12303">
        <w:tab/>
        <w:t xml:space="preserve">Процесс выбора в значительной степени зависит от наличия конкретных данных по транспортным средствам, ресурсов и возможности остановки транспортных средств в условиях движения. </w:t>
      </w:r>
    </w:p>
    <w:p w14:paraId="1138089C" w14:textId="77777777" w:rsidR="00E21573" w:rsidRPr="00D12303" w:rsidRDefault="00E21573" w:rsidP="00E21573">
      <w:pPr>
        <w:pStyle w:val="SingleTxtG"/>
        <w:ind w:left="2268" w:hanging="1134"/>
      </w:pPr>
      <w:r w:rsidRPr="00D12303">
        <w:t>6.3.3</w:t>
      </w:r>
      <w:r w:rsidRPr="00D12303">
        <w:tab/>
        <w:t xml:space="preserve">Ниже приводится неисчерпывающий перечень критериев, которые могут использоваться для отбора транспортных средств: </w:t>
      </w:r>
    </w:p>
    <w:p w14:paraId="2DAEFF25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уровень риска, присвоенный транспортному средству; </w:t>
      </w:r>
    </w:p>
    <w:p w14:paraId="2D7F0A4E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уровень риска, присвоенный оператору; </w:t>
      </w:r>
    </w:p>
    <w:p w14:paraId="7DBB2055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общее состояние транспортного средства (коррозия, небезопасные элементы и т.</w:t>
      </w:r>
      <w:r w:rsidR="00EA647C" w:rsidRPr="00EA647C">
        <w:t xml:space="preserve"> </w:t>
      </w:r>
      <w:r w:rsidRPr="00D12303">
        <w:t xml:space="preserve">д.); </w:t>
      </w:r>
    </w:p>
    <w:p w14:paraId="0ED46075" w14:textId="77777777" w:rsidR="00E21573" w:rsidRPr="00D12303" w:rsidRDefault="00E21573" w:rsidP="00E21573">
      <w:pPr>
        <w:pStyle w:val="SingleTxtG"/>
        <w:ind w:left="2835" w:hanging="567"/>
      </w:pPr>
      <w:r w:rsidRPr="00D12303">
        <w:t>d)</w:t>
      </w:r>
      <w:r w:rsidRPr="00D12303">
        <w:tab/>
        <w:t>любое смещение, т.</w:t>
      </w:r>
      <w:r w:rsidR="00D65937">
        <w:t xml:space="preserve"> </w:t>
      </w:r>
      <w:r w:rsidRPr="00D12303">
        <w:t xml:space="preserve">е. оси не следуют одной и той же линии или транспортное средство наклонено в одну сторону. При оценке наклона транспортного средства инспектор может принимать во внимание тот факт, что некоторые автобусы оборудованы системой опускания пола; </w:t>
      </w:r>
    </w:p>
    <w:p w14:paraId="04851A7C" w14:textId="77777777" w:rsidR="00E21573" w:rsidRPr="00D12303" w:rsidRDefault="00E21573" w:rsidP="00E21573">
      <w:pPr>
        <w:pStyle w:val="SingleTxtG"/>
        <w:ind w:left="2835" w:hanging="567"/>
      </w:pPr>
      <w:r w:rsidRPr="00D12303">
        <w:t>e)</w:t>
      </w:r>
      <w:r w:rsidRPr="00D12303">
        <w:tab/>
        <w:t xml:space="preserve">непосредственное измерение реальных выбросов твердых частиц в условиях движения с помощью устройств дистанционного зондирования; </w:t>
      </w:r>
    </w:p>
    <w:p w14:paraId="0155C072" w14:textId="77777777" w:rsidR="00E21573" w:rsidRPr="00D12303" w:rsidRDefault="00E21573" w:rsidP="00E21573">
      <w:pPr>
        <w:pStyle w:val="SingleTxtG"/>
        <w:ind w:left="2835" w:hanging="567"/>
      </w:pPr>
      <w:r w:rsidRPr="00D12303">
        <w:t>f)</w:t>
      </w:r>
      <w:r w:rsidRPr="00D12303">
        <w:tab/>
        <w:t xml:space="preserve">неработающие огни/системы; </w:t>
      </w:r>
    </w:p>
    <w:p w14:paraId="51C48E22" w14:textId="77777777" w:rsidR="00E21573" w:rsidRPr="00D12303" w:rsidRDefault="00E21573" w:rsidP="00E21573">
      <w:pPr>
        <w:pStyle w:val="SingleTxtG"/>
        <w:ind w:left="2835" w:hanging="567"/>
      </w:pPr>
      <w:r w:rsidRPr="00D12303">
        <w:t>g)</w:t>
      </w:r>
      <w:r w:rsidRPr="00D12303">
        <w:tab/>
        <w:t xml:space="preserve">избыточное визуальное дымовыделение; </w:t>
      </w:r>
    </w:p>
    <w:p w14:paraId="7C8D9B72" w14:textId="77777777" w:rsidR="00E21573" w:rsidRPr="00D12303" w:rsidRDefault="00E21573" w:rsidP="00E21573">
      <w:pPr>
        <w:pStyle w:val="SingleTxtG"/>
        <w:ind w:left="2835" w:hanging="567"/>
      </w:pPr>
      <w:r w:rsidRPr="00D12303">
        <w:t>h)</w:t>
      </w:r>
      <w:r w:rsidRPr="00D12303">
        <w:tab/>
        <w:t xml:space="preserve">необычный шум или вибрация; </w:t>
      </w:r>
    </w:p>
    <w:p w14:paraId="5F915BB3" w14:textId="77777777" w:rsidR="00E21573" w:rsidRPr="00D12303" w:rsidRDefault="00E21573" w:rsidP="00E21573">
      <w:pPr>
        <w:pStyle w:val="SingleTxtG"/>
        <w:ind w:left="2835" w:hanging="567"/>
      </w:pPr>
      <w:r w:rsidRPr="00D12303">
        <w:t>i)</w:t>
      </w:r>
      <w:r w:rsidRPr="00D12303">
        <w:tab/>
        <w:t xml:space="preserve">аномальная скорость; </w:t>
      </w:r>
    </w:p>
    <w:p w14:paraId="6677C275" w14:textId="77777777" w:rsidR="00E21573" w:rsidRPr="00D12303" w:rsidRDefault="00E21573" w:rsidP="00E21573">
      <w:pPr>
        <w:pStyle w:val="SingleTxtG"/>
        <w:ind w:left="2835" w:hanging="567"/>
      </w:pPr>
      <w:r w:rsidRPr="00D12303">
        <w:t>j)</w:t>
      </w:r>
      <w:r w:rsidRPr="00D12303">
        <w:tab/>
        <w:t xml:space="preserve">общее поведение водителя; </w:t>
      </w:r>
    </w:p>
    <w:p w14:paraId="1B6BF9F1" w14:textId="77777777" w:rsidR="00E21573" w:rsidRPr="00D12303" w:rsidRDefault="00E21573" w:rsidP="00E21573">
      <w:pPr>
        <w:pStyle w:val="SingleTxtG"/>
        <w:ind w:left="2835" w:hanging="567"/>
      </w:pPr>
      <w:r w:rsidRPr="00D12303">
        <w:t>k)</w:t>
      </w:r>
      <w:r w:rsidRPr="00D12303">
        <w:tab/>
        <w:t xml:space="preserve">общее поведение транспортного средства; </w:t>
      </w:r>
    </w:p>
    <w:p w14:paraId="18605A8F" w14:textId="77777777" w:rsidR="00E21573" w:rsidRPr="00D12303" w:rsidRDefault="00E21573" w:rsidP="00E21573">
      <w:pPr>
        <w:pStyle w:val="SingleTxtG"/>
        <w:ind w:left="2835" w:hanging="567"/>
      </w:pPr>
      <w:r w:rsidRPr="00D12303">
        <w:t>l)</w:t>
      </w:r>
      <w:r w:rsidRPr="00D12303">
        <w:tab/>
        <w:t xml:space="preserve">свидетельства утечки жидкости; </w:t>
      </w:r>
    </w:p>
    <w:p w14:paraId="437EE8C8" w14:textId="77777777" w:rsidR="00E21573" w:rsidRPr="00D12303" w:rsidRDefault="00E21573" w:rsidP="00E21573">
      <w:pPr>
        <w:pStyle w:val="SingleTxtG"/>
        <w:ind w:left="2835" w:hanging="567"/>
      </w:pPr>
      <w:r w:rsidRPr="00D12303">
        <w:t>m)</w:t>
      </w:r>
      <w:r w:rsidRPr="00D12303">
        <w:tab/>
        <w:t xml:space="preserve">надежность фиксации груза. </w:t>
      </w:r>
    </w:p>
    <w:p w14:paraId="76B50969" w14:textId="77777777" w:rsidR="00E21573" w:rsidRPr="00D12303" w:rsidRDefault="00E21573" w:rsidP="00E21573">
      <w:pPr>
        <w:pStyle w:val="SingleTxtG"/>
        <w:ind w:left="2268" w:hanging="1134"/>
      </w:pPr>
      <w:r w:rsidRPr="00D12303">
        <w:t>6.3.4</w:t>
      </w:r>
      <w:r w:rsidRPr="00D12303">
        <w:tab/>
        <w:t>Для выявления перегрузок, чрезмерно высокого уровня выбросов, утечек топлива, перегрева тормозов или других потенциальных дефектов движущихся транспортных средств могут использоваться методы дистанционного зондирования в сочетании с устройствами автоматического распознавания регистрационных знаков или без них. В</w:t>
      </w:r>
      <w:r w:rsidR="00EA647C">
        <w:rPr>
          <w:lang w:val="en-US"/>
        </w:rPr>
        <w:t> </w:t>
      </w:r>
      <w:r w:rsidRPr="00D12303">
        <w:t>связи с этим выбор следует производить в местах движения груженых транспортных средств, дымность выхлопов которых может подвергаться визуальному контролю, а выбросы твердых частиц могут быть проверены с помощью устройств дистанционного зондирования.</w:t>
      </w:r>
    </w:p>
    <w:p w14:paraId="1A36E94C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6.4</w:t>
      </w:r>
      <w:r w:rsidRPr="00D12303">
        <w:tab/>
        <w:t>Начальный придорожный технический осмотр</w:t>
      </w:r>
    </w:p>
    <w:p w14:paraId="47A0CEAB" w14:textId="77777777" w:rsidR="00E21573" w:rsidRPr="00D12303" w:rsidRDefault="00E21573" w:rsidP="00E21573">
      <w:pPr>
        <w:pStyle w:val="SingleTxtG"/>
        <w:ind w:left="2268" w:hanging="1134"/>
      </w:pPr>
      <w:r w:rsidRPr="00D12303">
        <w:t>6.4.1</w:t>
      </w:r>
      <w:r w:rsidRPr="00D12303">
        <w:tab/>
        <w:t>Проверка документов</w:t>
      </w:r>
    </w:p>
    <w:p w14:paraId="7F254996" w14:textId="77777777" w:rsidR="00E21573" w:rsidRPr="00D12303" w:rsidRDefault="00E21573" w:rsidP="00E21573">
      <w:pPr>
        <w:pStyle w:val="SingleTxtG"/>
        <w:ind w:left="2268" w:hanging="1134"/>
      </w:pPr>
      <w:r w:rsidRPr="00D12303">
        <w:t>6.4.1.1</w:t>
      </w:r>
      <w:r w:rsidRPr="00D12303">
        <w:tab/>
        <w:t>При начальном осмотре в первую очередь проводится проверка документов транспортного средства.</w:t>
      </w:r>
    </w:p>
    <w:p w14:paraId="54850D08" w14:textId="77777777" w:rsidR="00E21573" w:rsidRPr="00D12303" w:rsidRDefault="00E21573" w:rsidP="00E21573">
      <w:pPr>
        <w:pStyle w:val="SingleTxtG"/>
        <w:ind w:left="2268" w:hanging="1134"/>
      </w:pPr>
      <w:r w:rsidRPr="00D12303">
        <w:t>6.4.1.2</w:t>
      </w:r>
      <w:r w:rsidRPr="00D12303">
        <w:tab/>
        <w:t>Документы, которые необходимо запросить у водителя, если они не доступны в электронном виде:</w:t>
      </w:r>
    </w:p>
    <w:p w14:paraId="0F51CA65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свидетельство о регистрации транспортного средства в случае международной перевозки; </w:t>
      </w:r>
    </w:p>
    <w:p w14:paraId="4FCE3A0A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отчет о последнем периодическом осмотре (в соответствующих случаях); </w:t>
      </w:r>
    </w:p>
    <w:p w14:paraId="35957810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отчет о последнем придорожном осмотре (в соответствующих случаях).</w:t>
      </w:r>
    </w:p>
    <w:p w14:paraId="422BBCE7" w14:textId="77777777" w:rsidR="00E21573" w:rsidRPr="00D12303" w:rsidRDefault="00E21573" w:rsidP="00E21573">
      <w:pPr>
        <w:pStyle w:val="SingleTxtG"/>
      </w:pPr>
      <w:r w:rsidRPr="00D12303">
        <w:t>6.4.1.3</w:t>
      </w:r>
      <w:r w:rsidRPr="00D12303">
        <w:tab/>
      </w:r>
      <w:r w:rsidRPr="00D12303">
        <w:tab/>
        <w:t>Это не исключает проверки других соответствующих документов.</w:t>
      </w:r>
    </w:p>
    <w:p w14:paraId="22FAC183" w14:textId="77777777" w:rsidR="00E21573" w:rsidRPr="00D12303" w:rsidRDefault="00E21573" w:rsidP="00E21573">
      <w:pPr>
        <w:pStyle w:val="SingleTxtG"/>
        <w:ind w:left="2268" w:hanging="1134"/>
      </w:pPr>
      <w:r w:rsidRPr="00D12303">
        <w:t>6.4.1.4</w:t>
      </w:r>
      <w:r w:rsidRPr="00D12303">
        <w:tab/>
        <w:t>Предыдущий отчет об осмотре может быть использован для определения объектов проверки в соответствии с разделом 6.4.3.</w:t>
      </w:r>
    </w:p>
    <w:p w14:paraId="08DE7F08" w14:textId="77777777" w:rsidR="00E21573" w:rsidRPr="00D12303" w:rsidRDefault="00E21573" w:rsidP="00E21573">
      <w:pPr>
        <w:pStyle w:val="SingleTxtG"/>
        <w:ind w:left="2268" w:hanging="1134"/>
      </w:pPr>
      <w:r w:rsidRPr="00D12303">
        <w:t>6.4.1.5</w:t>
      </w:r>
      <w:r w:rsidRPr="00D12303">
        <w:tab/>
        <w:t>Если из свидетельства об эксплуатационной пригодности или отчета о придорожном осмотре следует, что в течение предыдущих трех месяцев в отношении одной из позиций, указанных в Предписаниях ООН, была проведена проверка, то инспектор не должен проверять эту позицию, за исключением случаев, когда такая проверка оправдана в связи с наличием очевидного дефекта. Для определения того, что следует считать очевидным дефектом, можно использовать критерии отбора для начального осмотра, определенные в разделе 6.3.2 настоящей рекомендации.</w:t>
      </w:r>
    </w:p>
    <w:p w14:paraId="5ABC1179" w14:textId="77777777" w:rsidR="00E21573" w:rsidRPr="00D12303" w:rsidRDefault="00E21573" w:rsidP="00E21573">
      <w:pPr>
        <w:pStyle w:val="SingleTxtG"/>
        <w:ind w:left="2268" w:hanging="1134"/>
      </w:pPr>
      <w:r w:rsidRPr="00D12303">
        <w:t>6.4.2</w:t>
      </w:r>
      <w:r w:rsidRPr="00D12303">
        <w:tab/>
        <w:t>Визуальная оценка технического состояния транспортного средства</w:t>
      </w:r>
    </w:p>
    <w:p w14:paraId="7BF7384E" w14:textId="77777777" w:rsidR="00E21573" w:rsidRPr="00D12303" w:rsidRDefault="00E21573" w:rsidP="00E21573">
      <w:pPr>
        <w:pStyle w:val="SingleTxtG"/>
        <w:ind w:left="2268" w:hanging="1134"/>
      </w:pPr>
      <w:r w:rsidRPr="00D12303">
        <w:t>6.4.2.1</w:t>
      </w:r>
      <w:r w:rsidRPr="00D12303">
        <w:tab/>
        <w:t xml:space="preserve">После проверки документов, описанной в разделе 6.4.1, инспектор выполняет визуальную оценку общего технического состояния транспортного средства, которая проводится главным образом снаружи транспортного средства. Решение об осмотре транспортного средства изнутри принимается инспектором в соответствии с его/ее критериями и с учетом национальных правил дорожного контроля. </w:t>
      </w:r>
    </w:p>
    <w:p w14:paraId="5637F102" w14:textId="77777777" w:rsidR="00E21573" w:rsidRPr="00D12303" w:rsidRDefault="00E21573" w:rsidP="00E21573">
      <w:pPr>
        <w:pStyle w:val="SingleTxtG"/>
        <w:ind w:left="2268" w:hanging="1134"/>
      </w:pPr>
      <w:r w:rsidRPr="00D12303">
        <w:t>6.4.2.2</w:t>
      </w:r>
      <w:r w:rsidRPr="00D12303">
        <w:tab/>
        <w:t xml:space="preserve">Этот визуальный осмотр должен проводиться эффективно с учетом того, что основная цель начального осмотра заключается в оценке общего состояния транспортного средства и принятии решения о том, следует ли проводить более обстоятельный технический осмотр в соответствии с Предписаниями. </w:t>
      </w:r>
    </w:p>
    <w:p w14:paraId="3B25D07D" w14:textId="77777777" w:rsidR="00E21573" w:rsidRPr="00D12303" w:rsidRDefault="00E21573" w:rsidP="00E21573">
      <w:pPr>
        <w:pStyle w:val="SingleTxtG"/>
        <w:ind w:left="2268" w:hanging="1134"/>
      </w:pPr>
      <w:r w:rsidRPr="00D12303">
        <w:t>6.4.2.3</w:t>
      </w:r>
      <w:r w:rsidRPr="00D12303">
        <w:tab/>
        <w:t>Инспектор проводит проверки в соответствии с Предписаниями ООН. Кроме того, по возможности он проверяет, были ли устранены дефекты, указанные в предыдущих отчетах об осмотре (отчет о придорожном осмотре и свидетельство об эксплуатационной пригодности).</w:t>
      </w:r>
    </w:p>
    <w:p w14:paraId="34BC216E" w14:textId="77777777" w:rsidR="00E21573" w:rsidRPr="00D12303" w:rsidRDefault="00E21573" w:rsidP="00E21573">
      <w:pPr>
        <w:pStyle w:val="SingleTxtG"/>
        <w:ind w:left="2268" w:hanging="1134"/>
      </w:pPr>
      <w:r w:rsidRPr="00D12303">
        <w:t>6.4.2.4</w:t>
      </w:r>
      <w:r w:rsidRPr="00D12303">
        <w:tab/>
        <w:t xml:space="preserve">Во время этого визуального осмотра рекомендуется, чтобы инспектор осмотрел транспортное средство со всех сторон для выявления дефектов, которые могут представлять угрозу безопасности дорожного движения и окружающей среде, и проверил, в частности, следующее: </w:t>
      </w:r>
    </w:p>
    <w:p w14:paraId="305B4085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идентификационный номер транспортного средства; </w:t>
      </w:r>
    </w:p>
    <w:p w14:paraId="37C6F3B3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общее состояние транспортного средства (кузов, шасси и т.</w:t>
      </w:r>
      <w:r w:rsidR="00EA647C" w:rsidRPr="00EA647C">
        <w:t xml:space="preserve"> </w:t>
      </w:r>
      <w:r w:rsidRPr="00D12303">
        <w:t>д.);</w:t>
      </w:r>
    </w:p>
    <w:p w14:paraId="667FFB82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 xml:space="preserve">состояние шин и колес; </w:t>
      </w:r>
    </w:p>
    <w:p w14:paraId="56E09021" w14:textId="77777777" w:rsidR="00E21573" w:rsidRPr="00D12303" w:rsidRDefault="00E21573" w:rsidP="00E21573">
      <w:pPr>
        <w:pStyle w:val="SingleTxtG"/>
        <w:ind w:left="2835" w:hanging="567"/>
      </w:pPr>
      <w:r w:rsidRPr="00D12303">
        <w:t>d)</w:t>
      </w:r>
      <w:r w:rsidRPr="00D12303">
        <w:tab/>
        <w:t xml:space="preserve">состояние тормозных дисков/барабанов, когда они видны; </w:t>
      </w:r>
    </w:p>
    <w:p w14:paraId="00061D08" w14:textId="77777777" w:rsidR="00E21573" w:rsidRPr="00D12303" w:rsidRDefault="00E21573" w:rsidP="00E21573">
      <w:pPr>
        <w:pStyle w:val="SingleTxtG"/>
        <w:ind w:left="2835" w:hanging="567"/>
      </w:pPr>
      <w:r w:rsidRPr="00D12303">
        <w:t>e)</w:t>
      </w:r>
      <w:r w:rsidRPr="00D12303">
        <w:tab/>
        <w:t xml:space="preserve">зеркала заднего вида или устройства обзора; </w:t>
      </w:r>
    </w:p>
    <w:p w14:paraId="0594639F" w14:textId="638C8F28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lastRenderedPageBreak/>
        <w:t>f</w:t>
      </w:r>
      <w:r w:rsidR="00E21573" w:rsidRPr="00D12303">
        <w:t>)</w:t>
      </w:r>
      <w:r w:rsidR="00E21573" w:rsidRPr="00D12303">
        <w:tab/>
        <w:t xml:space="preserve">звуковой сигнал; </w:t>
      </w:r>
    </w:p>
    <w:p w14:paraId="28BE8895" w14:textId="5E17FFFE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g</w:t>
      </w:r>
      <w:r w:rsidR="00E21573" w:rsidRPr="00D12303">
        <w:t>)</w:t>
      </w:r>
      <w:r w:rsidR="00E21573" w:rsidRPr="00D12303">
        <w:tab/>
        <w:t xml:space="preserve">стекла и обзор спереди; </w:t>
      </w:r>
    </w:p>
    <w:p w14:paraId="308A77A4" w14:textId="64946123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h</w:t>
      </w:r>
      <w:r w:rsidR="00E21573" w:rsidRPr="00D12303">
        <w:t>)</w:t>
      </w:r>
      <w:r w:rsidR="00E21573" w:rsidRPr="00D12303">
        <w:tab/>
        <w:t xml:space="preserve">контрольные сигналы на приборной панели; </w:t>
      </w:r>
    </w:p>
    <w:p w14:paraId="4B1CA917" w14:textId="04EEA86A" w:rsidR="00E21573" w:rsidRPr="00D12303" w:rsidRDefault="00A22B7D" w:rsidP="00E21573">
      <w:pPr>
        <w:pStyle w:val="SingleTxtG"/>
        <w:ind w:left="2835" w:hanging="567"/>
      </w:pPr>
      <w:proofErr w:type="spellStart"/>
      <w:r>
        <w:rPr>
          <w:lang w:val="en-US"/>
        </w:rPr>
        <w:t>i</w:t>
      </w:r>
      <w:proofErr w:type="spellEnd"/>
      <w:r w:rsidR="00E21573" w:rsidRPr="00D12303">
        <w:t>)</w:t>
      </w:r>
      <w:r w:rsidR="00E21573" w:rsidRPr="00D12303">
        <w:tab/>
        <w:t xml:space="preserve">огни и маркировка; </w:t>
      </w:r>
    </w:p>
    <w:p w14:paraId="258FC162" w14:textId="1D0E135C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j</w:t>
      </w:r>
      <w:r w:rsidR="00E21573" w:rsidRPr="00D12303">
        <w:t>)</w:t>
      </w:r>
      <w:r w:rsidR="00E21573" w:rsidRPr="00D12303">
        <w:tab/>
        <w:t xml:space="preserve">стеклоочистители; </w:t>
      </w:r>
    </w:p>
    <w:p w14:paraId="16FA80E8" w14:textId="4316828E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k</w:t>
      </w:r>
      <w:r w:rsidR="00E21573" w:rsidRPr="00D12303">
        <w:t>)</w:t>
      </w:r>
      <w:r w:rsidR="00E21573" w:rsidRPr="00D12303">
        <w:tab/>
        <w:t xml:space="preserve">элементы боковой защиты; </w:t>
      </w:r>
    </w:p>
    <w:p w14:paraId="232FEF84" w14:textId="4F9C3B71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l</w:t>
      </w:r>
      <w:r w:rsidR="00E21573" w:rsidRPr="00D12303">
        <w:t>)</w:t>
      </w:r>
      <w:r w:rsidR="00E21573" w:rsidRPr="00D12303">
        <w:tab/>
        <w:t xml:space="preserve">задняя </w:t>
      </w:r>
      <w:proofErr w:type="spellStart"/>
      <w:r w:rsidR="00E21573" w:rsidRPr="00D12303">
        <w:t>противоподкатная</w:t>
      </w:r>
      <w:proofErr w:type="spellEnd"/>
      <w:r w:rsidR="00E21573" w:rsidRPr="00D12303">
        <w:t xml:space="preserve"> защита; </w:t>
      </w:r>
    </w:p>
    <w:p w14:paraId="01046D61" w14:textId="408DA49E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m</w:t>
      </w:r>
      <w:r w:rsidR="00E21573" w:rsidRPr="00D12303">
        <w:t>)</w:t>
      </w:r>
      <w:r w:rsidR="00E21573" w:rsidRPr="00D12303">
        <w:tab/>
        <w:t xml:space="preserve">брызгозащитные устройства; </w:t>
      </w:r>
    </w:p>
    <w:p w14:paraId="21E4CE39" w14:textId="026F30A9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n</w:t>
      </w:r>
      <w:r w:rsidR="00E21573" w:rsidRPr="00D12303">
        <w:t>)</w:t>
      </w:r>
      <w:r w:rsidR="00E21573" w:rsidRPr="00D12303">
        <w:tab/>
        <w:t xml:space="preserve">крепление запасного колеса; </w:t>
      </w:r>
    </w:p>
    <w:p w14:paraId="61C82C16" w14:textId="6DF24B6C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o</w:t>
      </w:r>
      <w:r w:rsidR="00E21573" w:rsidRPr="00D12303">
        <w:t>)</w:t>
      </w:r>
      <w:r w:rsidR="00E21573" w:rsidRPr="00D12303">
        <w:tab/>
        <w:t xml:space="preserve">буксирное устройство, если установлено; </w:t>
      </w:r>
    </w:p>
    <w:p w14:paraId="575022FE" w14:textId="72CF161F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p</w:t>
      </w:r>
      <w:r w:rsidR="00E21573" w:rsidRPr="00D12303">
        <w:t>)</w:t>
      </w:r>
      <w:r w:rsidR="00E21573" w:rsidRPr="00D12303">
        <w:tab/>
        <w:t xml:space="preserve">воздухопроводы/электрические соединения между тягачом и прицепом; </w:t>
      </w:r>
    </w:p>
    <w:p w14:paraId="385B4816" w14:textId="00439BD7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q</w:t>
      </w:r>
      <w:r w:rsidR="00E21573" w:rsidRPr="00D12303">
        <w:t>)</w:t>
      </w:r>
      <w:r w:rsidR="00E21573" w:rsidRPr="00D12303">
        <w:tab/>
        <w:t xml:space="preserve">утечка жидкости, за исключением конденсата из системы кондиционирования воздуха; </w:t>
      </w:r>
    </w:p>
    <w:p w14:paraId="20E9375B" w14:textId="66B53080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r</w:t>
      </w:r>
      <w:r w:rsidR="00E21573" w:rsidRPr="00D12303">
        <w:t>)</w:t>
      </w:r>
      <w:r w:rsidR="00E21573" w:rsidRPr="00D12303">
        <w:tab/>
        <w:t xml:space="preserve">необычный шум или утечка воздуха; </w:t>
      </w:r>
    </w:p>
    <w:p w14:paraId="2DFD5CDA" w14:textId="74AFD8F3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s</w:t>
      </w:r>
      <w:r w:rsidR="00E21573" w:rsidRPr="00D12303">
        <w:t>)</w:t>
      </w:r>
      <w:r w:rsidR="00E21573" w:rsidRPr="00D12303">
        <w:tab/>
        <w:t xml:space="preserve">визуальная оценка дымности выхлопа или скрытое измерение выбросов в пути; </w:t>
      </w:r>
    </w:p>
    <w:p w14:paraId="6BDFD2E9" w14:textId="67B3D8BF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t</w:t>
      </w:r>
      <w:r w:rsidR="00E21573" w:rsidRPr="00D12303">
        <w:t>)</w:t>
      </w:r>
      <w:r w:rsidR="00E21573" w:rsidRPr="00D12303">
        <w:tab/>
        <w:t xml:space="preserve">топливный бак и крышка заливной горловины; </w:t>
      </w:r>
    </w:p>
    <w:p w14:paraId="04AB2BEF" w14:textId="7D1F2059" w:rsidR="00E21573" w:rsidRPr="00D12303" w:rsidRDefault="00A22B7D" w:rsidP="00E21573">
      <w:pPr>
        <w:pStyle w:val="SingleTxtG"/>
        <w:ind w:left="2835" w:hanging="567"/>
      </w:pPr>
      <w:r>
        <w:rPr>
          <w:lang w:val="en-US"/>
        </w:rPr>
        <w:t>u</w:t>
      </w:r>
      <w:r w:rsidR="00E21573" w:rsidRPr="00D12303">
        <w:t>)</w:t>
      </w:r>
      <w:r w:rsidR="00E21573" w:rsidRPr="00D12303">
        <w:tab/>
        <w:t>общее состояние салона транспортного средства – только для транспортных средств категорий М</w:t>
      </w:r>
      <w:r w:rsidR="00E21573" w:rsidRPr="00D12303">
        <w:rPr>
          <w:vertAlign w:val="subscript"/>
        </w:rPr>
        <w:t>2</w:t>
      </w:r>
      <w:r w:rsidR="00E21573" w:rsidRPr="00D12303">
        <w:t xml:space="preserve"> и М</w:t>
      </w:r>
      <w:r w:rsidR="00E21573" w:rsidRPr="00D12303">
        <w:rPr>
          <w:vertAlign w:val="subscript"/>
        </w:rPr>
        <w:t>3</w:t>
      </w:r>
      <w:r w:rsidR="00E21573" w:rsidRPr="00D12303">
        <w:t xml:space="preserve"> и с учетом соображений, касающихся осмотра салона транспортного средства, приведенных в пункте 1 настоящего раздела. </w:t>
      </w:r>
    </w:p>
    <w:p w14:paraId="35C129E5" w14:textId="77777777" w:rsidR="00E21573" w:rsidRPr="00D12303" w:rsidRDefault="00E21573" w:rsidP="00E21573">
      <w:pPr>
        <w:pStyle w:val="SingleTxtG"/>
        <w:ind w:left="2268" w:hanging="1134"/>
      </w:pPr>
      <w:r w:rsidRPr="00D12303">
        <w:t>6.4.2.5</w:t>
      </w:r>
      <w:r w:rsidRPr="00D12303">
        <w:tab/>
        <w:t xml:space="preserve">При проведении осмотра снаружи транспортное средство и инспектор находятся на уровне поверхности дороги. Осмотр салона транспортного средства производится вблизи места водителя, и инспектор может войти в салон, как это указано выше. </w:t>
      </w:r>
    </w:p>
    <w:p w14:paraId="4E710743" w14:textId="77777777" w:rsidR="00E21573" w:rsidRPr="00D12303" w:rsidRDefault="00E21573" w:rsidP="00E21573">
      <w:pPr>
        <w:pStyle w:val="SingleTxtG"/>
      </w:pPr>
      <w:r w:rsidRPr="00D12303">
        <w:t>6.4.2.6</w:t>
      </w:r>
      <w:r w:rsidRPr="00D12303">
        <w:tab/>
      </w:r>
      <w:r w:rsidRPr="00D12303">
        <w:tab/>
        <w:t>Применяются критерии, определенные в Предписаниях ООН.</w:t>
      </w:r>
    </w:p>
    <w:p w14:paraId="613083B5" w14:textId="77777777" w:rsidR="00E21573" w:rsidRPr="00D12303" w:rsidRDefault="00E21573" w:rsidP="00E21573">
      <w:pPr>
        <w:pStyle w:val="SingleTxtG"/>
        <w:ind w:left="2268" w:hanging="1134"/>
      </w:pPr>
      <w:r w:rsidRPr="00D12303">
        <w:t>6.4.3</w:t>
      </w:r>
      <w:r w:rsidRPr="00D12303">
        <w:tab/>
        <w:t>Технический осмотр любым целесообразным способом</w:t>
      </w:r>
    </w:p>
    <w:p w14:paraId="1D39A5F3" w14:textId="77777777" w:rsidR="00E21573" w:rsidRPr="00D12303" w:rsidRDefault="00E21573" w:rsidP="00E21573">
      <w:pPr>
        <w:pStyle w:val="SingleTxtG"/>
        <w:ind w:left="2268" w:hanging="1134"/>
      </w:pPr>
      <w:r w:rsidRPr="00D12303">
        <w:t>6.4.3.1</w:t>
      </w:r>
      <w:r w:rsidRPr="00D12303">
        <w:tab/>
        <w:t>Начальный осмотр проводится главным образом визуально, но инспектор может проверить тот или иной узел любым способом, который он сочтет целесообразным. Это может, например, включать доступ к бортовой диагностической информации (БД), если таковая доступна инспектору и имеется на борту транспортного средства, а также использование такого оборудования, как инфракрасные термометры для проверки температуры тормозов, весы для проверки массы транспортного средства, портативные дымомеры для проверки выбросов отработавших газов, устройства доступа к бортовой диагностике (БД) и т.</w:t>
      </w:r>
      <w:r w:rsidR="00D65937">
        <w:t xml:space="preserve"> </w:t>
      </w:r>
      <w:r w:rsidRPr="00D12303">
        <w:t>д.</w:t>
      </w:r>
    </w:p>
    <w:p w14:paraId="47A02408" w14:textId="77777777" w:rsidR="00E21573" w:rsidRPr="00D12303" w:rsidRDefault="00E21573" w:rsidP="00E21573">
      <w:pPr>
        <w:pStyle w:val="SingleTxtG"/>
        <w:ind w:left="2268" w:hanging="1134"/>
      </w:pPr>
      <w:r w:rsidRPr="00D12303">
        <w:t>6.4.3.2</w:t>
      </w:r>
      <w:r w:rsidRPr="00D12303">
        <w:tab/>
        <w:t xml:space="preserve">Испытания проводятся с использованием имеющихся методов и оборудования без использования инструментов для демонтажа или снятия какой-либо части транспортного средства. Проверка может быть также нацелена на выяснение того, соответствуют ли данные части и компоненты транспортного средства требованиям безопасности и экологичности, которые действовали на момент официального утверждения или, если это применимо, во время модернизации. </w:t>
      </w:r>
    </w:p>
    <w:p w14:paraId="65932F0E" w14:textId="77777777" w:rsidR="00E21573" w:rsidRPr="00D12303" w:rsidRDefault="00E21573" w:rsidP="00E21573">
      <w:pPr>
        <w:pStyle w:val="SingleTxtG"/>
        <w:ind w:left="2268" w:hanging="1134"/>
      </w:pPr>
      <w:r w:rsidRPr="00D12303">
        <w:t>6.4.3.3</w:t>
      </w:r>
      <w:r w:rsidRPr="00D12303">
        <w:tab/>
        <w:t>Если конструкция транспортного средства не допускает применения методов проверки, установленных в Предписаниях, то проверку проводят в соответствии с рекомендованными методами проверки, принятыми компетентными органами.</w:t>
      </w:r>
    </w:p>
    <w:p w14:paraId="5A81185B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6.4.3.4</w:t>
      </w:r>
      <w:r w:rsidRPr="00D12303">
        <w:tab/>
        <w:t>Инспектор может также потребовать безотлагательного устранения любых дефектов.</w:t>
      </w:r>
    </w:p>
    <w:p w14:paraId="259046F5" w14:textId="77777777" w:rsidR="00E21573" w:rsidRPr="00D12303" w:rsidRDefault="00E21573" w:rsidP="00E21573">
      <w:pPr>
        <w:pStyle w:val="SingleTxtG"/>
        <w:ind w:left="2268" w:hanging="1134"/>
      </w:pPr>
      <w:r w:rsidRPr="00D12303">
        <w:t>6.4.4</w:t>
      </w:r>
      <w:r w:rsidRPr="00D12303">
        <w:tab/>
        <w:t xml:space="preserve">Надежная фиксация груза </w:t>
      </w:r>
    </w:p>
    <w:p w14:paraId="2AFEEE10" w14:textId="77777777" w:rsidR="00E21573" w:rsidRPr="00D12303" w:rsidRDefault="00E21573" w:rsidP="00E21573">
      <w:pPr>
        <w:pStyle w:val="SingleTxtG"/>
        <w:ind w:left="2268" w:hanging="1134"/>
      </w:pPr>
      <w:r w:rsidRPr="00D12303">
        <w:t>6.4.4.1</w:t>
      </w:r>
      <w:r w:rsidRPr="00D12303">
        <w:tab/>
        <w:t xml:space="preserve">Инспектор может провести визуальную оценку надежности фиксации груза транспортного средства в соответствии с национальными правилами. </w:t>
      </w:r>
    </w:p>
    <w:p w14:paraId="10FF931D" w14:textId="75B769CE" w:rsidR="00E21573" w:rsidRPr="00D12303" w:rsidRDefault="00E21573" w:rsidP="00E21573">
      <w:pPr>
        <w:pStyle w:val="SingleTxtG"/>
        <w:ind w:left="2268" w:hanging="1134"/>
      </w:pPr>
      <w:r w:rsidRPr="00D12303">
        <w:t>6.5</w:t>
      </w:r>
      <w:r w:rsidRPr="00D12303">
        <w:tab/>
        <w:t xml:space="preserve">Результаты </w:t>
      </w:r>
    </w:p>
    <w:p w14:paraId="37BB74F6" w14:textId="77777777" w:rsidR="00E21573" w:rsidRPr="00D12303" w:rsidRDefault="00E21573" w:rsidP="00E21573">
      <w:pPr>
        <w:pStyle w:val="SingleTxtG"/>
        <w:ind w:left="2268" w:hanging="1134"/>
      </w:pPr>
      <w:r w:rsidRPr="00D12303">
        <w:t>6.5.1</w:t>
      </w:r>
      <w:r w:rsidRPr="00D12303">
        <w:tab/>
        <w:t xml:space="preserve">По результатам начального осмотра может быть составлен акт о выявленных дефектах, определения которых приводятся в Предписаниях ООН, прилагаемых к Соглашению 1997 года: </w:t>
      </w:r>
    </w:p>
    <w:p w14:paraId="2D82C867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без дефектов; </w:t>
      </w:r>
    </w:p>
    <w:p w14:paraId="0D4ED264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незначительные дефекты;</w:t>
      </w:r>
    </w:p>
    <w:p w14:paraId="23E9F7EF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серьезные дефекты;</w:t>
      </w:r>
    </w:p>
    <w:p w14:paraId="61D948BD" w14:textId="77777777" w:rsidR="00E21573" w:rsidRPr="00D12303" w:rsidRDefault="00E21573" w:rsidP="00E21573">
      <w:pPr>
        <w:pStyle w:val="SingleTxtG"/>
        <w:ind w:left="2835" w:hanging="567"/>
      </w:pPr>
      <w:r w:rsidRPr="00D12303">
        <w:t>d)</w:t>
      </w:r>
      <w:r w:rsidRPr="00D12303">
        <w:tab/>
        <w:t>опасные дефекты;</w:t>
      </w:r>
    </w:p>
    <w:p w14:paraId="67C86E59" w14:textId="77777777" w:rsidR="00E21573" w:rsidRPr="00D12303" w:rsidRDefault="00E21573" w:rsidP="00E21573">
      <w:pPr>
        <w:pStyle w:val="SingleTxtG"/>
        <w:ind w:left="2835" w:hanging="567"/>
      </w:pPr>
      <w:r w:rsidRPr="00D12303">
        <w:t>e)</w:t>
      </w:r>
      <w:r w:rsidRPr="00D12303">
        <w:tab/>
        <w:t>либо любое сочетание вышеперечисленных дефектов.</w:t>
      </w:r>
    </w:p>
    <w:p w14:paraId="0F3E378F" w14:textId="77777777" w:rsidR="00E21573" w:rsidRPr="00D12303" w:rsidRDefault="00E21573" w:rsidP="00E21573">
      <w:pPr>
        <w:pStyle w:val="SingleTxtG"/>
        <w:ind w:left="2268" w:hanging="1134"/>
      </w:pPr>
      <w:r w:rsidRPr="00D12303">
        <w:t>6.5.2</w:t>
      </w:r>
      <w:r w:rsidRPr="00D12303">
        <w:tab/>
        <w:t>Независимо от выявленных дефектов инспектор может принять решение о необходимости проведения более обстоятельного осмотра. В таких случаях он/она может также дать рекомендации в отношении охвата такого более обстоятельного осмотра.</w:t>
      </w:r>
    </w:p>
    <w:p w14:paraId="60E619A7" w14:textId="77777777" w:rsidR="00E21573" w:rsidRPr="00D12303" w:rsidRDefault="00E21573" w:rsidP="00E21573">
      <w:pPr>
        <w:pStyle w:val="SingleTxtG"/>
        <w:ind w:left="2268" w:hanging="1134"/>
      </w:pPr>
      <w:r w:rsidRPr="00D12303">
        <w:t>6.5.3</w:t>
      </w:r>
      <w:r w:rsidRPr="00D12303">
        <w:tab/>
        <w:t xml:space="preserve">На основании результатов начального осмотра инспектор принимает решение о том, следует ли проводить более обстоятельный осмотр транспортного средства. Более обстоятельный осмотр может быть оправдан, например, в следующих случаях: </w:t>
      </w:r>
    </w:p>
    <w:p w14:paraId="7672F80D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транспортные средства с чрезвычайно высоким уровнем выбросов, выявленные с помощью методов дистанционного зондирования или по высокой дымности отработавших газов; </w:t>
      </w:r>
    </w:p>
    <w:p w14:paraId="33A30981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свидетельства возможной неисправности тормоза(ов), полученные визуальным путем либо с использованием приборов контроля температуры; </w:t>
      </w:r>
    </w:p>
    <w:p w14:paraId="10B05A3B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 xml:space="preserve">общее состояние транспортного средства или несколько незначительных дефектов, указывающие на вероятность обнаружения других дефектов, затрагивающих эксплуатационную пригодность; </w:t>
      </w:r>
    </w:p>
    <w:p w14:paraId="58823E08" w14:textId="77777777" w:rsidR="00E21573" w:rsidRPr="00D12303" w:rsidRDefault="00E21573" w:rsidP="00E21573">
      <w:pPr>
        <w:pStyle w:val="SingleTxtG"/>
        <w:ind w:left="2835" w:hanging="567"/>
      </w:pPr>
      <w:r w:rsidRPr="00D12303">
        <w:t>d)</w:t>
      </w:r>
      <w:r w:rsidRPr="00D12303">
        <w:tab/>
        <w:t xml:space="preserve">серьезные и/или опасные дефекты уже были обнаружены. </w:t>
      </w:r>
    </w:p>
    <w:p w14:paraId="1792A661" w14:textId="77777777" w:rsidR="00E21573" w:rsidRPr="00D12303" w:rsidRDefault="00E21573" w:rsidP="00E21573">
      <w:pPr>
        <w:pStyle w:val="SingleTxtG"/>
        <w:ind w:left="2268" w:hanging="1134"/>
      </w:pPr>
      <w:r w:rsidRPr="00D12303">
        <w:t>6.5.4</w:t>
      </w:r>
      <w:r w:rsidRPr="00D12303">
        <w:tab/>
        <w:t xml:space="preserve">Например, могут существовать свидетельства того, что транспортное средство перегружено или груз сместился. </w:t>
      </w:r>
    </w:p>
    <w:p w14:paraId="7005992C" w14:textId="77777777" w:rsidR="00E21573" w:rsidRPr="00D12303" w:rsidRDefault="00E21573" w:rsidP="00E21573">
      <w:pPr>
        <w:pStyle w:val="SingleTxtG"/>
        <w:ind w:left="2268" w:hanging="1134"/>
      </w:pPr>
      <w:r w:rsidRPr="00D12303">
        <w:t>6.5.5</w:t>
      </w:r>
      <w:r w:rsidRPr="00D12303">
        <w:tab/>
        <w:t>При трудностях с идентификацией транспортного средства могут быть задействованы процедуры, связанные с противодействием угонам. Это</w:t>
      </w:r>
      <w:r w:rsidR="00EA647C">
        <w:rPr>
          <w:lang w:val="en-US"/>
        </w:rPr>
        <w:t> </w:t>
      </w:r>
      <w:r w:rsidRPr="00D12303">
        <w:t>не препятствует выбору транспортного средства для более обстоятельного осмотра на основании других требований или по иным причинам.</w:t>
      </w:r>
    </w:p>
    <w:p w14:paraId="21D22732" w14:textId="2E28FE7A" w:rsidR="00E21573" w:rsidRPr="00D12303" w:rsidRDefault="00E21573" w:rsidP="00E21573">
      <w:pPr>
        <w:pStyle w:val="SingleTxtG"/>
        <w:ind w:left="2268" w:hanging="1134"/>
      </w:pPr>
      <w:r w:rsidRPr="00D12303">
        <w:t>6.6</w:t>
      </w:r>
      <w:r w:rsidRPr="00D12303">
        <w:tab/>
        <w:t xml:space="preserve">Элементы системы оценки рисков </w:t>
      </w:r>
    </w:p>
    <w:p w14:paraId="16366689" w14:textId="77777777" w:rsidR="00E21573" w:rsidRPr="00D12303" w:rsidRDefault="00E21573" w:rsidP="00E21573">
      <w:pPr>
        <w:pStyle w:val="SingleTxtG"/>
        <w:ind w:left="2268" w:hanging="1134"/>
      </w:pPr>
      <w:r w:rsidRPr="00D12303">
        <w:t>6.6.1</w:t>
      </w:r>
      <w:r w:rsidRPr="00D12303">
        <w:tab/>
        <w:t xml:space="preserve">Система оценки риска должна служить основой для целенаправленного отбора транспортных средств, эксплуатируемых предприятиями с плохим послужным списком в плане соблюдения требований по техническому обслуживанию и поддержанию эксплуатационной пригодности транспортных средств. В ней должны учитываться результаты как периодических испытаний на эксплуатационную пригодность, так и придорожных технических осмотров. </w:t>
      </w:r>
    </w:p>
    <w:p w14:paraId="4008402E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6.6.2</w:t>
      </w:r>
      <w:r w:rsidRPr="00D12303">
        <w:tab/>
        <w:t xml:space="preserve">При определении рейтинга риска для соответствующего предприятия в системе оценки риска должны учитываться следующие параметры: </w:t>
      </w:r>
    </w:p>
    <w:p w14:paraId="1792F736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количество дефектов; </w:t>
      </w:r>
    </w:p>
    <w:p w14:paraId="7C228591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серьезность дефектов; </w:t>
      </w:r>
    </w:p>
    <w:p w14:paraId="536AF94C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 xml:space="preserve">количество придорожных технических осмотров или периодических и добровольных испытаний на эксплуатационную пригодность; </w:t>
      </w:r>
    </w:p>
    <w:p w14:paraId="49EAA88F" w14:textId="77777777" w:rsidR="00E21573" w:rsidRPr="00D12303" w:rsidRDefault="00E21573" w:rsidP="00E21573">
      <w:pPr>
        <w:pStyle w:val="SingleTxtG"/>
        <w:ind w:left="2835" w:hanging="567"/>
      </w:pPr>
      <w:r w:rsidRPr="00D12303">
        <w:t>d)</w:t>
      </w:r>
      <w:r w:rsidRPr="00D12303">
        <w:tab/>
        <w:t xml:space="preserve">временной фактор. </w:t>
      </w:r>
    </w:p>
    <w:p w14:paraId="4A514885" w14:textId="77777777" w:rsidR="00E21573" w:rsidRPr="00D12303" w:rsidRDefault="00E21573" w:rsidP="00E21573">
      <w:pPr>
        <w:pStyle w:val="SingleTxtG"/>
        <w:ind w:left="2268" w:hanging="1134"/>
      </w:pPr>
      <w:r w:rsidRPr="00D12303">
        <w:t>6.6.3</w:t>
      </w:r>
      <w:r w:rsidRPr="00D12303">
        <w:tab/>
        <w:t xml:space="preserve">Дефекты классифицируются по серьезности с использованием следующих коэффициентов: </w:t>
      </w:r>
    </w:p>
    <w:p w14:paraId="2B57F69A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опасный дефект = 40; </w:t>
      </w:r>
    </w:p>
    <w:p w14:paraId="689C3514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серьезный дефект = 10; </w:t>
      </w:r>
    </w:p>
    <w:p w14:paraId="4BAD36E0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 xml:space="preserve">незначительный дефект = 1. </w:t>
      </w:r>
    </w:p>
    <w:p w14:paraId="4F1F1DD2" w14:textId="77777777" w:rsidR="00E21573" w:rsidRPr="00D12303" w:rsidRDefault="00E21573" w:rsidP="00E21573">
      <w:pPr>
        <w:pStyle w:val="SingleTxtG"/>
        <w:ind w:left="2268" w:hanging="1134"/>
      </w:pPr>
      <w:r w:rsidRPr="00D12303">
        <w:t>6.6.4</w:t>
      </w:r>
      <w:r w:rsidRPr="00D12303">
        <w:tab/>
        <w:t xml:space="preserve">Изменение ситуации предприятия (транспортного средства) должно быть отражено путем применения более низкого коэффициента к результатам (дефектам) ранних осмотров, чем к результатам (дефектам) последних осмотров следующим образом: </w:t>
      </w:r>
    </w:p>
    <w:p w14:paraId="77C7D116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Год 1 = последние 12 месяцев = коэффициент 3; </w:t>
      </w:r>
    </w:p>
    <w:p w14:paraId="47AD23FD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>Год 2 = месяцы 13</w:t>
      </w:r>
      <w:r w:rsidR="00D65937">
        <w:t>–</w:t>
      </w:r>
      <w:r w:rsidRPr="00D12303">
        <w:t xml:space="preserve">24 = коэффициент 2; </w:t>
      </w:r>
    </w:p>
    <w:p w14:paraId="584A896F" w14:textId="77777777" w:rsidR="00E21573" w:rsidRPr="00D12303" w:rsidRDefault="00E21573" w:rsidP="00E21573">
      <w:pPr>
        <w:pStyle w:val="SingleTxtG"/>
        <w:ind w:left="2835" w:hanging="567"/>
      </w:pPr>
      <w:r w:rsidRPr="00D12303">
        <w:t>c)</w:t>
      </w:r>
      <w:r w:rsidRPr="00D12303">
        <w:tab/>
        <w:t>Год 3 = месяцы 25</w:t>
      </w:r>
      <w:r w:rsidR="00D65937">
        <w:t>–</w:t>
      </w:r>
      <w:r w:rsidRPr="00D12303">
        <w:t xml:space="preserve">36 = коэффициент 1. </w:t>
      </w:r>
    </w:p>
    <w:p w14:paraId="3E875013" w14:textId="77777777" w:rsidR="00E21573" w:rsidRPr="00D12303" w:rsidRDefault="00E21573" w:rsidP="00E21573">
      <w:pPr>
        <w:pStyle w:val="SingleTxtG"/>
        <w:ind w:left="2268"/>
      </w:pPr>
      <w:r w:rsidRPr="00D12303">
        <w:t xml:space="preserve">Это относится только к расчету общего рейтинга риска. </w:t>
      </w:r>
    </w:p>
    <w:p w14:paraId="6817C031" w14:textId="77777777" w:rsidR="00E21573" w:rsidRPr="00D12303" w:rsidRDefault="00E21573" w:rsidP="00E21573">
      <w:pPr>
        <w:pStyle w:val="SingleTxtG"/>
        <w:ind w:left="2268" w:hanging="1134"/>
      </w:pPr>
      <w:r w:rsidRPr="00D12303">
        <w:t>6.6.5</w:t>
      </w:r>
      <w:r w:rsidRPr="00D12303">
        <w:tab/>
        <w:t xml:space="preserve">Рейтинг риска рассчитывается по следующим формулам: </w:t>
      </w:r>
    </w:p>
    <w:p w14:paraId="72350917" w14:textId="77777777" w:rsidR="00E21573" w:rsidRPr="00D12303" w:rsidRDefault="00E21573" w:rsidP="00E21573">
      <w:pPr>
        <w:pStyle w:val="SingleTxtG"/>
        <w:ind w:left="2835" w:hanging="567"/>
      </w:pPr>
      <w:r w:rsidRPr="00D12303">
        <w:t>а)</w:t>
      </w:r>
      <w:r w:rsidRPr="00D12303">
        <w:tab/>
        <w:t xml:space="preserve">Формула общего рейтинга риска: </w:t>
      </w:r>
    </w:p>
    <w:p w14:paraId="77AAA9C5" w14:textId="77777777" w:rsidR="00E21573" w:rsidRPr="00187604" w:rsidRDefault="00E21573" w:rsidP="00E21573">
      <w:pPr>
        <w:pStyle w:val="SingleTxtG"/>
        <w:ind w:left="2835" w:right="992"/>
        <w:rPr>
          <w:spacing w:val="-2"/>
          <w:lang w:val="fr-FR"/>
        </w:rPr>
      </w:pPr>
      <w:r w:rsidRPr="00187604">
        <w:rPr>
          <w:spacing w:val="-2"/>
          <w:lang w:val="fr-FR"/>
        </w:rPr>
        <w:t xml:space="preserve">RR = [(D Y1 </w:t>
      </w:r>
      <w:r w:rsidRPr="00187604">
        <w:rPr>
          <w:spacing w:val="-2"/>
        </w:rPr>
        <w:t>х</w:t>
      </w:r>
      <w:r w:rsidRPr="00187604">
        <w:rPr>
          <w:spacing w:val="-2"/>
          <w:lang w:val="fr-FR"/>
        </w:rPr>
        <w:t xml:space="preserve"> 3) + (D Y2 </w:t>
      </w:r>
      <w:r w:rsidRPr="00187604">
        <w:rPr>
          <w:spacing w:val="-2"/>
        </w:rPr>
        <w:t>х</w:t>
      </w:r>
      <w:r w:rsidRPr="00187604">
        <w:rPr>
          <w:spacing w:val="-2"/>
          <w:lang w:val="fr-FR"/>
        </w:rPr>
        <w:t xml:space="preserve"> 2) + (D Y3 </w:t>
      </w:r>
      <w:r w:rsidRPr="00187604">
        <w:rPr>
          <w:spacing w:val="-2"/>
        </w:rPr>
        <w:t>х</w:t>
      </w:r>
      <w:r w:rsidRPr="00187604">
        <w:rPr>
          <w:spacing w:val="-2"/>
          <w:lang w:val="fr-FR"/>
        </w:rPr>
        <w:t xml:space="preserve"> 1)]/[ #C Y1 + #C Y2 + #C Y3], </w:t>
      </w:r>
    </w:p>
    <w:p w14:paraId="693FD27D" w14:textId="77777777" w:rsidR="00E21573" w:rsidRPr="00D12303" w:rsidRDefault="00E21573" w:rsidP="00E21573">
      <w:pPr>
        <w:pStyle w:val="SingleTxtG"/>
        <w:keepNext/>
        <w:ind w:left="2835"/>
      </w:pPr>
      <w:r w:rsidRPr="00D12303">
        <w:t>где:</w:t>
      </w:r>
    </w:p>
    <w:p w14:paraId="507B0337" w14:textId="77777777" w:rsidR="00E21573" w:rsidRPr="00D12303" w:rsidRDefault="00E21573" w:rsidP="00E21573">
      <w:pPr>
        <w:pStyle w:val="SingleTxtG"/>
        <w:ind w:left="2835"/>
      </w:pPr>
      <w:r w:rsidRPr="00D12303">
        <w:t xml:space="preserve">RR = общий рейтинг риска; </w:t>
      </w:r>
    </w:p>
    <w:p w14:paraId="1A372DD9" w14:textId="77777777" w:rsidR="00E21573" w:rsidRPr="00D12303" w:rsidRDefault="00E21573" w:rsidP="00E21573">
      <w:pPr>
        <w:pStyle w:val="SingleTxtG"/>
        <w:ind w:left="2835"/>
      </w:pPr>
      <w:r w:rsidRPr="00D12303">
        <w:t>D Yi = общее количество дефектов за год 1, 2, 3;</w:t>
      </w:r>
    </w:p>
    <w:p w14:paraId="51E6A1A4" w14:textId="77777777" w:rsidR="00E21573" w:rsidRPr="00D12303" w:rsidRDefault="00E21573" w:rsidP="00E21573">
      <w:pPr>
        <w:pStyle w:val="SingleTxtG"/>
        <w:ind w:left="2835"/>
      </w:pPr>
      <w:r w:rsidRPr="00D12303">
        <w:t xml:space="preserve">D Y1 = (#DD x 40) + (#MaD х 10) + (MiD х 1) за год 1; </w:t>
      </w:r>
    </w:p>
    <w:p w14:paraId="17D3F92E" w14:textId="77777777" w:rsidR="00E21573" w:rsidRPr="00D12303" w:rsidRDefault="00E21573" w:rsidP="00E21573">
      <w:pPr>
        <w:pStyle w:val="SingleTxtG"/>
        <w:ind w:left="2835"/>
      </w:pPr>
      <w:r w:rsidRPr="00D12303">
        <w:t>#… = количество … ;</w:t>
      </w:r>
    </w:p>
    <w:p w14:paraId="3A0B2311" w14:textId="77777777" w:rsidR="00E21573" w:rsidRPr="00D12303" w:rsidRDefault="00E21573" w:rsidP="00E21573">
      <w:pPr>
        <w:pStyle w:val="SingleTxtG"/>
        <w:ind w:left="2835"/>
      </w:pPr>
      <w:r w:rsidRPr="00D12303">
        <w:t xml:space="preserve">DD = опасные дефекты; </w:t>
      </w:r>
    </w:p>
    <w:p w14:paraId="584D1658" w14:textId="77777777" w:rsidR="00E21573" w:rsidRPr="00D12303" w:rsidRDefault="00E21573" w:rsidP="00E21573">
      <w:pPr>
        <w:pStyle w:val="SingleTxtG"/>
        <w:ind w:left="2835"/>
      </w:pPr>
      <w:r w:rsidRPr="00D12303">
        <w:t xml:space="preserve">MaD = серьезные дефекты; </w:t>
      </w:r>
    </w:p>
    <w:p w14:paraId="205F1FA3" w14:textId="77777777" w:rsidR="00E21573" w:rsidRPr="00D12303" w:rsidRDefault="00E21573" w:rsidP="00E21573">
      <w:pPr>
        <w:pStyle w:val="SingleTxtG"/>
        <w:ind w:left="2835"/>
      </w:pPr>
      <w:r w:rsidRPr="00D12303">
        <w:t xml:space="preserve">MiD = незначительные дефекты; </w:t>
      </w:r>
    </w:p>
    <w:p w14:paraId="7C4D78BE" w14:textId="77777777" w:rsidR="00E21573" w:rsidRPr="00D12303" w:rsidRDefault="00E21573" w:rsidP="00E21573">
      <w:pPr>
        <w:pStyle w:val="SingleTxtG"/>
        <w:ind w:left="2835"/>
      </w:pPr>
      <w:r w:rsidRPr="00D12303">
        <w:t xml:space="preserve">C = проверки (придорожные технические осмотры или периодические и добровольные испытания на эксплуатационную пригодность) за год 1, 2, 3. </w:t>
      </w:r>
    </w:p>
    <w:p w14:paraId="431E0AA2" w14:textId="77777777" w:rsidR="00E21573" w:rsidRPr="00D12303" w:rsidRDefault="00E21573" w:rsidP="00E21573">
      <w:pPr>
        <w:pStyle w:val="SingleTxtG"/>
        <w:ind w:left="2835" w:hanging="567"/>
      </w:pPr>
      <w:r w:rsidRPr="00D12303">
        <w:t>b)</w:t>
      </w:r>
      <w:r w:rsidRPr="00D12303">
        <w:tab/>
        <w:t xml:space="preserve">Формула годового рейтинга рисков: </w:t>
      </w:r>
    </w:p>
    <w:p w14:paraId="728ABB32" w14:textId="77777777" w:rsidR="00E21573" w:rsidRPr="00D12303" w:rsidRDefault="00E21573" w:rsidP="00E21573">
      <w:pPr>
        <w:pStyle w:val="SingleTxtG"/>
        <w:ind w:left="2835"/>
      </w:pPr>
      <w:r w:rsidRPr="00D12303">
        <w:t>AR = [(#DD x 40) + (#MaD х 10) + (MiD х 1)]/#C,</w:t>
      </w:r>
    </w:p>
    <w:p w14:paraId="4F3C5EE8" w14:textId="77777777" w:rsidR="00E21573" w:rsidRPr="00D12303" w:rsidRDefault="00E21573" w:rsidP="00E21573">
      <w:pPr>
        <w:pStyle w:val="SingleTxtG"/>
        <w:ind w:left="2835"/>
      </w:pPr>
      <w:r w:rsidRPr="00D12303">
        <w:t xml:space="preserve">где: </w:t>
      </w:r>
    </w:p>
    <w:p w14:paraId="5A11B9EE" w14:textId="77777777" w:rsidR="00E21573" w:rsidRPr="00D12303" w:rsidRDefault="00E21573" w:rsidP="00E21573">
      <w:pPr>
        <w:pStyle w:val="SingleTxtG"/>
        <w:ind w:left="2835"/>
      </w:pPr>
      <w:r w:rsidRPr="00D12303">
        <w:t xml:space="preserve">AR = годовой показатель риска; </w:t>
      </w:r>
    </w:p>
    <w:p w14:paraId="7516BC85" w14:textId="77777777" w:rsidR="00E21573" w:rsidRPr="00D12303" w:rsidRDefault="00E21573" w:rsidP="00E21573">
      <w:pPr>
        <w:pStyle w:val="SingleTxtG"/>
        <w:ind w:left="2835"/>
      </w:pPr>
      <w:r w:rsidRPr="00D12303">
        <w:t>#… = количество</w:t>
      </w:r>
      <w:r w:rsidRPr="00D12303">
        <w:tab/>
        <w:t xml:space="preserve">... </w:t>
      </w:r>
    </w:p>
    <w:p w14:paraId="044B2B16" w14:textId="77777777" w:rsidR="00E21573" w:rsidRPr="00D12303" w:rsidRDefault="00E21573" w:rsidP="00E21573">
      <w:pPr>
        <w:pStyle w:val="SingleTxtG"/>
        <w:ind w:left="2835"/>
      </w:pPr>
      <w:r w:rsidRPr="00D12303">
        <w:t xml:space="preserve">Годовой показатель риска используется для оценки изменения ситуации предприятия на протяжении нескольких лет. </w:t>
      </w:r>
    </w:p>
    <w:p w14:paraId="52C0ACB4" w14:textId="77777777" w:rsidR="00E21573" w:rsidRPr="00D12303" w:rsidRDefault="00E21573" w:rsidP="00E21573">
      <w:pPr>
        <w:pStyle w:val="SingleTxtG"/>
        <w:ind w:left="2268" w:hanging="1134"/>
      </w:pPr>
      <w:r w:rsidRPr="00D12303">
        <w:lastRenderedPageBreak/>
        <w:t>6.6.6</w:t>
      </w:r>
      <w:r w:rsidRPr="00D12303">
        <w:tab/>
        <w:t xml:space="preserve">Классификация предприятий (транспортных средств) на основе общей оценки риска осуществляется таким образом, чтобы обеспечить их последующее распределение по категориям риска: </w:t>
      </w:r>
    </w:p>
    <w:p w14:paraId="44AE5AB2" w14:textId="77777777" w:rsidR="00E21573" w:rsidRPr="00D12303" w:rsidRDefault="00E21573" w:rsidP="00E21573">
      <w:pPr>
        <w:pStyle w:val="SingleTxtG"/>
        <w:ind w:left="2268"/>
      </w:pPr>
      <w:r w:rsidRPr="00D12303">
        <w:t>а)</w:t>
      </w:r>
      <w:r w:rsidRPr="00D12303">
        <w:tab/>
        <w:t xml:space="preserve"> &lt;30% низкий уровень риска;</w:t>
      </w:r>
    </w:p>
    <w:p w14:paraId="6FDA2851" w14:textId="77777777" w:rsidR="00E21573" w:rsidRPr="00D12303" w:rsidRDefault="00E21573" w:rsidP="00E21573">
      <w:pPr>
        <w:pStyle w:val="SingleTxtG"/>
        <w:ind w:left="2268"/>
      </w:pPr>
      <w:r w:rsidRPr="00D12303">
        <w:t>b)</w:t>
      </w:r>
      <w:r w:rsidRPr="00D12303">
        <w:tab/>
        <w:t>30–80% средний уровень риска;</w:t>
      </w:r>
    </w:p>
    <w:p w14:paraId="1F499A79" w14:textId="77777777" w:rsidR="00E21573" w:rsidRPr="00D12303" w:rsidRDefault="00E21573" w:rsidP="00E21573">
      <w:pPr>
        <w:pStyle w:val="SingleTxtG"/>
        <w:ind w:left="2268"/>
      </w:pPr>
      <w:r w:rsidRPr="00D12303">
        <w:t>c)</w:t>
      </w:r>
      <w:r w:rsidRPr="00D12303">
        <w:tab/>
        <w:t>&gt;80% высокий уровень риска».</w:t>
      </w:r>
    </w:p>
    <w:p w14:paraId="65B7CEEC" w14:textId="77777777" w:rsidR="00E21573" w:rsidRPr="00D12303" w:rsidRDefault="00E21573" w:rsidP="00E21573">
      <w:pPr>
        <w:pStyle w:val="SingleTxtG"/>
        <w:spacing w:before="240" w:after="0"/>
        <w:jc w:val="center"/>
        <w:rPr>
          <w:u w:val="single"/>
        </w:rPr>
      </w:pPr>
      <w:r w:rsidRPr="00D12303">
        <w:rPr>
          <w:u w:val="single"/>
        </w:rPr>
        <w:tab/>
      </w:r>
      <w:r w:rsidRPr="00D12303">
        <w:rPr>
          <w:u w:val="single"/>
        </w:rPr>
        <w:tab/>
      </w:r>
      <w:r w:rsidRPr="00D12303">
        <w:rPr>
          <w:u w:val="single"/>
        </w:rPr>
        <w:tab/>
      </w:r>
      <w:r w:rsidR="00187604">
        <w:rPr>
          <w:u w:val="single"/>
        </w:rPr>
        <w:tab/>
      </w:r>
    </w:p>
    <w:p w14:paraId="578A3210" w14:textId="77777777" w:rsidR="00E12C5F" w:rsidRPr="008D53B6" w:rsidRDefault="00E12C5F" w:rsidP="00D9145B"/>
    <w:sectPr w:rsidR="00E12C5F" w:rsidRPr="008D53B6" w:rsidSect="00E215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03F1" w14:textId="77777777" w:rsidR="00C97C11" w:rsidRPr="00A312BC" w:rsidRDefault="00C97C11" w:rsidP="00A312BC"/>
  </w:endnote>
  <w:endnote w:type="continuationSeparator" w:id="0">
    <w:p w14:paraId="768053E7" w14:textId="77777777" w:rsidR="00C97C11" w:rsidRPr="00A312BC" w:rsidRDefault="00C97C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D0CD" w14:textId="77777777" w:rsidR="00E21573" w:rsidRPr="00E21573" w:rsidRDefault="00E21573">
    <w:pPr>
      <w:pStyle w:val="Footer"/>
    </w:pPr>
    <w:r w:rsidRPr="00E21573">
      <w:rPr>
        <w:b/>
        <w:sz w:val="18"/>
      </w:rPr>
      <w:fldChar w:fldCharType="begin"/>
    </w:r>
    <w:r w:rsidRPr="00E21573">
      <w:rPr>
        <w:b/>
        <w:sz w:val="18"/>
      </w:rPr>
      <w:instrText xml:space="preserve"> PAGE  \* MERGEFORMAT </w:instrText>
    </w:r>
    <w:r w:rsidRPr="00E21573">
      <w:rPr>
        <w:b/>
        <w:sz w:val="18"/>
      </w:rPr>
      <w:fldChar w:fldCharType="separate"/>
    </w:r>
    <w:r w:rsidRPr="00E21573">
      <w:rPr>
        <w:b/>
        <w:noProof/>
        <w:sz w:val="18"/>
      </w:rPr>
      <w:t>2</w:t>
    </w:r>
    <w:r w:rsidRPr="00E21573">
      <w:rPr>
        <w:b/>
        <w:sz w:val="18"/>
      </w:rPr>
      <w:fldChar w:fldCharType="end"/>
    </w:r>
    <w:r>
      <w:rPr>
        <w:b/>
        <w:sz w:val="18"/>
      </w:rPr>
      <w:tab/>
    </w:r>
    <w:r>
      <w:t>GE.19-15014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FD7D" w14:textId="77777777" w:rsidR="00E21573" w:rsidRPr="00E21573" w:rsidRDefault="00E21573" w:rsidP="00E2157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GE.19-15014</w:t>
    </w:r>
    <w:r>
      <w:tab/>
    </w:r>
    <w:r w:rsidRPr="00E21573">
      <w:rPr>
        <w:b/>
        <w:sz w:val="18"/>
      </w:rPr>
      <w:fldChar w:fldCharType="begin"/>
    </w:r>
    <w:r w:rsidRPr="00E21573">
      <w:rPr>
        <w:b/>
        <w:sz w:val="18"/>
      </w:rPr>
      <w:instrText xml:space="preserve"> PAGE  \* MERGEFORMAT </w:instrText>
    </w:r>
    <w:r w:rsidRPr="00E21573">
      <w:rPr>
        <w:b/>
        <w:sz w:val="18"/>
      </w:rPr>
      <w:fldChar w:fldCharType="separate"/>
    </w:r>
    <w:r w:rsidRPr="00E21573">
      <w:rPr>
        <w:b/>
        <w:noProof/>
        <w:sz w:val="18"/>
      </w:rPr>
      <w:t>3</w:t>
    </w:r>
    <w:r w:rsidRPr="00E215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E128" w14:textId="62D58F78" w:rsidR="00042B72" w:rsidRPr="00E21573" w:rsidRDefault="00E21573" w:rsidP="00E2157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47F12B" wp14:editId="69FBBE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15014  (</w:t>
    </w:r>
    <w:proofErr w:type="gramEnd"/>
    <w:r>
      <w:t>R)</w:t>
    </w:r>
    <w:r w:rsidR="00EA647C">
      <w:rPr>
        <w:lang w:val="en-US"/>
      </w:rPr>
      <w:t xml:space="preserve">  260919  </w:t>
    </w:r>
    <w:r w:rsidR="00A22B7D">
      <w:rPr>
        <w:lang w:val="en-US"/>
      </w:rPr>
      <w:t>30</w:t>
    </w:r>
    <w:r w:rsidR="00EA647C">
      <w:rPr>
        <w:lang w:val="en-US"/>
      </w:rPr>
      <w:t>091</w:t>
    </w:r>
    <w:r w:rsidR="00CD638B">
      <w:rPr>
        <w:lang w:val="en-US"/>
      </w:rPr>
      <w:t>9</w:t>
    </w:r>
    <w:r>
      <w:br/>
    </w:r>
    <w:r w:rsidRPr="00E21573">
      <w:rPr>
        <w:rFonts w:ascii="C39T30Lfz" w:hAnsi="C39T30Lfz"/>
        <w:kern w:val="14"/>
        <w:sz w:val="56"/>
      </w:rPr>
      <w:t></w:t>
    </w:r>
    <w:r w:rsidRPr="00E21573">
      <w:rPr>
        <w:rFonts w:ascii="C39T30Lfz" w:hAnsi="C39T30Lfz"/>
        <w:kern w:val="14"/>
        <w:sz w:val="56"/>
      </w:rPr>
      <w:t></w:t>
    </w:r>
    <w:r w:rsidRPr="00E21573">
      <w:rPr>
        <w:rFonts w:ascii="C39T30Lfz" w:hAnsi="C39T30Lfz"/>
        <w:kern w:val="14"/>
        <w:sz w:val="56"/>
      </w:rPr>
      <w:t></w:t>
    </w:r>
    <w:r w:rsidRPr="00E21573">
      <w:rPr>
        <w:rFonts w:ascii="C39T30Lfz" w:hAnsi="C39T30Lfz"/>
        <w:kern w:val="14"/>
        <w:sz w:val="56"/>
      </w:rPr>
      <w:t></w:t>
    </w:r>
    <w:r w:rsidRPr="00E21573">
      <w:rPr>
        <w:rFonts w:ascii="C39T30Lfz" w:hAnsi="C39T30Lfz"/>
        <w:kern w:val="14"/>
        <w:sz w:val="56"/>
      </w:rPr>
      <w:t></w:t>
    </w:r>
    <w:r w:rsidRPr="00E21573">
      <w:rPr>
        <w:rFonts w:ascii="C39T30Lfz" w:hAnsi="C39T30Lfz"/>
        <w:kern w:val="14"/>
        <w:sz w:val="56"/>
      </w:rPr>
      <w:t></w:t>
    </w:r>
    <w:r w:rsidRPr="00E21573">
      <w:rPr>
        <w:rFonts w:ascii="C39T30Lfz" w:hAnsi="C39T30Lfz"/>
        <w:kern w:val="14"/>
        <w:sz w:val="56"/>
      </w:rPr>
      <w:t></w:t>
    </w:r>
    <w:r w:rsidRPr="00E21573">
      <w:rPr>
        <w:rFonts w:ascii="C39T30Lfz" w:hAnsi="C39T30Lfz"/>
        <w:kern w:val="14"/>
        <w:sz w:val="56"/>
      </w:rPr>
      <w:t></w:t>
    </w:r>
    <w:r w:rsidRPr="00E2157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4986B7" wp14:editId="22C20A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3885" w14:textId="77777777" w:rsidR="00C97C11" w:rsidRPr="001075E9" w:rsidRDefault="00C97C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E0FD07" w14:textId="77777777" w:rsidR="00C97C11" w:rsidRDefault="00C97C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19992F" w14:textId="77777777" w:rsidR="00E21573" w:rsidRPr="00DC2C16" w:rsidRDefault="00E21573" w:rsidP="00E21573">
      <w:pPr>
        <w:pStyle w:val="FootnoteText"/>
      </w:pPr>
      <w:r>
        <w:tab/>
      </w:r>
      <w:r w:rsidRPr="00EA647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1AC3" w14:textId="4DC02885" w:rsidR="00E21573" w:rsidRPr="00E21573" w:rsidRDefault="009B2ABD">
    <w:pPr>
      <w:pStyle w:val="Header"/>
    </w:pPr>
    <w:fldSimple w:instr=" TITLE  \* MERGEFORMAT ">
      <w:r w:rsidR="00FF6FB5">
        <w:t>ECE/TRANS/WP.29/2019/120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65DF" w14:textId="1674704D" w:rsidR="00E21573" w:rsidRPr="00E21573" w:rsidRDefault="009B2ABD" w:rsidP="00E21573">
    <w:pPr>
      <w:pStyle w:val="Header"/>
      <w:jc w:val="right"/>
    </w:pPr>
    <w:fldSimple w:instr=" TITLE  \* MERGEFORMAT ">
      <w:r w:rsidR="00FF6FB5">
        <w:t>ECE/TRANS/WP.29/2019/120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77FA"/>
    <w:rsid w:val="00180183"/>
    <w:rsid w:val="0018024D"/>
    <w:rsid w:val="0018649F"/>
    <w:rsid w:val="00187604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3A3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ABD"/>
    <w:rsid w:val="009C59D7"/>
    <w:rsid w:val="009C6FE6"/>
    <w:rsid w:val="009D7E7D"/>
    <w:rsid w:val="00A14DA8"/>
    <w:rsid w:val="00A22B7D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7C11"/>
    <w:rsid w:val="00CA1679"/>
    <w:rsid w:val="00CB151C"/>
    <w:rsid w:val="00CD638B"/>
    <w:rsid w:val="00CE5A1A"/>
    <w:rsid w:val="00CF55F6"/>
    <w:rsid w:val="00D102AC"/>
    <w:rsid w:val="00D108EC"/>
    <w:rsid w:val="00D33D63"/>
    <w:rsid w:val="00D5253A"/>
    <w:rsid w:val="00D6593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573"/>
    <w:rsid w:val="00E73F76"/>
    <w:rsid w:val="00EA2C9F"/>
    <w:rsid w:val="00EA420E"/>
    <w:rsid w:val="00EA647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38FF3"/>
  <w15:docId w15:val="{2DCCC99B-0D6E-48A1-BF66-51F8B80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21573"/>
    <w:rPr>
      <w:lang w:val="ru-RU" w:eastAsia="en-US"/>
    </w:rPr>
  </w:style>
  <w:style w:type="character" w:styleId="Strong">
    <w:name w:val="Strong"/>
    <w:qFormat/>
    <w:rsid w:val="00E21573"/>
    <w:rPr>
      <w:b/>
      <w:bCs/>
    </w:rPr>
  </w:style>
  <w:style w:type="character" w:customStyle="1" w:styleId="HChGChar">
    <w:name w:val="_ H _Ch_G Char"/>
    <w:link w:val="HChG"/>
    <w:locked/>
    <w:rsid w:val="00E2157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3320</Words>
  <Characters>18924</Characters>
  <Application>Microsoft Office Word</Application>
  <DocSecurity>0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ECE/TRANS/WP.29/2019/120</vt:lpstr>
      <vt:lpstr>ECE/TRANS/WP.29/2019/120</vt:lpstr>
      <vt:lpstr>A/</vt:lpstr>
    </vt:vector>
  </TitlesOfParts>
  <Company>DCM</Company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ECE/TRANS/WP.29/2019/120</dc:title>
  <dc:subject/>
  <dc:creator>Uliana ANTIPOVA</dc:creator>
  <cp:keywords/>
  <cp:lastModifiedBy>Marie-Claude Collet</cp:lastModifiedBy>
  <cp:revision>3</cp:revision>
  <cp:lastPrinted>2019-10-02T05:44:00Z</cp:lastPrinted>
  <dcterms:created xsi:type="dcterms:W3CDTF">2019-10-02T05:43:00Z</dcterms:created>
  <dcterms:modified xsi:type="dcterms:W3CDTF">2019-10-02T05:44:00Z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