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7EABE3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8E864F" w14:textId="77777777" w:rsidR="00F35BAF" w:rsidRPr="00DB58B5" w:rsidRDefault="00F35BAF" w:rsidP="006F39E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C347E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AA8CDC" w14:textId="77777777" w:rsidR="00F35BAF" w:rsidRPr="00DB58B5" w:rsidRDefault="006F39E7" w:rsidP="006F39E7">
            <w:pPr>
              <w:jc w:val="right"/>
            </w:pPr>
            <w:r w:rsidRPr="006F39E7">
              <w:rPr>
                <w:sz w:val="40"/>
              </w:rPr>
              <w:t>ECE</w:t>
            </w:r>
            <w:r>
              <w:t>/TRANS/WP.29/2019/86</w:t>
            </w:r>
          </w:p>
        </w:tc>
      </w:tr>
      <w:tr w:rsidR="00F35BAF" w:rsidRPr="00DB58B5" w14:paraId="59C8367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91471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258644" wp14:editId="349CBF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5FF1E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D0E504" w14:textId="77777777" w:rsidR="00F35BAF" w:rsidRDefault="006F39E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26EEB514" w14:textId="77777777" w:rsidR="006F39E7" w:rsidRDefault="006F39E7" w:rsidP="006F39E7">
            <w:pPr>
              <w:spacing w:line="240" w:lineRule="exact"/>
            </w:pPr>
            <w:r>
              <w:t>29 août 2019</w:t>
            </w:r>
          </w:p>
          <w:p w14:paraId="2EA585F3" w14:textId="77777777" w:rsidR="006F39E7" w:rsidRDefault="006F39E7" w:rsidP="006F39E7">
            <w:pPr>
              <w:spacing w:line="240" w:lineRule="exact"/>
            </w:pPr>
            <w:r>
              <w:t>Français</w:t>
            </w:r>
          </w:p>
          <w:p w14:paraId="1F109245" w14:textId="77777777" w:rsidR="006F39E7" w:rsidRPr="00DB58B5" w:rsidRDefault="006F39E7" w:rsidP="006F39E7">
            <w:pPr>
              <w:spacing w:line="240" w:lineRule="exact"/>
            </w:pPr>
            <w:r>
              <w:t>Original : anglais</w:t>
            </w:r>
          </w:p>
        </w:tc>
      </w:tr>
    </w:tbl>
    <w:p w14:paraId="70DF0F9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865AD7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FBD2652" w14:textId="77777777" w:rsidR="006F39E7" w:rsidRDefault="006F39E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673DB14" w14:textId="77777777" w:rsidR="006F39E7" w:rsidRDefault="006F39E7" w:rsidP="00AF0CB5">
      <w:pPr>
        <w:spacing w:before="120" w:line="240" w:lineRule="exact"/>
        <w:rPr>
          <w:b/>
        </w:rPr>
      </w:pPr>
      <w:r>
        <w:rPr>
          <w:b/>
        </w:rPr>
        <w:t>179</w:t>
      </w:r>
      <w:r w:rsidRPr="006F39E7">
        <w:rPr>
          <w:b/>
          <w:vertAlign w:val="superscript"/>
        </w:rPr>
        <w:t>e</w:t>
      </w:r>
      <w:r>
        <w:rPr>
          <w:b/>
        </w:rPr>
        <w:t> session</w:t>
      </w:r>
    </w:p>
    <w:p w14:paraId="25A84617" w14:textId="77777777" w:rsidR="006F39E7" w:rsidRDefault="006F39E7" w:rsidP="00AF0CB5">
      <w:pPr>
        <w:spacing w:line="240" w:lineRule="exact"/>
      </w:pPr>
      <w:r>
        <w:t xml:space="preserve">Genève, </w:t>
      </w:r>
      <w:r w:rsidR="00740867">
        <w:t>12-14 novembre 2019</w:t>
      </w:r>
    </w:p>
    <w:p w14:paraId="4395A032" w14:textId="77777777" w:rsidR="006F39E7" w:rsidRDefault="006F39E7" w:rsidP="00AF0CB5">
      <w:pPr>
        <w:spacing w:line="240" w:lineRule="exact"/>
      </w:pPr>
      <w:r>
        <w:t xml:space="preserve">Point </w:t>
      </w:r>
      <w:r w:rsidR="00740867">
        <w:t>4.6.9</w:t>
      </w:r>
      <w:r>
        <w:t xml:space="preserve"> de l’ordre du jour</w:t>
      </w:r>
      <w:r w:rsidR="00740867">
        <w:t xml:space="preserve"> provisoire</w:t>
      </w:r>
    </w:p>
    <w:p w14:paraId="5E2F6EB6" w14:textId="77777777" w:rsidR="00F9573C" w:rsidRDefault="00740867" w:rsidP="00740867">
      <w:pPr>
        <w:rPr>
          <w:b/>
          <w:bCs/>
        </w:rPr>
      </w:pPr>
      <w:r w:rsidRPr="00740867">
        <w:rPr>
          <w:b/>
          <w:bCs/>
        </w:rPr>
        <w:t>Accord de 1958</w:t>
      </w:r>
      <w:r>
        <w:rPr>
          <w:b/>
          <w:bCs/>
        </w:rPr>
        <w:t> </w:t>
      </w:r>
      <w:r w:rsidRPr="00740867">
        <w:rPr>
          <w:b/>
          <w:bCs/>
        </w:rPr>
        <w:t>:</w:t>
      </w:r>
      <w:r>
        <w:rPr>
          <w:b/>
          <w:bCs/>
        </w:rPr>
        <w:t xml:space="preserve"> </w:t>
      </w:r>
      <w:r w:rsidRPr="00740867">
        <w:rPr>
          <w:b/>
          <w:bCs/>
        </w:rPr>
        <w:t xml:space="preserve">Examen de projets d’amendements </w:t>
      </w:r>
      <w:r>
        <w:rPr>
          <w:b/>
          <w:bCs/>
        </w:rPr>
        <w:br/>
      </w:r>
      <w:r w:rsidRPr="00740867">
        <w:rPr>
          <w:b/>
          <w:bCs/>
        </w:rPr>
        <w:t>à des Règlements ONU existants, soumis par le GRE</w:t>
      </w:r>
    </w:p>
    <w:p w14:paraId="5CB72012" w14:textId="77777777" w:rsidR="00913E11" w:rsidRPr="00D546AF" w:rsidRDefault="00913E11" w:rsidP="00913E11">
      <w:pPr>
        <w:pStyle w:val="HChG"/>
      </w:pPr>
      <w:r>
        <w:tab/>
      </w:r>
      <w:r>
        <w:tab/>
      </w:r>
      <w:r w:rsidRPr="00D546AF">
        <w:t>Proposition de complément</w:t>
      </w:r>
      <w:r>
        <w:t> </w:t>
      </w:r>
      <w:r w:rsidRPr="00D546AF">
        <w:t>21 à la série</w:t>
      </w:r>
      <w:r>
        <w:t> </w:t>
      </w:r>
      <w:r w:rsidRPr="00D546AF">
        <w:t xml:space="preserve">01 d’amendements au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D546AF">
        <w:t xml:space="preserve">53 (Installation des dispositifs d’éclairage et de signalisation lumineuse sur les véhicules </w:t>
      </w:r>
      <w:r>
        <w:br/>
      </w:r>
      <w:r w:rsidRPr="00D546AF">
        <w:t>de la catégorie L</w:t>
      </w:r>
      <w:r w:rsidRPr="00EB69E0">
        <w:rPr>
          <w:vertAlign w:val="subscript"/>
        </w:rPr>
        <w:t>3</w:t>
      </w:r>
      <w:r w:rsidRPr="00D546AF">
        <w:t xml:space="preserve">) </w:t>
      </w:r>
    </w:p>
    <w:p w14:paraId="78563837" w14:textId="77777777" w:rsidR="00913E11" w:rsidRPr="00D546AF" w:rsidRDefault="00913E11" w:rsidP="00913E11">
      <w:pPr>
        <w:pStyle w:val="H1G"/>
      </w:pPr>
      <w:r>
        <w:tab/>
      </w:r>
      <w:r>
        <w:tab/>
      </w:r>
      <w:r w:rsidRPr="00D546AF">
        <w:t xml:space="preserve">Communication du Groupe de travail de l’éclairage </w:t>
      </w:r>
      <w:r w:rsidR="007C697C">
        <w:br/>
      </w:r>
      <w:r w:rsidRPr="00D546AF">
        <w:t>et de la signalisation lumineuse</w:t>
      </w:r>
      <w:r w:rsidRPr="00913E1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EB7827B" w14:textId="77777777" w:rsidR="00B314B5" w:rsidRDefault="00913E11" w:rsidP="00534549">
      <w:pPr>
        <w:pStyle w:val="SingleTxtG"/>
        <w:ind w:firstLine="567"/>
      </w:pPr>
      <w:r w:rsidRPr="00D546AF">
        <w:t>Le texte ci-après, adopté par le Groupe de travail de l’éclairage et de la signalisation lumineuse (GRE) à ses soixante-dix-neuvième (ECE/TRANS/WP.29/GRE/79, par.</w:t>
      </w:r>
      <w:r w:rsidR="00534549">
        <w:t> </w:t>
      </w:r>
      <w:r w:rsidRPr="00D546AF">
        <w:t>36) et quatre-vingtième sessions (ECE/TRANS/WP.29/GRE/80, par.</w:t>
      </w:r>
      <w:r w:rsidR="00534549">
        <w:t> </w:t>
      </w:r>
      <w:r w:rsidRPr="00D546AF">
        <w:t>12), est fondé sur les documents ECE/TRANS/WP.29/GRE/2018/28 et ECE/TRANS/WP.29/</w:t>
      </w:r>
      <w:r w:rsidR="00FC6E1E">
        <w:t>GRE/</w:t>
      </w:r>
      <w:r w:rsidRPr="00D546AF">
        <w:t>2018/29 et contient des corrections de forme. Il est soumis au Forum mondial de l’harmonisation des Règlements concernant les véhicules (WP.29) et au Comité d’administration de l’Accord de 1958 (AC.1) pour examen à leurs sessions de novembre 2019.</w:t>
      </w:r>
    </w:p>
    <w:p w14:paraId="01155CC3" w14:textId="77777777" w:rsidR="00B314B5" w:rsidRPr="00B314B5" w:rsidRDefault="00B314B5" w:rsidP="00B314B5">
      <w:pPr>
        <w:pStyle w:val="HChG"/>
      </w:pPr>
      <w:r>
        <w:br w:type="page"/>
      </w:r>
      <w:r>
        <w:lastRenderedPageBreak/>
        <w:tab/>
      </w:r>
      <w:r>
        <w:tab/>
      </w:r>
      <w:r w:rsidRPr="00B314B5">
        <w:t xml:space="preserve">Complément 21 à la série 01 d’amendements au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B314B5">
        <w:t>53 (Installation des dispositifs d’éclairage et de signalisation lumineuse sur les véhicules de la catégorie L</w:t>
      </w:r>
      <w:r w:rsidRPr="00B314B5">
        <w:rPr>
          <w:vertAlign w:val="subscript"/>
        </w:rPr>
        <w:t>3</w:t>
      </w:r>
      <w:r w:rsidRPr="00B314B5">
        <w:t xml:space="preserve">) </w:t>
      </w:r>
      <w:bookmarkStart w:id="1" w:name="_Toc473483449"/>
    </w:p>
    <w:p w14:paraId="2B946189" w14:textId="77777777" w:rsidR="00B314B5" w:rsidRPr="00B314B5" w:rsidRDefault="00B314B5" w:rsidP="00964E52">
      <w:pPr>
        <w:pStyle w:val="SingleTxtG"/>
        <w:keepNext/>
        <w:rPr>
          <w:i/>
          <w:iCs/>
        </w:rPr>
      </w:pPr>
      <w:r w:rsidRPr="00B314B5">
        <w:rPr>
          <w:i/>
        </w:rPr>
        <w:t>Paragraphe 2.5.9</w:t>
      </w:r>
      <w:r w:rsidRPr="00B314B5">
        <w:t>, lire</w:t>
      </w:r>
      <w:r w:rsidR="0021770F">
        <w:t> </w:t>
      </w:r>
      <w:r w:rsidRPr="00B314B5">
        <w:t>:</w:t>
      </w:r>
    </w:p>
    <w:p w14:paraId="766E7D30" w14:textId="77777777" w:rsidR="00B314B5" w:rsidRPr="00B314B5" w:rsidRDefault="00B314B5" w:rsidP="00964E52">
      <w:pPr>
        <w:pStyle w:val="SingleTxtG"/>
        <w:keepNext/>
        <w:ind w:left="2268" w:hanging="1134"/>
        <w:rPr>
          <w:i/>
          <w:iCs/>
        </w:rPr>
      </w:pPr>
      <w:r w:rsidRPr="00B314B5">
        <w:t>« 2.5.9</w:t>
      </w:r>
      <w:r w:rsidR="0021770F">
        <w:tab/>
      </w:r>
      <w:r w:rsidRPr="00B314B5">
        <w:t>« </w:t>
      </w:r>
      <w:r w:rsidRPr="00B314B5">
        <w:rPr>
          <w:i/>
        </w:rPr>
        <w:t>Feu-stop</w:t>
      </w:r>
      <w:r w:rsidRPr="00B314B5">
        <w:t> », le feu servant à indiquer aux autres usagers de la route qui se trouvent derrière le véhicule que son déplacement longitudinal est volontairement ralenti. »</w:t>
      </w:r>
    </w:p>
    <w:p w14:paraId="07C59D87" w14:textId="77777777" w:rsidR="00B314B5" w:rsidRPr="00B314B5" w:rsidRDefault="00B314B5" w:rsidP="00964E52">
      <w:pPr>
        <w:pStyle w:val="SingleTxtG"/>
        <w:keepNext/>
      </w:pPr>
      <w:r w:rsidRPr="00B314B5">
        <w:rPr>
          <w:i/>
        </w:rPr>
        <w:t>Paragraphe 6.1.1.2</w:t>
      </w:r>
      <w:r w:rsidRPr="00B314B5">
        <w:t>, lire</w:t>
      </w:r>
      <w:r w:rsidR="0021770F">
        <w:t> </w:t>
      </w:r>
      <w:r w:rsidRPr="00B314B5">
        <w:t>:</w:t>
      </w:r>
    </w:p>
    <w:p w14:paraId="4339024F" w14:textId="77777777" w:rsidR="00B314B5" w:rsidRPr="00B314B5" w:rsidRDefault="00B314B5" w:rsidP="00964E52">
      <w:pPr>
        <w:pStyle w:val="SingleTxtG"/>
        <w:keepNext/>
      </w:pPr>
      <w:r w:rsidRPr="00B314B5">
        <w:t>« 6.1.1.2</w:t>
      </w:r>
      <w:r w:rsidRPr="00B314B5">
        <w:tab/>
        <w:t>Pour les motocycles d’une cylindrée &gt;125 cm</w:t>
      </w:r>
      <w:r w:rsidRPr="00B314B5">
        <w:rPr>
          <w:vertAlign w:val="superscript"/>
        </w:rPr>
        <w:t>3</w:t>
      </w:r>
    </w:p>
    <w:p w14:paraId="7D1A685D" w14:textId="77777777" w:rsidR="00B314B5" w:rsidRPr="00B314B5" w:rsidRDefault="00B314B5" w:rsidP="0021770F">
      <w:pPr>
        <w:pStyle w:val="SingleTxtG"/>
        <w:ind w:left="3402" w:hanging="1134"/>
      </w:pPr>
      <w:r w:rsidRPr="00B314B5">
        <w:t>Un ou deux du type homologué selon</w:t>
      </w:r>
      <w:r w:rsidR="0021770F">
        <w:t> </w:t>
      </w:r>
      <w:r w:rsidRPr="00B314B5">
        <w:t>:</w:t>
      </w:r>
    </w:p>
    <w:p w14:paraId="7922A58D" w14:textId="77777777" w:rsidR="00B314B5" w:rsidRPr="00B314B5" w:rsidRDefault="00B314B5" w:rsidP="0021770F">
      <w:pPr>
        <w:pStyle w:val="SingleTxtG"/>
        <w:ind w:left="2835" w:hanging="567"/>
      </w:pPr>
      <w:r w:rsidRPr="00B314B5">
        <w:t>a)</w:t>
      </w:r>
      <w:r w:rsidRPr="00B314B5">
        <w:tab/>
        <w:t xml:space="preserve">La classe B, D ou E du Règlement ONU </w:t>
      </w:r>
      <w:r w:rsidR="0021770F">
        <w:rPr>
          <w:rFonts w:eastAsia="MS Mincho"/>
        </w:rPr>
        <w:t>n</w:t>
      </w:r>
      <w:r w:rsidR="0021770F">
        <w:rPr>
          <w:rFonts w:eastAsia="MS Mincho"/>
          <w:vertAlign w:val="superscript"/>
        </w:rPr>
        <w:t>o</w:t>
      </w:r>
      <w:r w:rsidR="0021770F">
        <w:t> </w:t>
      </w:r>
      <w:r w:rsidRPr="00B314B5">
        <w:t>113</w:t>
      </w:r>
      <w:r w:rsidR="0021770F">
        <w:t> </w:t>
      </w:r>
      <w:r w:rsidRPr="00B314B5">
        <w:t>;</w:t>
      </w:r>
    </w:p>
    <w:p w14:paraId="41361679" w14:textId="77777777" w:rsidR="00B314B5" w:rsidRPr="00B314B5" w:rsidRDefault="00B314B5" w:rsidP="0021770F">
      <w:pPr>
        <w:pStyle w:val="SingleTxtG"/>
        <w:ind w:left="2835" w:hanging="567"/>
      </w:pPr>
      <w:r w:rsidRPr="00B314B5">
        <w:t>b)</w:t>
      </w:r>
      <w:r w:rsidRPr="00B314B5">
        <w:tab/>
        <w:t xml:space="preserve">Le Règlement ONU </w:t>
      </w:r>
      <w:r w:rsidR="0021770F">
        <w:rPr>
          <w:rFonts w:eastAsia="MS Mincho"/>
        </w:rPr>
        <w:t>n</w:t>
      </w:r>
      <w:r w:rsidR="0021770F">
        <w:rPr>
          <w:rFonts w:eastAsia="MS Mincho"/>
          <w:vertAlign w:val="superscript"/>
        </w:rPr>
        <w:t>o</w:t>
      </w:r>
      <w:r w:rsidR="0021770F">
        <w:t> </w:t>
      </w:r>
      <w:r w:rsidRPr="00B314B5">
        <w:t>112</w:t>
      </w:r>
      <w:r w:rsidR="0021770F">
        <w:t> </w:t>
      </w:r>
      <w:r w:rsidRPr="00B314B5">
        <w:t>;</w:t>
      </w:r>
    </w:p>
    <w:p w14:paraId="5308EA5C" w14:textId="77777777" w:rsidR="00B314B5" w:rsidRPr="00B314B5" w:rsidRDefault="00B314B5" w:rsidP="0021770F">
      <w:pPr>
        <w:pStyle w:val="SingleTxtG"/>
        <w:ind w:left="2835" w:hanging="567"/>
      </w:pPr>
      <w:r w:rsidRPr="00B314B5">
        <w:t>c)</w:t>
      </w:r>
      <w:r w:rsidRPr="00B314B5">
        <w:tab/>
        <w:t xml:space="preserve">Le Règlement ONU </w:t>
      </w:r>
      <w:r w:rsidR="0021770F">
        <w:rPr>
          <w:rFonts w:eastAsia="MS Mincho"/>
        </w:rPr>
        <w:t>n</w:t>
      </w:r>
      <w:r w:rsidR="0021770F">
        <w:rPr>
          <w:rFonts w:eastAsia="MS Mincho"/>
          <w:vertAlign w:val="superscript"/>
        </w:rPr>
        <w:t>o</w:t>
      </w:r>
      <w:r w:rsidR="0021770F">
        <w:t> </w:t>
      </w:r>
      <w:r w:rsidRPr="00B314B5">
        <w:t>1</w:t>
      </w:r>
      <w:r w:rsidR="0021770F">
        <w:t> </w:t>
      </w:r>
      <w:r w:rsidRPr="00B314B5">
        <w:t>;</w:t>
      </w:r>
    </w:p>
    <w:p w14:paraId="1813B36D" w14:textId="77777777" w:rsidR="00B314B5" w:rsidRPr="00B314B5" w:rsidRDefault="00B314B5" w:rsidP="0021770F">
      <w:pPr>
        <w:pStyle w:val="SingleTxtG"/>
        <w:ind w:left="2835" w:hanging="567"/>
      </w:pPr>
      <w:r w:rsidRPr="00B314B5">
        <w:t>d)</w:t>
      </w:r>
      <w:r w:rsidRPr="00B314B5">
        <w:tab/>
        <w:t xml:space="preserve">Le Règlement ONU </w:t>
      </w:r>
      <w:r w:rsidR="0021770F">
        <w:rPr>
          <w:rFonts w:eastAsia="MS Mincho"/>
        </w:rPr>
        <w:t>n</w:t>
      </w:r>
      <w:r w:rsidR="0021770F">
        <w:rPr>
          <w:rFonts w:eastAsia="MS Mincho"/>
          <w:vertAlign w:val="superscript"/>
        </w:rPr>
        <w:t>o</w:t>
      </w:r>
      <w:r w:rsidR="0021770F">
        <w:t> </w:t>
      </w:r>
      <w:r w:rsidRPr="00B314B5">
        <w:t>8</w:t>
      </w:r>
      <w:r w:rsidR="0021770F">
        <w:t> </w:t>
      </w:r>
      <w:r w:rsidRPr="00B314B5">
        <w:t>;</w:t>
      </w:r>
    </w:p>
    <w:p w14:paraId="46D71492" w14:textId="77777777" w:rsidR="00B314B5" w:rsidRPr="00B314B5" w:rsidRDefault="00B314B5" w:rsidP="0021770F">
      <w:pPr>
        <w:pStyle w:val="SingleTxtG"/>
        <w:ind w:left="2835" w:hanging="567"/>
      </w:pPr>
      <w:r w:rsidRPr="00B314B5">
        <w:t>e)</w:t>
      </w:r>
      <w:r w:rsidRPr="00B314B5">
        <w:tab/>
        <w:t xml:space="preserve">Le Règlement ONU </w:t>
      </w:r>
      <w:r w:rsidR="0021770F">
        <w:rPr>
          <w:rFonts w:eastAsia="MS Mincho"/>
        </w:rPr>
        <w:t>n</w:t>
      </w:r>
      <w:r w:rsidR="0021770F">
        <w:rPr>
          <w:rFonts w:eastAsia="MS Mincho"/>
          <w:vertAlign w:val="superscript"/>
        </w:rPr>
        <w:t>o</w:t>
      </w:r>
      <w:r w:rsidR="0021770F">
        <w:t> </w:t>
      </w:r>
      <w:r w:rsidRPr="00B314B5">
        <w:t>20</w:t>
      </w:r>
      <w:r w:rsidR="0021770F">
        <w:t> </w:t>
      </w:r>
      <w:r w:rsidRPr="00B314B5">
        <w:t>;</w:t>
      </w:r>
    </w:p>
    <w:p w14:paraId="443CF2D1" w14:textId="77777777" w:rsidR="00B314B5" w:rsidRPr="00B314B5" w:rsidRDefault="00B314B5" w:rsidP="0021770F">
      <w:pPr>
        <w:pStyle w:val="SingleTxtG"/>
        <w:ind w:left="2835" w:hanging="567"/>
      </w:pPr>
      <w:r w:rsidRPr="00B314B5">
        <w:t>f)</w:t>
      </w:r>
      <w:r w:rsidRPr="00B314B5">
        <w:tab/>
        <w:t xml:space="preserve">Le Règlement ONU </w:t>
      </w:r>
      <w:r w:rsidR="0021770F">
        <w:rPr>
          <w:rFonts w:eastAsia="MS Mincho"/>
        </w:rPr>
        <w:t>n</w:t>
      </w:r>
      <w:r w:rsidR="0021770F">
        <w:rPr>
          <w:rFonts w:eastAsia="MS Mincho"/>
          <w:vertAlign w:val="superscript"/>
        </w:rPr>
        <w:t>o</w:t>
      </w:r>
      <w:r w:rsidR="0021770F">
        <w:t> </w:t>
      </w:r>
      <w:r w:rsidRPr="00B314B5">
        <w:t>72</w:t>
      </w:r>
      <w:r w:rsidR="0021770F">
        <w:t> </w:t>
      </w:r>
      <w:r w:rsidRPr="00B314B5">
        <w:t>;</w:t>
      </w:r>
    </w:p>
    <w:p w14:paraId="713C043B" w14:textId="77777777" w:rsidR="00B314B5" w:rsidRPr="00B314B5" w:rsidRDefault="00B314B5" w:rsidP="0021770F">
      <w:pPr>
        <w:pStyle w:val="SingleTxtG"/>
        <w:ind w:left="2835" w:hanging="567"/>
      </w:pPr>
      <w:r w:rsidRPr="00B314B5">
        <w:t>g)</w:t>
      </w:r>
      <w:r w:rsidRPr="00B314B5">
        <w:tab/>
        <w:t xml:space="preserve">Le Règlement ONU </w:t>
      </w:r>
      <w:r w:rsidR="0021770F">
        <w:rPr>
          <w:rFonts w:eastAsia="MS Mincho"/>
        </w:rPr>
        <w:t>n</w:t>
      </w:r>
      <w:r w:rsidR="0021770F">
        <w:rPr>
          <w:rFonts w:eastAsia="MS Mincho"/>
          <w:vertAlign w:val="superscript"/>
        </w:rPr>
        <w:t>o</w:t>
      </w:r>
      <w:r w:rsidR="0021770F">
        <w:t> </w:t>
      </w:r>
      <w:r w:rsidRPr="00B314B5">
        <w:t>98</w:t>
      </w:r>
      <w:r w:rsidR="0021770F">
        <w:t> </w:t>
      </w:r>
      <w:r w:rsidRPr="00B314B5">
        <w:t>;</w:t>
      </w:r>
    </w:p>
    <w:p w14:paraId="267B3024" w14:textId="77777777" w:rsidR="00B314B5" w:rsidRPr="00B314B5" w:rsidRDefault="00B314B5" w:rsidP="0021770F">
      <w:pPr>
        <w:pStyle w:val="SingleTxtG"/>
        <w:ind w:left="2835" w:hanging="567"/>
        <w:rPr>
          <w:bCs/>
        </w:rPr>
      </w:pPr>
      <w:r w:rsidRPr="00B314B5">
        <w:t>h)</w:t>
      </w:r>
      <w:r w:rsidR="0021770F">
        <w:tab/>
      </w:r>
      <w:r w:rsidRPr="00B314B5">
        <w:t xml:space="preserve">La classe A, B, D, BS, DS ou ES du Règlement ONU </w:t>
      </w:r>
      <w:r w:rsidR="0021770F">
        <w:rPr>
          <w:rFonts w:eastAsia="MS Mincho"/>
        </w:rPr>
        <w:t>n</w:t>
      </w:r>
      <w:r w:rsidR="0021770F">
        <w:rPr>
          <w:rFonts w:eastAsia="MS Mincho"/>
          <w:vertAlign w:val="superscript"/>
        </w:rPr>
        <w:t>o</w:t>
      </w:r>
      <w:r w:rsidR="0021770F">
        <w:t> </w:t>
      </w:r>
      <w:r w:rsidRPr="00B314B5">
        <w:t>[149]</w:t>
      </w:r>
      <w:r w:rsidR="0021770F">
        <w:t> </w:t>
      </w:r>
      <w:r w:rsidRPr="00B314B5">
        <w:t>;</w:t>
      </w:r>
    </w:p>
    <w:p w14:paraId="5EF28D59" w14:textId="77777777" w:rsidR="00B314B5" w:rsidRPr="00B314B5" w:rsidRDefault="00B314B5" w:rsidP="00CA6526">
      <w:pPr>
        <w:pStyle w:val="SingleTxtG"/>
        <w:ind w:left="3402" w:hanging="1134"/>
        <w:rPr>
          <w:bCs/>
        </w:rPr>
      </w:pPr>
      <w:r w:rsidRPr="00B314B5">
        <w:t>Deux du type homologué selon :</w:t>
      </w:r>
    </w:p>
    <w:p w14:paraId="1A2578FC" w14:textId="77777777" w:rsidR="00B314B5" w:rsidRPr="00B314B5" w:rsidRDefault="00B314B5" w:rsidP="00CA6526">
      <w:pPr>
        <w:pStyle w:val="SingleTxtG"/>
        <w:ind w:left="2835" w:hanging="567"/>
        <w:rPr>
          <w:bCs/>
        </w:rPr>
      </w:pPr>
      <w:r w:rsidRPr="00B314B5">
        <w:t>i)</w:t>
      </w:r>
      <w:r w:rsidRPr="00B314B5">
        <w:tab/>
        <w:t xml:space="preserve">La classe C du Règlement ONU </w:t>
      </w:r>
      <w:r w:rsidR="00CA6526">
        <w:rPr>
          <w:rFonts w:eastAsia="MS Mincho"/>
        </w:rPr>
        <w:t>n</w:t>
      </w:r>
      <w:r w:rsidR="00CA6526">
        <w:rPr>
          <w:rFonts w:eastAsia="MS Mincho"/>
          <w:vertAlign w:val="superscript"/>
        </w:rPr>
        <w:t>o</w:t>
      </w:r>
      <w:r w:rsidRPr="00B314B5">
        <w:t> 113 ;</w:t>
      </w:r>
    </w:p>
    <w:p w14:paraId="2A9F135F" w14:textId="77777777" w:rsidR="00B314B5" w:rsidRPr="00B314B5" w:rsidRDefault="00B314B5" w:rsidP="00CA6526">
      <w:pPr>
        <w:pStyle w:val="SingleTxtG"/>
        <w:ind w:left="2835" w:hanging="567"/>
        <w:rPr>
          <w:bCs/>
        </w:rPr>
      </w:pPr>
      <w:r w:rsidRPr="00B314B5">
        <w:t>j)</w:t>
      </w:r>
      <w:r w:rsidRPr="00B314B5">
        <w:tab/>
        <w:t xml:space="preserve">La classe CS du Règlement ONU </w:t>
      </w:r>
      <w:r w:rsidR="00CA6526">
        <w:rPr>
          <w:rFonts w:eastAsia="MS Mincho"/>
        </w:rPr>
        <w:t>n</w:t>
      </w:r>
      <w:r w:rsidR="00CA6526">
        <w:rPr>
          <w:rFonts w:eastAsia="MS Mincho"/>
          <w:vertAlign w:val="superscript"/>
        </w:rPr>
        <w:t>o</w:t>
      </w:r>
      <w:r w:rsidR="00CA6526">
        <w:t> </w:t>
      </w:r>
      <w:r w:rsidRPr="00B314B5">
        <w:t>[149] ».</w:t>
      </w:r>
    </w:p>
    <w:p w14:paraId="33B6E35A" w14:textId="77777777" w:rsidR="00B314B5" w:rsidRPr="00B314B5" w:rsidRDefault="00B314B5" w:rsidP="00964E52">
      <w:pPr>
        <w:pStyle w:val="SingleTxtG"/>
        <w:keepNext/>
        <w:rPr>
          <w:i/>
          <w:iCs/>
        </w:rPr>
      </w:pPr>
      <w:r w:rsidRPr="00B314B5">
        <w:rPr>
          <w:i/>
          <w:iCs/>
        </w:rPr>
        <w:t>Paragraphe 6.4.6</w:t>
      </w:r>
      <w:r w:rsidRPr="00B314B5">
        <w:t>, lire</w:t>
      </w:r>
      <w:r w:rsidR="00C9356C">
        <w:t> </w:t>
      </w:r>
      <w:r w:rsidRPr="00B314B5">
        <w:t>:</w:t>
      </w:r>
    </w:p>
    <w:p w14:paraId="0A3CC43F" w14:textId="464804CC" w:rsidR="00B314B5" w:rsidRPr="00B314B5" w:rsidRDefault="00B314B5" w:rsidP="00964E52">
      <w:pPr>
        <w:pStyle w:val="SingleTxtG"/>
        <w:keepNext/>
      </w:pPr>
      <w:bookmarkStart w:id="2" w:name="_Hlk491963086"/>
      <w:r w:rsidRPr="00B314B5">
        <w:t>« 6.4.6</w:t>
      </w:r>
      <w:r w:rsidR="00E2378C">
        <w:t xml:space="preserve"> </w:t>
      </w:r>
      <w:r w:rsidRPr="00B314B5">
        <w:tab/>
        <w:t>Branchements électriques</w:t>
      </w:r>
    </w:p>
    <w:p w14:paraId="5841627A" w14:textId="77777777" w:rsidR="00B314B5" w:rsidRPr="00B314B5" w:rsidRDefault="00B314B5" w:rsidP="00C9356C">
      <w:pPr>
        <w:pStyle w:val="SingleTxtG"/>
        <w:ind w:left="2268" w:hanging="1134"/>
      </w:pPr>
      <w:r w:rsidRPr="00B314B5">
        <w:t>6.4.6.1</w:t>
      </w:r>
      <w:r w:rsidRPr="00B314B5">
        <w:tab/>
        <w:t xml:space="preserve">Tous les feux-stop doivent s’allumer simultanément lorsque le système de freinage émet le signal de freinage défini dans le Règlement ONU </w:t>
      </w:r>
      <w:r w:rsidR="0016787D">
        <w:rPr>
          <w:rFonts w:eastAsia="MS Mincho"/>
        </w:rPr>
        <w:t>n</w:t>
      </w:r>
      <w:r w:rsidR="0016787D">
        <w:rPr>
          <w:rFonts w:eastAsia="MS Mincho"/>
          <w:vertAlign w:val="superscript"/>
        </w:rPr>
        <w:t>o</w:t>
      </w:r>
      <w:r w:rsidR="0016787D">
        <w:t> </w:t>
      </w:r>
      <w:r w:rsidRPr="00B314B5">
        <w:t>78.</w:t>
      </w:r>
    </w:p>
    <w:p w14:paraId="5F6BC7FF" w14:textId="77777777" w:rsidR="00B314B5" w:rsidRPr="00B314B5" w:rsidRDefault="00B314B5" w:rsidP="00C9356C">
      <w:pPr>
        <w:pStyle w:val="SingleTxtG"/>
        <w:ind w:left="2268" w:hanging="1134"/>
        <w:rPr>
          <w:bCs/>
        </w:rPr>
      </w:pPr>
      <w:r w:rsidRPr="00B314B5">
        <w:t>6.4.6.2</w:t>
      </w:r>
      <w:r w:rsidRPr="00B314B5">
        <w:tab/>
        <w:t>Il n’est pas nécessaire que les feux-stop s’allument si le dispositif commandant le démarrage et/ou l’arrêt du moteur (système de propulsion) se trouve dans une position qui rend impossible le fonctionnement du moteur (système de propulsion).</w:t>
      </w:r>
      <w:bookmarkEnd w:id="2"/>
      <w:r w:rsidRPr="00B314B5">
        <w:t> »</w:t>
      </w:r>
    </w:p>
    <w:p w14:paraId="44E46E22" w14:textId="77777777" w:rsidR="00B314B5" w:rsidRPr="00B314B5" w:rsidRDefault="00B314B5" w:rsidP="0016787D">
      <w:pPr>
        <w:pStyle w:val="SingleTxtG"/>
        <w:keepNext/>
        <w:rPr>
          <w:i/>
          <w:iCs/>
        </w:rPr>
      </w:pPr>
      <w:r w:rsidRPr="00B314B5">
        <w:rPr>
          <w:i/>
        </w:rPr>
        <w:t>Paragraphe 6.7.4</w:t>
      </w:r>
      <w:r w:rsidRPr="00B314B5">
        <w:t>, lire</w:t>
      </w:r>
      <w:r w:rsidR="0016787D">
        <w:t> </w:t>
      </w:r>
      <w:r w:rsidRPr="00B314B5">
        <w:t>:</w:t>
      </w:r>
    </w:p>
    <w:p w14:paraId="0A61E8CB" w14:textId="77777777" w:rsidR="00B314B5" w:rsidRPr="00B314B5" w:rsidRDefault="00B314B5" w:rsidP="0016787D">
      <w:pPr>
        <w:pStyle w:val="SingleTxtG"/>
        <w:keepNext/>
      </w:pPr>
      <w:r w:rsidRPr="00B314B5">
        <w:t>« 6.7.4</w:t>
      </w:r>
      <w:r w:rsidR="0016787D">
        <w:t xml:space="preserve"> </w:t>
      </w:r>
      <w:r w:rsidR="0016787D">
        <w:tab/>
      </w:r>
      <w:r w:rsidRPr="00B314B5">
        <w:t xml:space="preserve">Visibilité géométrique </w:t>
      </w:r>
    </w:p>
    <w:p w14:paraId="692C7070" w14:textId="77777777" w:rsidR="00B314B5" w:rsidRPr="00B314B5" w:rsidRDefault="00B314B5" w:rsidP="0016787D">
      <w:pPr>
        <w:pStyle w:val="SingleTxtG"/>
        <w:ind w:firstLine="1134"/>
      </w:pPr>
      <w:r w:rsidRPr="00B314B5">
        <w:t>Angle horizontal</w:t>
      </w:r>
      <w:r w:rsidR="0016787D">
        <w:t> </w:t>
      </w:r>
      <w:r w:rsidRPr="00B314B5">
        <w:t xml:space="preserve">: </w:t>
      </w:r>
      <w:r w:rsidRPr="00B314B5">
        <w:tab/>
        <w:t>80° à gauche et à droite pour un feu simple</w:t>
      </w:r>
      <w:r w:rsidR="0016787D">
        <w:t> </w:t>
      </w:r>
      <w:r w:rsidRPr="00B314B5">
        <w:t xml:space="preserve">: </w:t>
      </w:r>
    </w:p>
    <w:p w14:paraId="68E25778" w14:textId="77777777" w:rsidR="00B314B5" w:rsidRPr="00B314B5" w:rsidRDefault="00B314B5" w:rsidP="0016787D">
      <w:pPr>
        <w:pStyle w:val="SingleTxtG"/>
        <w:ind w:left="3969" w:hanging="567"/>
      </w:pPr>
      <w:r w:rsidRPr="00B314B5">
        <w:tab/>
      </w:r>
      <w:proofErr w:type="gramStart"/>
      <w:r w:rsidRPr="00B314B5">
        <w:t>l’angle</w:t>
      </w:r>
      <w:proofErr w:type="gramEnd"/>
      <w:r w:rsidRPr="00B314B5">
        <w:t xml:space="preserve"> horizontal peut être de 80° vers l’extérieur et 20° vers l’intérieur pour chaque paire de feux</w:t>
      </w:r>
      <w:r w:rsidR="0016787D">
        <w:t> </w:t>
      </w:r>
      <w:r w:rsidRPr="00B314B5">
        <w:t xml:space="preserve">; </w:t>
      </w:r>
    </w:p>
    <w:p w14:paraId="4E428E2E" w14:textId="77777777" w:rsidR="00B314B5" w:rsidRPr="00B314B5" w:rsidRDefault="00B314B5" w:rsidP="0016787D">
      <w:pPr>
        <w:pStyle w:val="SingleTxtG"/>
        <w:ind w:firstLine="1134"/>
      </w:pPr>
      <w:r w:rsidRPr="00B314B5">
        <w:t>Angle vertical</w:t>
      </w:r>
      <w:r w:rsidR="0016787D">
        <w:t> </w:t>
      </w:r>
      <w:r w:rsidRPr="00B314B5">
        <w:t xml:space="preserve">: </w:t>
      </w:r>
      <w:r w:rsidRPr="00B314B5">
        <w:tab/>
        <w:t xml:space="preserve">15° au-dessus et au-dessous de l’horizontale. </w:t>
      </w:r>
    </w:p>
    <w:p w14:paraId="6A5550A7" w14:textId="77777777" w:rsidR="00913E11" w:rsidRDefault="00B314B5" w:rsidP="0016787D">
      <w:pPr>
        <w:pStyle w:val="SingleTxtG"/>
        <w:ind w:left="2268"/>
        <w:rPr>
          <w:i/>
        </w:rPr>
      </w:pPr>
      <w:r w:rsidRPr="00B314B5">
        <w:t>Toutefois, lorsqu’un feu est monté à moins de 750</w:t>
      </w:r>
      <w:r w:rsidR="00DD2A6D">
        <w:t> </w:t>
      </w:r>
      <w:r w:rsidRPr="00B314B5">
        <w:t>mm au-dessus du sol (mesure effectuée conformément aux dispositions du paragraphe</w:t>
      </w:r>
      <w:r w:rsidR="00DD2A6D">
        <w:t> </w:t>
      </w:r>
      <w:r w:rsidRPr="00B314B5">
        <w:t>5.7), l’angle de 15° vers le bas peut être ramené à 5°. »</w:t>
      </w:r>
      <w:bookmarkEnd w:id="1"/>
    </w:p>
    <w:p w14:paraId="6603FD9E" w14:textId="77777777" w:rsidR="00B314B5" w:rsidRPr="00B314B5" w:rsidRDefault="00B314B5" w:rsidP="00B314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14B5" w:rsidRPr="00B314B5" w:rsidSect="006F39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8316" w14:textId="77777777" w:rsidR="00C43746" w:rsidRDefault="00C43746" w:rsidP="00F95C08">
      <w:pPr>
        <w:spacing w:line="240" w:lineRule="auto"/>
      </w:pPr>
    </w:p>
  </w:endnote>
  <w:endnote w:type="continuationSeparator" w:id="0">
    <w:p w14:paraId="6A54887A" w14:textId="77777777" w:rsidR="00C43746" w:rsidRPr="00AC3823" w:rsidRDefault="00C43746" w:rsidP="00AC3823">
      <w:pPr>
        <w:pStyle w:val="Footer"/>
      </w:pPr>
    </w:p>
  </w:endnote>
  <w:endnote w:type="continuationNotice" w:id="1">
    <w:p w14:paraId="71BC327C" w14:textId="77777777" w:rsidR="00C43746" w:rsidRDefault="00C437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E928" w14:textId="77777777" w:rsidR="006F39E7" w:rsidRPr="006F39E7" w:rsidRDefault="006F39E7" w:rsidP="006F39E7">
    <w:pPr>
      <w:pStyle w:val="Footer"/>
      <w:tabs>
        <w:tab w:val="right" w:pos="9638"/>
      </w:tabs>
    </w:pPr>
    <w:r w:rsidRPr="006F39E7">
      <w:rPr>
        <w:b/>
        <w:sz w:val="18"/>
      </w:rPr>
      <w:fldChar w:fldCharType="begin"/>
    </w:r>
    <w:r w:rsidRPr="006F39E7">
      <w:rPr>
        <w:b/>
        <w:sz w:val="18"/>
      </w:rPr>
      <w:instrText xml:space="preserve"> PAGE  \* MERGEFORMAT </w:instrText>
    </w:r>
    <w:r w:rsidRPr="006F39E7">
      <w:rPr>
        <w:b/>
        <w:sz w:val="18"/>
      </w:rPr>
      <w:fldChar w:fldCharType="separate"/>
    </w:r>
    <w:r w:rsidRPr="006F39E7">
      <w:rPr>
        <w:b/>
        <w:noProof/>
        <w:sz w:val="18"/>
      </w:rPr>
      <w:t>2</w:t>
    </w:r>
    <w:r w:rsidRPr="006F39E7">
      <w:rPr>
        <w:b/>
        <w:sz w:val="18"/>
      </w:rPr>
      <w:fldChar w:fldCharType="end"/>
    </w:r>
    <w:r>
      <w:rPr>
        <w:b/>
        <w:sz w:val="18"/>
      </w:rPr>
      <w:tab/>
    </w:r>
    <w:r>
      <w:t>GE.19-14757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8CE9" w14:textId="77777777" w:rsidR="006F39E7" w:rsidRPr="006F39E7" w:rsidRDefault="006F39E7" w:rsidP="006F39E7">
    <w:pPr>
      <w:pStyle w:val="Footer"/>
      <w:tabs>
        <w:tab w:val="right" w:pos="9638"/>
      </w:tabs>
      <w:rPr>
        <w:b/>
        <w:sz w:val="18"/>
      </w:rPr>
    </w:pPr>
    <w:r>
      <w:t>GE.19-14757</w:t>
    </w:r>
    <w:r>
      <w:tab/>
    </w:r>
    <w:r w:rsidRPr="006F39E7">
      <w:rPr>
        <w:b/>
        <w:sz w:val="18"/>
      </w:rPr>
      <w:fldChar w:fldCharType="begin"/>
    </w:r>
    <w:r w:rsidRPr="006F39E7">
      <w:rPr>
        <w:b/>
        <w:sz w:val="18"/>
      </w:rPr>
      <w:instrText xml:space="preserve"> PAGE  \* MERGEFORMAT </w:instrText>
    </w:r>
    <w:r w:rsidRPr="006F39E7">
      <w:rPr>
        <w:b/>
        <w:sz w:val="18"/>
      </w:rPr>
      <w:fldChar w:fldCharType="separate"/>
    </w:r>
    <w:r w:rsidRPr="006F39E7">
      <w:rPr>
        <w:b/>
        <w:noProof/>
        <w:sz w:val="18"/>
      </w:rPr>
      <w:t>3</w:t>
    </w:r>
    <w:r w:rsidRPr="006F39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4463" w14:textId="77777777" w:rsidR="007F20FA" w:rsidRPr="006F39E7" w:rsidRDefault="006F39E7" w:rsidP="006F39E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5084F96" wp14:editId="7AE1EAB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14757  (</w:t>
    </w:r>
    <w:proofErr w:type="gramEnd"/>
    <w:r>
      <w:rPr>
        <w:sz w:val="20"/>
      </w:rPr>
      <w:t>F)    160919    260919</w:t>
    </w:r>
    <w:r>
      <w:rPr>
        <w:sz w:val="20"/>
      </w:rPr>
      <w:br/>
    </w:r>
    <w:r w:rsidRPr="006F39E7">
      <w:rPr>
        <w:rFonts w:ascii="C39T30Lfz" w:hAnsi="C39T30Lfz"/>
        <w:sz w:val="56"/>
      </w:rPr>
      <w:t></w:t>
    </w:r>
    <w:r w:rsidRPr="006F39E7">
      <w:rPr>
        <w:rFonts w:ascii="C39T30Lfz" w:hAnsi="C39T30Lfz"/>
        <w:sz w:val="56"/>
      </w:rPr>
      <w:t></w:t>
    </w:r>
    <w:r w:rsidRPr="006F39E7">
      <w:rPr>
        <w:rFonts w:ascii="C39T30Lfz" w:hAnsi="C39T30Lfz"/>
        <w:sz w:val="56"/>
      </w:rPr>
      <w:t></w:t>
    </w:r>
    <w:r w:rsidRPr="006F39E7">
      <w:rPr>
        <w:rFonts w:ascii="C39T30Lfz" w:hAnsi="C39T30Lfz"/>
        <w:sz w:val="56"/>
      </w:rPr>
      <w:t></w:t>
    </w:r>
    <w:r w:rsidRPr="006F39E7">
      <w:rPr>
        <w:rFonts w:ascii="C39T30Lfz" w:hAnsi="C39T30Lfz"/>
        <w:sz w:val="56"/>
      </w:rPr>
      <w:t></w:t>
    </w:r>
    <w:r w:rsidRPr="006F39E7">
      <w:rPr>
        <w:rFonts w:ascii="C39T30Lfz" w:hAnsi="C39T30Lfz"/>
        <w:sz w:val="56"/>
      </w:rPr>
      <w:t></w:t>
    </w:r>
    <w:r w:rsidRPr="006F39E7">
      <w:rPr>
        <w:rFonts w:ascii="C39T30Lfz" w:hAnsi="C39T30Lfz"/>
        <w:sz w:val="56"/>
      </w:rPr>
      <w:t></w:t>
    </w:r>
    <w:r w:rsidRPr="006F39E7">
      <w:rPr>
        <w:rFonts w:ascii="C39T30Lfz" w:hAnsi="C39T30Lfz"/>
        <w:sz w:val="56"/>
      </w:rPr>
      <w:t></w:t>
    </w:r>
    <w:r w:rsidRPr="006F39E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FA54756" wp14:editId="02AE9B9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8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8869" w14:textId="77777777" w:rsidR="00C43746" w:rsidRPr="00AC3823" w:rsidRDefault="00C437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65F9C1" w14:textId="77777777" w:rsidR="00C43746" w:rsidRPr="00AC3823" w:rsidRDefault="00C437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1D86E2" w14:textId="77777777" w:rsidR="00C43746" w:rsidRPr="00AC3823" w:rsidRDefault="00C43746">
      <w:pPr>
        <w:spacing w:line="240" w:lineRule="auto"/>
        <w:rPr>
          <w:sz w:val="2"/>
          <w:szCs w:val="2"/>
        </w:rPr>
      </w:pPr>
    </w:p>
  </w:footnote>
  <w:footnote w:id="2">
    <w:p w14:paraId="7F92BDBF" w14:textId="77777777" w:rsidR="00913E11" w:rsidRPr="00913E11" w:rsidRDefault="00913E11">
      <w:pPr>
        <w:pStyle w:val="FootnoteText"/>
      </w:pPr>
      <w:r>
        <w:rPr>
          <w:rStyle w:val="FootnoteReference"/>
        </w:rPr>
        <w:tab/>
      </w:r>
      <w:r w:rsidRPr="00913E1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2018-2019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FEF" w14:textId="3E518545" w:rsidR="006F39E7" w:rsidRPr="006F39E7" w:rsidRDefault="006F39E7">
    <w:pPr>
      <w:pStyle w:val="Header"/>
    </w:pPr>
    <w:fldSimple w:instr=" TITLE  \* MERGEFORMAT ">
      <w:r w:rsidR="004D2C96">
        <w:t>ECE/TRANS/WP.29/2019/86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4190" w14:textId="3CF12750" w:rsidR="006F39E7" w:rsidRPr="006F39E7" w:rsidRDefault="006F39E7" w:rsidP="006F39E7">
    <w:pPr>
      <w:pStyle w:val="Header"/>
      <w:jc w:val="right"/>
    </w:pPr>
    <w:fldSimple w:instr=" TITLE  \* MERGEFORMAT ">
      <w:r w:rsidR="004D2C96">
        <w:t>ECE/TRANS/WP.29/2019/86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787D"/>
    <w:rsid w:val="00176178"/>
    <w:rsid w:val="001F525A"/>
    <w:rsid w:val="0021770F"/>
    <w:rsid w:val="00223272"/>
    <w:rsid w:val="0024779E"/>
    <w:rsid w:val="00257168"/>
    <w:rsid w:val="002744B8"/>
    <w:rsid w:val="002832AC"/>
    <w:rsid w:val="002D7C93"/>
    <w:rsid w:val="00305801"/>
    <w:rsid w:val="003916DE"/>
    <w:rsid w:val="00400714"/>
    <w:rsid w:val="00421996"/>
    <w:rsid w:val="00441C3B"/>
    <w:rsid w:val="00446FE5"/>
    <w:rsid w:val="00452396"/>
    <w:rsid w:val="004837D8"/>
    <w:rsid w:val="004D2C96"/>
    <w:rsid w:val="004E2EED"/>
    <w:rsid w:val="004E468C"/>
    <w:rsid w:val="00534549"/>
    <w:rsid w:val="005505B7"/>
    <w:rsid w:val="00573BE5"/>
    <w:rsid w:val="00586ED3"/>
    <w:rsid w:val="00596AA9"/>
    <w:rsid w:val="006F39E7"/>
    <w:rsid w:val="0071601D"/>
    <w:rsid w:val="00740867"/>
    <w:rsid w:val="007A62E6"/>
    <w:rsid w:val="007C697C"/>
    <w:rsid w:val="007F20FA"/>
    <w:rsid w:val="0080684C"/>
    <w:rsid w:val="00871C75"/>
    <w:rsid w:val="008776DC"/>
    <w:rsid w:val="00913E11"/>
    <w:rsid w:val="009446C0"/>
    <w:rsid w:val="00964E52"/>
    <w:rsid w:val="009705C8"/>
    <w:rsid w:val="009C1CF4"/>
    <w:rsid w:val="009F6B74"/>
    <w:rsid w:val="00A3029F"/>
    <w:rsid w:val="00A30353"/>
    <w:rsid w:val="00AC3823"/>
    <w:rsid w:val="00AD331A"/>
    <w:rsid w:val="00AE323C"/>
    <w:rsid w:val="00AF0CB5"/>
    <w:rsid w:val="00B00181"/>
    <w:rsid w:val="00B00B0D"/>
    <w:rsid w:val="00B314B5"/>
    <w:rsid w:val="00B45F2E"/>
    <w:rsid w:val="00B765F7"/>
    <w:rsid w:val="00B85BFF"/>
    <w:rsid w:val="00BA0CA9"/>
    <w:rsid w:val="00C02897"/>
    <w:rsid w:val="00C43746"/>
    <w:rsid w:val="00C9356C"/>
    <w:rsid w:val="00C97039"/>
    <w:rsid w:val="00CA6526"/>
    <w:rsid w:val="00D3439C"/>
    <w:rsid w:val="00D54F05"/>
    <w:rsid w:val="00D716C2"/>
    <w:rsid w:val="00DB1831"/>
    <w:rsid w:val="00DD2A6D"/>
    <w:rsid w:val="00DD3BFD"/>
    <w:rsid w:val="00DF6678"/>
    <w:rsid w:val="00E0299A"/>
    <w:rsid w:val="00E2378C"/>
    <w:rsid w:val="00E85C74"/>
    <w:rsid w:val="00EA6547"/>
    <w:rsid w:val="00EB69E0"/>
    <w:rsid w:val="00EF2E22"/>
    <w:rsid w:val="00F35BAF"/>
    <w:rsid w:val="00F660DF"/>
    <w:rsid w:val="00F94664"/>
    <w:rsid w:val="00F9573C"/>
    <w:rsid w:val="00F95C08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8250"/>
  <w15:docId w15:val="{76DA517A-E419-46A0-A216-82C09D5A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ECE/TRANS/WP.29/2019/86</vt:lpstr>
      <vt:lpstr>ECE/TRANS/WP.29/2019/86</vt:lpstr>
    </vt:vector>
  </TitlesOfParts>
  <Company>DCM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ECE/TRANS/WP.29/2019/86</dc:title>
  <dc:subject/>
  <dc:creator>Brianne MAGNAT</dc:creator>
  <cp:keywords/>
  <cp:lastModifiedBy>Marie-Claude Collet</cp:lastModifiedBy>
  <cp:revision>3</cp:revision>
  <cp:lastPrinted>2019-10-01T11:54:00Z</cp:lastPrinted>
  <dcterms:created xsi:type="dcterms:W3CDTF">2019-10-01T11:54:00Z</dcterms:created>
  <dcterms:modified xsi:type="dcterms:W3CDTF">2019-10-01T11:54:00Z</dcterms:modified>
</cp:coreProperties>
</file>