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9464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9464F" w:rsidP="00D9464F">
            <w:pPr>
              <w:jc w:val="right"/>
            </w:pPr>
            <w:r w:rsidRPr="00D9464F">
              <w:rPr>
                <w:sz w:val="40"/>
              </w:rPr>
              <w:t>ECE</w:t>
            </w:r>
            <w:r>
              <w:t>/TRANS/WP.29/2019/5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9464F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D9464F" w:rsidRDefault="00D9464F" w:rsidP="00D9464F">
            <w:pPr>
              <w:spacing w:line="240" w:lineRule="exact"/>
            </w:pPr>
            <w:r>
              <w:t>20 décembre 2018</w:t>
            </w:r>
          </w:p>
          <w:p w:rsidR="00D9464F" w:rsidRDefault="00D9464F" w:rsidP="00D9464F">
            <w:pPr>
              <w:spacing w:line="240" w:lineRule="exact"/>
            </w:pPr>
            <w:r>
              <w:t>Français</w:t>
            </w:r>
          </w:p>
          <w:p w:rsidR="00D9464F" w:rsidRPr="00DB58B5" w:rsidRDefault="00D9464F" w:rsidP="00017144">
            <w:pPr>
              <w:spacing w:line="240" w:lineRule="exact"/>
            </w:pPr>
            <w:r>
              <w:t>Original</w:t>
            </w:r>
            <w:r w:rsidR="00017144">
              <w:t> </w:t>
            </w:r>
            <w:r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9464F" w:rsidRDefault="00D9464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0171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9464F" w:rsidRDefault="00D9464F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D9464F">
        <w:rPr>
          <w:b/>
          <w:vertAlign w:val="superscript"/>
        </w:rPr>
        <w:t>e</w:t>
      </w:r>
      <w:r>
        <w:rPr>
          <w:b/>
        </w:rPr>
        <w:t> session</w:t>
      </w:r>
    </w:p>
    <w:p w:rsidR="00965433" w:rsidRPr="00D9464F" w:rsidRDefault="00DE6F5D" w:rsidP="00D9464F">
      <w:pPr>
        <w:rPr>
          <w:lang w:val="fr-CA"/>
        </w:rPr>
      </w:pPr>
      <w:r w:rsidRPr="00D9464F">
        <w:rPr>
          <w:lang w:val="fr-FR"/>
        </w:rPr>
        <w:t>Genève, 12-15 mars 2019</w:t>
      </w:r>
    </w:p>
    <w:p w:rsidR="00965433" w:rsidRPr="00D9464F" w:rsidRDefault="00DE6F5D" w:rsidP="00D9464F">
      <w:pPr>
        <w:rPr>
          <w:lang w:val="fr-CA"/>
        </w:rPr>
      </w:pPr>
      <w:r w:rsidRPr="00D9464F">
        <w:rPr>
          <w:lang w:val="fr-FR"/>
        </w:rPr>
        <w:t>Point 4.6.3 de l’ordre du jour provisoire</w:t>
      </w:r>
    </w:p>
    <w:p w:rsidR="00965433" w:rsidRPr="00D9464F" w:rsidRDefault="00DE6F5D" w:rsidP="00D9464F">
      <w:pPr>
        <w:rPr>
          <w:b/>
          <w:lang w:val="fr-CA"/>
        </w:rPr>
      </w:pPr>
      <w:r w:rsidRPr="00D9464F">
        <w:rPr>
          <w:b/>
          <w:lang w:val="fr-FR"/>
        </w:rPr>
        <w:t>Accord de 1958</w:t>
      </w:r>
      <w:r w:rsidR="00017144">
        <w:rPr>
          <w:b/>
          <w:lang w:val="fr-FR"/>
        </w:rPr>
        <w:t> </w:t>
      </w:r>
      <w:r w:rsidRPr="00D9464F">
        <w:rPr>
          <w:b/>
          <w:lang w:val="fr-FR"/>
        </w:rPr>
        <w:t xml:space="preserve">: Examen de projets d’amendements </w:t>
      </w:r>
      <w:r w:rsidR="007363E1">
        <w:rPr>
          <w:b/>
          <w:lang w:val="fr-FR"/>
        </w:rPr>
        <w:br/>
      </w:r>
      <w:r w:rsidRPr="00D9464F">
        <w:rPr>
          <w:b/>
          <w:lang w:val="fr-FR"/>
        </w:rPr>
        <w:t xml:space="preserve">à des Règlements ONU </w:t>
      </w:r>
      <w:r w:rsidRPr="00D9464F">
        <w:rPr>
          <w:b/>
          <w:lang w:val="fr-FR"/>
        </w:rPr>
        <w:t xml:space="preserve">existants, soumis par le Groupe de travail </w:t>
      </w:r>
      <w:r w:rsidR="007363E1">
        <w:rPr>
          <w:b/>
          <w:lang w:val="fr-FR"/>
        </w:rPr>
        <w:br/>
      </w:r>
      <w:r w:rsidRPr="00D9464F">
        <w:rPr>
          <w:b/>
          <w:lang w:val="fr-FR"/>
        </w:rPr>
        <w:t xml:space="preserve">du bruit et des pneumatiques (GRBP) </w:t>
      </w:r>
    </w:p>
    <w:p w:rsidR="00965433" w:rsidRPr="00D9464F" w:rsidRDefault="00DE6F5D" w:rsidP="007363E1">
      <w:pPr>
        <w:pStyle w:val="HChG"/>
        <w:rPr>
          <w:lang w:val="fr-CA"/>
        </w:rPr>
      </w:pPr>
      <w:r w:rsidRPr="00D9464F">
        <w:rPr>
          <w:lang w:val="fr-FR"/>
        </w:rPr>
        <w:tab/>
      </w:r>
      <w:r w:rsidRPr="00D9464F">
        <w:rPr>
          <w:lang w:val="fr-FR"/>
        </w:rPr>
        <w:tab/>
        <w:t xml:space="preserve">Proposition de complément 17 à la version originale Règlement ONU </w:t>
      </w:r>
      <w:r w:rsidR="00017144" w:rsidRPr="00017144">
        <w:rPr>
          <w:rFonts w:eastAsia="MS Mincho"/>
          <w:szCs w:val="22"/>
          <w:lang w:val="fr-FR"/>
        </w:rPr>
        <w:t>n</w:t>
      </w:r>
      <w:r w:rsidR="00017144" w:rsidRPr="00017144">
        <w:rPr>
          <w:rFonts w:eastAsia="MS Mincho"/>
          <w:szCs w:val="22"/>
          <w:vertAlign w:val="superscript"/>
          <w:lang w:val="fr-FR"/>
        </w:rPr>
        <w:t>o</w:t>
      </w:r>
      <w:r w:rsidR="00017144">
        <w:rPr>
          <w:lang w:val="fr-FR"/>
        </w:rPr>
        <w:t> </w:t>
      </w:r>
      <w:r w:rsidRPr="00D9464F">
        <w:rPr>
          <w:lang w:val="fr-FR"/>
        </w:rPr>
        <w:t>106 (Pneumatiques pour véhicules agricoles et leurs remorques)</w:t>
      </w:r>
    </w:p>
    <w:p w:rsidR="00965433" w:rsidRPr="00D9464F" w:rsidRDefault="007363E1" w:rsidP="007363E1">
      <w:pPr>
        <w:pStyle w:val="H1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</w:r>
      <w:r w:rsidR="00DE6F5D" w:rsidRPr="00D9464F">
        <w:rPr>
          <w:lang w:val="fr-FR"/>
        </w:rPr>
        <w:t>Communication du Groupe de travail du b</w:t>
      </w:r>
      <w:r w:rsidR="00DE6F5D" w:rsidRPr="00D9464F">
        <w:rPr>
          <w:lang w:val="fr-FR"/>
        </w:rPr>
        <w:t>ruit et des pneumatiques</w:t>
      </w:r>
      <w:r w:rsidRPr="007363E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9464F" w:rsidRDefault="00DE6F5D" w:rsidP="007363E1">
      <w:pPr>
        <w:pStyle w:val="SingleTxtG"/>
        <w:ind w:firstLine="567"/>
        <w:rPr>
          <w:lang w:val="fr-FR"/>
        </w:rPr>
      </w:pPr>
      <w:r w:rsidRPr="00D9464F">
        <w:rPr>
          <w:lang w:val="fr-FR"/>
        </w:rPr>
        <w:t xml:space="preserve">Le texte ci-après, adopté par le Groupe de travail du bruit et des pneumatiques (GRBP) à sa soixante-sixième session (ECE/TRANS/WP.29/GRB/66, </w:t>
      </w:r>
      <w:r w:rsidR="00017144">
        <w:rPr>
          <w:lang w:val="fr-FR"/>
        </w:rPr>
        <w:t>par. </w:t>
      </w:r>
      <w:r w:rsidRPr="00D9464F">
        <w:rPr>
          <w:lang w:val="fr-FR"/>
        </w:rPr>
        <w:t>29), est fondé sur le document ECE/TRANS/WP.29/GRVA/2018/8 tel que modifié par le p</w:t>
      </w:r>
      <w:r w:rsidRPr="00D9464F">
        <w:rPr>
          <w:lang w:val="fr-FR"/>
        </w:rPr>
        <w:t>aragraphe 29 du rapport. Il est soumis au Forum mondial de l’harmonisation des Règlements concernant les véhicules (WP.29) et au Comité d’administration de l</w:t>
      </w:r>
      <w:r w:rsidR="00017144">
        <w:rPr>
          <w:lang w:val="fr-FR"/>
        </w:rPr>
        <w:t>’</w:t>
      </w:r>
      <w:r w:rsidRPr="00D9464F">
        <w:rPr>
          <w:lang w:val="fr-FR"/>
        </w:rPr>
        <w:t>Accord de 1958 (AC.1) pour examen à leurs sessions de mars 2019.</w:t>
      </w:r>
    </w:p>
    <w:p w:rsidR="00D9464F" w:rsidRPr="00305EE7" w:rsidRDefault="00D9464F" w:rsidP="007363E1">
      <w:pPr>
        <w:pStyle w:val="HChG"/>
      </w:pPr>
      <w:r>
        <w:rPr>
          <w:lang w:val="fr-FR"/>
        </w:rPr>
        <w:br w:type="page"/>
      </w:r>
      <w:r w:rsidR="007363E1">
        <w:rPr>
          <w:lang w:val="fr-FR"/>
        </w:rPr>
        <w:lastRenderedPageBreak/>
        <w:tab/>
      </w:r>
      <w:r w:rsidR="007363E1">
        <w:rPr>
          <w:lang w:val="fr-FR"/>
        </w:rPr>
        <w:tab/>
      </w:r>
      <w:r>
        <w:rPr>
          <w:lang w:val="fr-FR"/>
        </w:rPr>
        <w:t xml:space="preserve">Complément 17 à la version originale du Règlement ONU </w:t>
      </w:r>
      <w:r w:rsidR="007363E1" w:rsidRPr="007363E1">
        <w:rPr>
          <w:rFonts w:eastAsia="MS Mincho"/>
          <w:szCs w:val="22"/>
          <w:lang w:val="fr-FR"/>
        </w:rPr>
        <w:t>n</w:t>
      </w:r>
      <w:r w:rsidR="007363E1" w:rsidRPr="007363E1">
        <w:rPr>
          <w:rFonts w:eastAsia="MS Mincho"/>
          <w:szCs w:val="22"/>
          <w:vertAlign w:val="superscript"/>
          <w:lang w:val="fr-FR"/>
        </w:rPr>
        <w:t>o</w:t>
      </w:r>
      <w:r w:rsidR="007363E1">
        <w:rPr>
          <w:lang w:val="fr-FR"/>
        </w:rPr>
        <w:t> </w:t>
      </w:r>
      <w:r>
        <w:rPr>
          <w:lang w:val="fr-FR"/>
        </w:rPr>
        <w:t xml:space="preserve">106 (Pneumatiques pour véhicules agricoles </w:t>
      </w:r>
      <w:r w:rsidR="007363E1">
        <w:rPr>
          <w:lang w:val="fr-FR"/>
        </w:rPr>
        <w:br/>
      </w:r>
      <w:r>
        <w:rPr>
          <w:lang w:val="fr-FR"/>
        </w:rPr>
        <w:t>et leurs remorques)</w:t>
      </w:r>
    </w:p>
    <w:p w:rsidR="00D9464F" w:rsidRDefault="00D9464F" w:rsidP="007363E1">
      <w:pPr>
        <w:pStyle w:val="SingleTxtG"/>
        <w:rPr>
          <w:bCs/>
        </w:rPr>
      </w:pPr>
      <w:r w:rsidRPr="007363E1">
        <w:rPr>
          <w:i/>
          <w:lang w:val="fr-FR"/>
        </w:rPr>
        <w:t>Paragraphe 1</w:t>
      </w:r>
      <w:r>
        <w:rPr>
          <w:lang w:val="fr-FR"/>
        </w:rPr>
        <w:t>, lire :</w:t>
      </w:r>
    </w:p>
    <w:p w:rsidR="00D9464F" w:rsidRPr="004978BF" w:rsidRDefault="00D9464F" w:rsidP="007363E1">
      <w:pPr>
        <w:pStyle w:val="SingleTxtG"/>
        <w:ind w:left="2268" w:hanging="1134"/>
      </w:pPr>
      <w:r w:rsidRPr="0049472E">
        <w:rPr>
          <w:lang w:val="fr-FR"/>
        </w:rPr>
        <w:t>« </w:t>
      </w:r>
      <w:r w:rsidRPr="004978BF">
        <w:rPr>
          <w:lang w:val="fr-FR"/>
        </w:rPr>
        <w:t>1.</w:t>
      </w:r>
      <w:r w:rsidRPr="004978BF">
        <w:rPr>
          <w:lang w:val="fr-FR"/>
        </w:rPr>
        <w:tab/>
        <w:t>Domaine d’application</w:t>
      </w:r>
    </w:p>
    <w:p w:rsidR="00D9464F" w:rsidRPr="004978BF" w:rsidRDefault="00D9464F" w:rsidP="007363E1">
      <w:pPr>
        <w:pStyle w:val="SingleTxtG"/>
        <w:ind w:left="2268" w:hanging="1134"/>
        <w:rPr>
          <w:bCs/>
        </w:rPr>
      </w:pPr>
      <w:r w:rsidRPr="004978BF">
        <w:rPr>
          <w:lang w:val="fr-FR"/>
        </w:rPr>
        <w:t>1.1</w:t>
      </w:r>
      <w:r w:rsidRPr="0049472E">
        <w:rPr>
          <w:lang w:val="fr-FR"/>
        </w:rPr>
        <w:t xml:space="preserve"> 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Le présent Règlement ONU s’applique aux pneumatiques neufs conçus principalement, mais pas exclusivement, pour les véhicules agricoles et forestiers des catégories T, R et S</w:t>
      </w:r>
      <w:r w:rsidRPr="004978BF">
        <w:rPr>
          <w:bCs/>
          <w:vertAlign w:val="superscript"/>
          <w:lang w:val="fr-FR"/>
        </w:rPr>
        <w:t>1</w:t>
      </w:r>
      <w:r w:rsidRPr="004978BF">
        <w:rPr>
          <w:bCs/>
          <w:lang w:val="fr-FR"/>
        </w:rPr>
        <w:t>.</w:t>
      </w:r>
      <w:r w:rsidRPr="0049472E">
        <w:rPr>
          <w:lang w:val="fr-FR"/>
        </w:rPr>
        <w:t xml:space="preserve"> </w:t>
      </w:r>
    </w:p>
    <w:p w:rsidR="00D9464F" w:rsidRPr="004978BF" w:rsidRDefault="00D9464F" w:rsidP="007363E1">
      <w:pPr>
        <w:pStyle w:val="SingleTxtG"/>
        <w:ind w:left="2268" w:hanging="1134"/>
        <w:rPr>
          <w:bCs/>
        </w:rPr>
      </w:pPr>
      <w:r w:rsidRPr="004978BF">
        <w:rPr>
          <w:lang w:val="fr-FR"/>
        </w:rPr>
        <w:t>1.2</w:t>
      </w:r>
      <w:r w:rsidRPr="0049472E">
        <w:rPr>
          <w:lang w:val="fr-FR"/>
        </w:rPr>
        <w:t xml:space="preserve"> 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Le présent Règlement ONU ne s’applique pas aux pneumatiques suivants :</w:t>
      </w:r>
      <w:r w:rsidRPr="0049472E">
        <w:rPr>
          <w:lang w:val="fr-FR"/>
        </w:rPr>
        <w:t xml:space="preserve"> </w:t>
      </w:r>
    </w:p>
    <w:p w:rsidR="00D9464F" w:rsidRPr="004978BF" w:rsidRDefault="00D9464F" w:rsidP="007363E1">
      <w:pPr>
        <w:pStyle w:val="SingleTxtG"/>
        <w:ind w:left="2268" w:hanging="1134"/>
        <w:rPr>
          <w:bCs/>
        </w:rPr>
      </w:pPr>
      <w:r w:rsidRPr="004978BF">
        <w:rPr>
          <w:lang w:val="fr-FR"/>
        </w:rPr>
        <w:t>1.2.1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Pneumatiques portant des symboles de catégorie de vitesse correspondant à des vitesses supérieures à 65 km/h (c’est-à-dire, des symboles de catégorie de vitesse supérieurs à “D”</w:t>
      </w:r>
      <w:r w:rsidR="00121E5E">
        <w:rPr>
          <w:bCs/>
          <w:lang w:val="fr-FR"/>
        </w:rPr>
        <w:t>)</w:t>
      </w:r>
      <w:r w:rsidRPr="004978BF">
        <w:rPr>
          <w:bCs/>
          <w:lang w:val="fr-FR"/>
        </w:rPr>
        <w:t>.</w:t>
      </w:r>
    </w:p>
    <w:p w:rsidR="00D9464F" w:rsidRPr="004978BF" w:rsidRDefault="00D9464F" w:rsidP="007363E1">
      <w:pPr>
        <w:pStyle w:val="SingleTxtG"/>
        <w:ind w:left="2268" w:hanging="1134"/>
        <w:rPr>
          <w:bCs/>
        </w:rPr>
      </w:pPr>
      <w:r w:rsidRPr="004978BF">
        <w:rPr>
          <w:lang w:val="fr-FR"/>
        </w:rPr>
        <w:t>1.2.2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Pneumatiques principalement conçus pour d’autres usages, tels que :</w:t>
      </w:r>
    </w:p>
    <w:p w:rsidR="00D9464F" w:rsidRPr="004978BF" w:rsidRDefault="00D9464F" w:rsidP="007363E1">
      <w:pPr>
        <w:pStyle w:val="SingleTxtG"/>
        <w:ind w:left="3402" w:hanging="1134"/>
        <w:rPr>
          <w:bCs/>
        </w:rPr>
      </w:pPr>
      <w:r w:rsidRPr="004978BF">
        <w:rPr>
          <w:bCs/>
          <w:lang w:val="fr-FR"/>
        </w:rPr>
        <w:t>a)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Les engins de génie civil ;</w:t>
      </w:r>
    </w:p>
    <w:p w:rsidR="00D9464F" w:rsidRPr="004978BF" w:rsidRDefault="00D9464F" w:rsidP="007363E1">
      <w:pPr>
        <w:pStyle w:val="SingleTxtG"/>
        <w:ind w:left="3402" w:hanging="1134"/>
        <w:rPr>
          <w:bCs/>
          <w:lang w:val="fr-FR"/>
        </w:rPr>
      </w:pPr>
      <w:r w:rsidRPr="004978BF">
        <w:rPr>
          <w:bCs/>
          <w:lang w:val="fr-FR"/>
        </w:rPr>
        <w:t>b)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Les engins de manutention et les chariots élévateurs. ».</w:t>
      </w:r>
    </w:p>
    <w:p w:rsidR="00D9464F" w:rsidRDefault="00D9464F" w:rsidP="007363E1">
      <w:pPr>
        <w:pStyle w:val="SingleTxtG"/>
        <w:ind w:left="2268" w:hanging="1134"/>
        <w:rPr>
          <w:iCs/>
        </w:rPr>
      </w:pPr>
      <w:r>
        <w:rPr>
          <w:i/>
          <w:iCs/>
          <w:lang w:val="fr-FR"/>
        </w:rPr>
        <w:t>Le paragraphe 3.1.9.2</w:t>
      </w:r>
      <w:r>
        <w:rPr>
          <w:lang w:val="fr-FR"/>
        </w:rPr>
        <w:t xml:space="preserve"> devient le paragraphe 3.1.10.1 et se lit comme suit :</w:t>
      </w:r>
    </w:p>
    <w:p w:rsidR="00D9464F" w:rsidRDefault="00D9464F" w:rsidP="007363E1">
      <w:pPr>
        <w:pStyle w:val="SingleTxtG"/>
        <w:ind w:left="2268" w:hanging="1134"/>
      </w:pPr>
      <w:r>
        <w:rPr>
          <w:lang w:val="fr-FR"/>
        </w:rPr>
        <w:t>« 3.1.</w:t>
      </w:r>
      <w:r w:rsidRPr="004978BF">
        <w:rPr>
          <w:bCs/>
          <w:lang w:val="fr-FR"/>
        </w:rPr>
        <w:t>10.1</w:t>
      </w:r>
      <w:r>
        <w:rPr>
          <w:lang w:val="fr-FR"/>
        </w:rPr>
        <w:tab/>
        <w:t>L’inscription “I-3” pour les pneumatiques pour machines agricoles de type “traction”, comme indiqué à l’annexe 5, tableaux 5 et 6. ».</w:t>
      </w:r>
    </w:p>
    <w:p w:rsidR="00D9464F" w:rsidRPr="00455F49" w:rsidRDefault="00D9464F" w:rsidP="007363E1">
      <w:pPr>
        <w:pStyle w:val="SingleTxtG"/>
        <w:jc w:val="left"/>
      </w:pPr>
      <w:r w:rsidRPr="007363E1">
        <w:rPr>
          <w:i/>
          <w:lang w:val="fr-FR"/>
        </w:rPr>
        <w:t>Annexe</w:t>
      </w:r>
      <w:r>
        <w:rPr>
          <w:i/>
          <w:iCs/>
          <w:lang w:val="fr-FR"/>
        </w:rPr>
        <w:t xml:space="preserve"> 5,</w:t>
      </w:r>
      <w:r w:rsidR="00017144">
        <w:rPr>
          <w:i/>
          <w:iCs/>
          <w:lang w:val="fr-FR"/>
        </w:rPr>
        <w:t xml:space="preserve"> </w:t>
      </w:r>
      <w:r w:rsidR="007363E1">
        <w:rPr>
          <w:i/>
          <w:iCs/>
          <w:lang w:val="fr-FR"/>
        </w:rPr>
        <w:br/>
      </w:r>
      <w:r w:rsidRPr="007363E1">
        <w:rPr>
          <w:i/>
          <w:lang w:val="fr-FR"/>
        </w:rPr>
        <w:t>Tableau</w:t>
      </w:r>
      <w:r>
        <w:rPr>
          <w:i/>
          <w:iCs/>
          <w:lang w:val="fr-FR"/>
        </w:rPr>
        <w:t xml:space="preserve"> 5, note 3</w:t>
      </w:r>
      <w:r w:rsidRPr="00B86F48">
        <w:rPr>
          <w:iCs/>
          <w:lang w:val="fr-FR"/>
        </w:rPr>
        <w:t>,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lire</w:t>
      </w:r>
      <w:r w:rsidR="00017144">
        <w:rPr>
          <w:lang w:val="fr-FR"/>
        </w:rPr>
        <w:t> </w:t>
      </w:r>
      <w:r>
        <w:rPr>
          <w:lang w:val="fr-FR"/>
        </w:rPr>
        <w:t>:</w:t>
      </w:r>
    </w:p>
    <w:p w:rsidR="00D9464F" w:rsidRDefault="00D9464F" w:rsidP="007363E1">
      <w:pPr>
        <w:pStyle w:val="SingleTxtG"/>
        <w:ind w:left="2268" w:hanging="1134"/>
        <w:rPr>
          <w:sz w:val="18"/>
          <w:szCs w:val="18"/>
        </w:rPr>
      </w:pPr>
      <w:r>
        <w:rPr>
          <w:lang w:val="fr-FR"/>
        </w:rPr>
        <w:t>« 3.</w:t>
      </w:r>
      <w:r>
        <w:rPr>
          <w:lang w:val="fr-FR"/>
        </w:rPr>
        <w:tab/>
        <w:t xml:space="preserve">Les diamètres </w:t>
      </w:r>
      <w:proofErr w:type="gramStart"/>
      <w:r>
        <w:rPr>
          <w:lang w:val="fr-FR"/>
        </w:rPr>
        <w:t>hors</w:t>
      </w:r>
      <w:proofErr w:type="gramEnd"/>
      <w:r>
        <w:rPr>
          <w:lang w:val="fr-FR"/>
        </w:rPr>
        <w:t xml:space="preserve"> tout (D) figurant dans la colonne (*) concernent les pneumatiques portant le code de classification “I-3” − (voir par. </w:t>
      </w:r>
      <w:r w:rsidRPr="005B3BF3">
        <w:rPr>
          <w:lang w:val="fr-FR"/>
        </w:rPr>
        <w:t>3.1.</w:t>
      </w:r>
      <w:r w:rsidRPr="004978BF">
        <w:rPr>
          <w:bCs/>
          <w:lang w:val="fr-FR"/>
        </w:rPr>
        <w:t>10.1</w:t>
      </w:r>
      <w:r>
        <w:rPr>
          <w:lang w:val="fr-FR"/>
        </w:rPr>
        <w:t xml:space="preserve"> du présent Règlement). ».</w:t>
      </w:r>
    </w:p>
    <w:p w:rsidR="00D9464F" w:rsidRPr="00827F24" w:rsidRDefault="00D9464F" w:rsidP="007363E1">
      <w:pPr>
        <w:pStyle w:val="SingleTxtG"/>
      </w:pPr>
      <w:r w:rsidRPr="007363E1">
        <w:rPr>
          <w:i/>
          <w:lang w:val="fr-FR"/>
        </w:rPr>
        <w:t>Tableau</w:t>
      </w:r>
      <w:r>
        <w:rPr>
          <w:i/>
          <w:iCs/>
          <w:lang w:val="fr-FR"/>
        </w:rPr>
        <w:t xml:space="preserve"> 6, note 3</w:t>
      </w:r>
      <w:r w:rsidRPr="00B86F48">
        <w:rPr>
          <w:iCs/>
          <w:lang w:val="fr-FR"/>
        </w:rPr>
        <w:t>,</w:t>
      </w:r>
      <w:r>
        <w:rPr>
          <w:lang w:val="fr-FR"/>
        </w:rPr>
        <w:t xml:space="preserve"> lire :</w:t>
      </w:r>
    </w:p>
    <w:p w:rsidR="00D9464F" w:rsidRDefault="00D9464F" w:rsidP="007363E1">
      <w:pPr>
        <w:pStyle w:val="SingleTxtG"/>
        <w:ind w:left="2268" w:hanging="1134"/>
        <w:rPr>
          <w:sz w:val="18"/>
          <w:szCs w:val="18"/>
        </w:rPr>
      </w:pPr>
      <w:r>
        <w:rPr>
          <w:lang w:val="fr-FR"/>
        </w:rPr>
        <w:t>« 3.</w:t>
      </w:r>
      <w:r>
        <w:rPr>
          <w:lang w:val="fr-FR"/>
        </w:rPr>
        <w:tab/>
        <w:t xml:space="preserve">Les </w:t>
      </w:r>
      <w:r w:rsidRPr="007363E1">
        <w:rPr>
          <w:bCs/>
          <w:lang w:val="fr-FR"/>
        </w:rPr>
        <w:t>diamètres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hors</w:t>
      </w:r>
      <w:proofErr w:type="gramEnd"/>
      <w:r>
        <w:rPr>
          <w:lang w:val="fr-FR"/>
        </w:rPr>
        <w:t xml:space="preserve"> tout (D) figurant dans la colonne (*) concernent les pneumatiques portant le code de classification “I-3” − (voir </w:t>
      </w:r>
      <w:r w:rsidR="00017144">
        <w:rPr>
          <w:lang w:val="fr-FR"/>
        </w:rPr>
        <w:t>par. </w:t>
      </w:r>
      <w:r w:rsidRPr="005B3BF3">
        <w:rPr>
          <w:lang w:val="fr-FR"/>
        </w:rPr>
        <w:t>3.1</w:t>
      </w:r>
      <w:r>
        <w:rPr>
          <w:lang w:val="fr-FR"/>
        </w:rPr>
        <w:t>.</w:t>
      </w:r>
      <w:r w:rsidRPr="004978BF">
        <w:rPr>
          <w:bCs/>
          <w:lang w:val="fr-FR"/>
        </w:rPr>
        <w:t>10.1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du présent Règlement). ».</w:t>
      </w:r>
    </w:p>
    <w:p w:rsidR="00D9464F" w:rsidRDefault="00D9464F" w:rsidP="007363E1">
      <w:pPr>
        <w:pStyle w:val="SingleTxtG"/>
        <w:rPr>
          <w:lang w:val="fr-FR"/>
        </w:rPr>
      </w:pPr>
      <w:r w:rsidRPr="007363E1">
        <w:rPr>
          <w:i/>
          <w:lang w:val="fr-FR"/>
        </w:rPr>
        <w:t>Tableau</w:t>
      </w:r>
      <w:r>
        <w:rPr>
          <w:i/>
          <w:iCs/>
          <w:lang w:val="fr-FR"/>
        </w:rPr>
        <w:t xml:space="preserve"> 7 (3 de 4)</w:t>
      </w:r>
      <w:r>
        <w:rPr>
          <w:lang w:val="fr-FR"/>
        </w:rPr>
        <w:t>, lire :</w:t>
      </w:r>
    </w:p>
    <w:p w:rsidR="00121E5E" w:rsidRDefault="00121E5E" w:rsidP="007363E1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Style w:val="TableGrid"/>
        <w:tblW w:w="0" w:type="auto"/>
        <w:tblInd w:w="113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9464F" w:rsidTr="003A7333"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9464F" w:rsidRPr="0026329A" w:rsidRDefault="00D9464F" w:rsidP="00BB6EAA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26329A">
              <w:rPr>
                <w:i/>
                <w:iCs/>
                <w:sz w:val="16"/>
                <w:szCs w:val="16"/>
                <w:lang w:val="fr-FR"/>
              </w:rPr>
              <w:t>D</w:t>
            </w:r>
            <w:r>
              <w:rPr>
                <w:i/>
                <w:iCs/>
                <w:sz w:val="16"/>
                <w:szCs w:val="16"/>
                <w:lang w:val="fr-FR"/>
              </w:rPr>
              <w:t>ésignation</w:t>
            </w:r>
            <w:r w:rsidR="00017144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de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la dimension</w:t>
            </w:r>
            <w:r w:rsidR="00017144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du pneumatique</w:t>
            </w:r>
            <w:r w:rsidRPr="00121E5E">
              <w:rPr>
                <w:b/>
                <w:i/>
                <w:iCs/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9464F" w:rsidRPr="0026329A" w:rsidRDefault="00D9464F" w:rsidP="00BB6EA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26329A">
              <w:rPr>
                <w:i/>
                <w:iCs/>
                <w:sz w:val="16"/>
                <w:szCs w:val="16"/>
                <w:lang w:val="fr-FR"/>
              </w:rPr>
              <w:t>Code de la largeur théorique de la jante (A1)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9464F" w:rsidRPr="0026329A" w:rsidRDefault="00D9464F" w:rsidP="00BB6EAA">
            <w:pPr>
              <w:spacing w:before="80" w:after="80" w:line="200" w:lineRule="exact"/>
              <w:ind w:left="57" w:right="57"/>
              <w:jc w:val="center"/>
              <w:rPr>
                <w:i/>
                <w:w w:val="99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 xml:space="preserve">Grosseur nominale </w:t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du boudin (S1) (en mm)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9464F" w:rsidRPr="0026329A" w:rsidRDefault="00D9464F" w:rsidP="00BB6EAA">
            <w:pPr>
              <w:spacing w:before="80" w:after="80" w:line="200" w:lineRule="exact"/>
              <w:ind w:left="57" w:right="57"/>
              <w:jc w:val="center"/>
              <w:rPr>
                <w:i/>
                <w:w w:val="98"/>
                <w:sz w:val="16"/>
                <w:szCs w:val="16"/>
              </w:rPr>
            </w:pPr>
            <w:r w:rsidRPr="0026329A">
              <w:rPr>
                <w:i/>
                <w:iCs/>
                <w:sz w:val="16"/>
                <w:szCs w:val="16"/>
                <w:lang w:val="fr-FR"/>
              </w:rPr>
              <w:t>Diamètre hors tout (D) (en mm)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9464F" w:rsidRPr="0026329A" w:rsidRDefault="00D9464F" w:rsidP="00BB6EA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Diamètre nominal</w:t>
            </w:r>
            <w:r w:rsidR="00017144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de la jante (d) (en mm)</w:t>
            </w:r>
          </w:p>
        </w:tc>
      </w:tr>
      <w:tr w:rsidR="00D9464F" w:rsidTr="003A7333"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D9464F" w:rsidRPr="005C7CCC" w:rsidRDefault="00D9464F" w:rsidP="00956702">
            <w:pPr>
              <w:spacing w:before="60" w:after="60"/>
              <w:ind w:left="57" w:right="57"/>
            </w:pPr>
            <w:r>
              <w:rPr>
                <w:lang w:val="fr-FR"/>
              </w:rPr>
              <w:t>...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</w:tr>
      <w:tr w:rsidR="00D9464F" w:rsidTr="003A7333">
        <w:tc>
          <w:tcPr>
            <w:tcW w:w="1701" w:type="dxa"/>
            <w:vAlign w:val="bottom"/>
          </w:tcPr>
          <w:p w:rsidR="00D9464F" w:rsidRPr="005C7CCC" w:rsidRDefault="00D9464F" w:rsidP="00956702">
            <w:pPr>
              <w:spacing w:before="60" w:after="60"/>
              <w:ind w:left="57" w:right="57"/>
              <w:rPr>
                <w:i/>
                <w:u w:val="words"/>
              </w:rPr>
            </w:pPr>
            <w:r w:rsidRPr="00BB6EAA">
              <w:t>36x16</w:t>
            </w:r>
            <w:r>
              <w:rPr>
                <w:lang w:val="fr-FR"/>
              </w:rPr>
              <w:t xml:space="preserve">-17,5 </w:t>
            </w:r>
          </w:p>
        </w:tc>
        <w:tc>
          <w:tcPr>
            <w:tcW w:w="1701" w:type="dxa"/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10,5</w:t>
            </w:r>
          </w:p>
        </w:tc>
        <w:tc>
          <w:tcPr>
            <w:tcW w:w="1701" w:type="dxa"/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406</w:t>
            </w:r>
          </w:p>
        </w:tc>
        <w:tc>
          <w:tcPr>
            <w:tcW w:w="1701" w:type="dxa"/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914</w:t>
            </w:r>
          </w:p>
        </w:tc>
        <w:tc>
          <w:tcPr>
            <w:tcW w:w="1701" w:type="dxa"/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445</w:t>
            </w:r>
          </w:p>
        </w:tc>
      </w:tr>
      <w:tr w:rsidR="00D9464F" w:rsidTr="003A7333">
        <w:tc>
          <w:tcPr>
            <w:tcW w:w="1701" w:type="dxa"/>
            <w:vAlign w:val="bottom"/>
          </w:tcPr>
          <w:p w:rsidR="00D9464F" w:rsidRPr="005C7CCC" w:rsidRDefault="00D9464F" w:rsidP="00956702">
            <w:pPr>
              <w:spacing w:before="60" w:after="60"/>
              <w:ind w:left="57" w:right="57"/>
            </w:pPr>
            <w:r>
              <w:rPr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D9464F" w:rsidRPr="00BB6EAA" w:rsidRDefault="00D9464F" w:rsidP="00956702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</w:tr>
    </w:tbl>
    <w:p w:rsidR="00121E5E" w:rsidRDefault="00121E5E" w:rsidP="00121E5E">
      <w:pPr>
        <w:pStyle w:val="SingleTxtG"/>
        <w:spacing w:before="240"/>
        <w:ind w:right="0"/>
        <w:jc w:val="right"/>
        <w:rPr>
          <w:i/>
          <w:lang w:val="fr-FR"/>
        </w:rPr>
      </w:pPr>
      <w:r>
        <w:rPr>
          <w:lang w:val="fr-FR"/>
        </w:rPr>
        <w:t>».</w:t>
      </w:r>
      <w:r>
        <w:rPr>
          <w:i/>
          <w:lang w:val="fr-FR"/>
        </w:rPr>
        <w:t> </w:t>
      </w:r>
    </w:p>
    <w:p w:rsidR="00D9464F" w:rsidRDefault="00D9464F" w:rsidP="00121E5E">
      <w:pPr>
        <w:pStyle w:val="SingleTxtG"/>
        <w:keepNext/>
        <w:keepLines/>
        <w:spacing w:before="240"/>
        <w:rPr>
          <w:lang w:val="fr-FR"/>
        </w:rPr>
      </w:pPr>
      <w:r w:rsidRPr="00516367">
        <w:rPr>
          <w:i/>
          <w:lang w:val="fr-FR"/>
        </w:rPr>
        <w:lastRenderedPageBreak/>
        <w:t>Annexe 7, partie E</w:t>
      </w:r>
      <w:r w:rsidRPr="0026329A">
        <w:rPr>
          <w:lang w:val="fr-FR"/>
        </w:rPr>
        <w:t>,</w:t>
      </w:r>
      <w:r>
        <w:rPr>
          <w:lang w:val="fr-FR"/>
        </w:rPr>
        <w:t xml:space="preserve"> </w:t>
      </w:r>
      <w:r>
        <w:rPr>
          <w:i/>
          <w:lang w:val="fr-FR"/>
        </w:rPr>
        <w:t>tableau</w:t>
      </w:r>
      <w:r>
        <w:rPr>
          <w:lang w:val="fr-FR"/>
        </w:rPr>
        <w:t>, lire :</w:t>
      </w:r>
    </w:p>
    <w:p w:rsidR="00121E5E" w:rsidRDefault="00121E5E" w:rsidP="00121E5E">
      <w:pPr>
        <w:pStyle w:val="SingleTxtG"/>
        <w:keepNext/>
        <w:keepLines/>
        <w:rPr>
          <w:lang w:val="fr-FR"/>
        </w:rPr>
      </w:pPr>
      <w:r>
        <w:rPr>
          <w:lang w:val="fr-FR"/>
        </w:rPr>
        <w:t>« </w:t>
      </w:r>
    </w:p>
    <w:tbl>
      <w:tblPr>
        <w:tblW w:w="8586" w:type="dxa"/>
        <w:tblInd w:w="1134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8"/>
        <w:gridCol w:w="1418"/>
        <w:gridCol w:w="1499"/>
      </w:tblGrid>
      <w:tr w:rsidR="00D9464F" w:rsidRPr="00121E5E" w:rsidTr="003A7333">
        <w:trPr>
          <w:tblHeader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64F" w:rsidRPr="00121E5E" w:rsidRDefault="00D9464F" w:rsidP="00121E5E">
            <w:pPr>
              <w:keepNext/>
              <w:keepLines/>
              <w:spacing w:before="80" w:after="80" w:line="200" w:lineRule="exact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Vitesse (km/h)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4F" w:rsidRPr="00121E5E" w:rsidRDefault="00D9464F" w:rsidP="00121E5E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Symbole de catégorie de vitesse</w:t>
            </w:r>
          </w:p>
        </w:tc>
      </w:tr>
      <w:tr w:rsidR="00D9464F" w:rsidRPr="00121E5E" w:rsidTr="003A7333">
        <w:trPr>
          <w:tblHeader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4F" w:rsidRPr="00121E5E" w:rsidRDefault="00D9464F" w:rsidP="00121E5E">
            <w:pPr>
              <w:keepNext/>
              <w:keepLines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9464F" w:rsidRPr="00121E5E" w:rsidRDefault="00D9464F" w:rsidP="00121E5E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A2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64F" w:rsidRPr="00121E5E" w:rsidRDefault="00D9464F" w:rsidP="00121E5E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4F" w:rsidRPr="00121E5E" w:rsidRDefault="00D9464F" w:rsidP="00121E5E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bCs/>
                <w:i/>
                <w:iCs/>
                <w:sz w:val="16"/>
                <w:szCs w:val="16"/>
                <w:lang w:val="fr-FR"/>
              </w:rPr>
              <w:t>D</w:t>
            </w:r>
          </w:p>
        </w:tc>
      </w:tr>
      <w:tr w:rsidR="00D9464F" w:rsidRPr="00121E5E" w:rsidTr="00956702">
        <w:trPr>
          <w:tblHeader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4F" w:rsidRPr="00121E5E" w:rsidRDefault="00D9464F" w:rsidP="00121E5E">
            <w:pPr>
              <w:keepNext/>
              <w:keepLines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464F" w:rsidRPr="00121E5E" w:rsidRDefault="00D9464F" w:rsidP="00121E5E">
            <w:pPr>
              <w:keepNext/>
              <w:keepLines/>
              <w:rPr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464F" w:rsidRPr="00121E5E" w:rsidRDefault="00D9464F" w:rsidP="00121E5E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Charge constante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64F" w:rsidRPr="00121E5E" w:rsidRDefault="00D9464F" w:rsidP="00121E5E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Applications cycliques (+)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464F" w:rsidRPr="00121E5E" w:rsidRDefault="00D9464F" w:rsidP="00121E5E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bCs/>
                <w:i/>
                <w:iCs/>
                <w:sz w:val="16"/>
                <w:szCs w:val="16"/>
                <w:lang w:val="fr-FR"/>
              </w:rPr>
              <w:t xml:space="preserve">Charge </w:t>
            </w:r>
            <w:r w:rsidRPr="00121E5E">
              <w:rPr>
                <w:i/>
                <w:iCs/>
                <w:sz w:val="16"/>
                <w:szCs w:val="16"/>
                <w:lang w:val="fr-FR"/>
              </w:rPr>
              <w:t>constante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464F" w:rsidRPr="00121E5E" w:rsidRDefault="00D9464F" w:rsidP="00121E5E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Applications</w:t>
            </w:r>
            <w:r w:rsidRPr="00121E5E">
              <w:rPr>
                <w:bCs/>
                <w:i/>
                <w:iCs/>
                <w:sz w:val="16"/>
                <w:szCs w:val="16"/>
                <w:lang w:val="fr-FR"/>
              </w:rPr>
              <w:t xml:space="preserve"> cycliques </w:t>
            </w:r>
            <w:r w:rsidRPr="00121E5E">
              <w:rPr>
                <w:i/>
                <w:iCs/>
                <w:sz w:val="16"/>
                <w:szCs w:val="16"/>
                <w:lang w:val="fr-FR"/>
              </w:rPr>
              <w:t>(+)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121E5E">
            <w:pPr>
              <w:keepNext/>
              <w:keepLines/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121E5E">
            <w:pPr>
              <w:keepNext/>
              <w:keepLines/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121E5E">
            <w:pPr>
              <w:keepNext/>
              <w:keepLines/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121E5E">
            <w:pPr>
              <w:keepNext/>
              <w:keepLines/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+67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121E5E">
            <w:pPr>
              <w:keepNext/>
              <w:keepLines/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+67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121E5E">
            <w:pPr>
              <w:keepNext/>
              <w:keepLines/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+92 (1)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+50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+73 (2)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+54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+42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+28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+23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+19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+15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+12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+8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+5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+3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D9464F" w:rsidRPr="00121E5E" w:rsidTr="0095670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-9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4F" w:rsidRPr="00121E5E" w:rsidRDefault="00D9464F" w:rsidP="00956702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-9</w:t>
            </w:r>
          </w:p>
        </w:tc>
      </w:tr>
    </w:tbl>
    <w:p w:rsidR="00121E5E" w:rsidRDefault="00121E5E" w:rsidP="00121E5E">
      <w:pPr>
        <w:pStyle w:val="SingleTxtG"/>
        <w:spacing w:before="240"/>
        <w:ind w:right="0"/>
        <w:jc w:val="right"/>
        <w:rPr>
          <w:i/>
          <w:lang w:val="fr-FR"/>
        </w:rPr>
      </w:pPr>
      <w:r>
        <w:rPr>
          <w:lang w:val="fr-FR"/>
        </w:rPr>
        <w:t>».</w:t>
      </w:r>
      <w:r>
        <w:rPr>
          <w:i/>
          <w:lang w:val="fr-FR"/>
        </w:rPr>
        <w:t> </w:t>
      </w:r>
    </w:p>
    <w:p w:rsidR="00F9573C" w:rsidRPr="003A7333" w:rsidRDefault="003A7333" w:rsidP="003A733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3A7333" w:rsidSect="00D946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E8" w:rsidRDefault="00422FE8" w:rsidP="00F95C08">
      <w:pPr>
        <w:spacing w:line="240" w:lineRule="auto"/>
      </w:pPr>
    </w:p>
  </w:endnote>
  <w:endnote w:type="continuationSeparator" w:id="0">
    <w:p w:rsidR="00422FE8" w:rsidRPr="00AC3823" w:rsidRDefault="00422FE8" w:rsidP="00AC3823">
      <w:pPr>
        <w:pStyle w:val="Footer"/>
      </w:pPr>
    </w:p>
  </w:endnote>
  <w:endnote w:type="continuationNotice" w:id="1">
    <w:p w:rsidR="00422FE8" w:rsidRDefault="00422F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4F" w:rsidRPr="00D9464F" w:rsidRDefault="00D9464F" w:rsidP="00D9464F">
    <w:pPr>
      <w:pStyle w:val="Footer"/>
      <w:tabs>
        <w:tab w:val="right" w:pos="9638"/>
      </w:tabs>
    </w:pPr>
    <w:r w:rsidRPr="00D9464F">
      <w:rPr>
        <w:b/>
        <w:sz w:val="18"/>
      </w:rPr>
      <w:fldChar w:fldCharType="begin"/>
    </w:r>
    <w:r w:rsidRPr="00D9464F">
      <w:rPr>
        <w:b/>
        <w:sz w:val="18"/>
      </w:rPr>
      <w:instrText xml:space="preserve"> PAGE  \* MERGEFORMAT </w:instrText>
    </w:r>
    <w:r w:rsidRPr="00D9464F">
      <w:rPr>
        <w:b/>
        <w:sz w:val="18"/>
      </w:rPr>
      <w:fldChar w:fldCharType="separate"/>
    </w:r>
    <w:r w:rsidR="00E26042">
      <w:rPr>
        <w:b/>
        <w:noProof/>
        <w:sz w:val="18"/>
      </w:rPr>
      <w:t>2</w:t>
    </w:r>
    <w:r w:rsidRPr="00D9464F">
      <w:rPr>
        <w:b/>
        <w:sz w:val="18"/>
      </w:rPr>
      <w:fldChar w:fldCharType="end"/>
    </w:r>
    <w:r>
      <w:rPr>
        <w:b/>
        <w:sz w:val="18"/>
      </w:rPr>
      <w:tab/>
    </w:r>
    <w:r>
      <w:t>GE.18-22374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4F" w:rsidRPr="00D9464F" w:rsidRDefault="00D9464F" w:rsidP="00D9464F">
    <w:pPr>
      <w:pStyle w:val="Footer"/>
      <w:tabs>
        <w:tab w:val="right" w:pos="9638"/>
      </w:tabs>
      <w:rPr>
        <w:b/>
        <w:sz w:val="18"/>
      </w:rPr>
    </w:pPr>
    <w:r>
      <w:t>GE.18-22374</w:t>
    </w:r>
    <w:r>
      <w:tab/>
    </w:r>
    <w:r w:rsidRPr="00D9464F">
      <w:rPr>
        <w:b/>
        <w:sz w:val="18"/>
      </w:rPr>
      <w:fldChar w:fldCharType="begin"/>
    </w:r>
    <w:r w:rsidRPr="00D9464F">
      <w:rPr>
        <w:b/>
        <w:sz w:val="18"/>
      </w:rPr>
      <w:instrText xml:space="preserve"> PAGE  \* MERGEFORMAT </w:instrText>
    </w:r>
    <w:r w:rsidRPr="00D9464F">
      <w:rPr>
        <w:b/>
        <w:sz w:val="18"/>
      </w:rPr>
      <w:fldChar w:fldCharType="separate"/>
    </w:r>
    <w:r w:rsidR="001F1081">
      <w:rPr>
        <w:b/>
        <w:noProof/>
        <w:sz w:val="18"/>
      </w:rPr>
      <w:t>3</w:t>
    </w:r>
    <w:r w:rsidRPr="00D946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9464F" w:rsidRDefault="00D9464F" w:rsidP="00D9464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ja-JP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22374  (</w:t>
    </w:r>
    <w:proofErr w:type="gramEnd"/>
    <w:r>
      <w:rPr>
        <w:sz w:val="20"/>
      </w:rPr>
      <w:t>F)</w:t>
    </w:r>
    <w:r w:rsidR="003A7333">
      <w:rPr>
        <w:sz w:val="20"/>
      </w:rPr>
      <w:t xml:space="preserve">    150119    280119</w:t>
    </w:r>
    <w:r>
      <w:rPr>
        <w:sz w:val="20"/>
      </w:rPr>
      <w:br/>
    </w:r>
    <w:r w:rsidRPr="00D9464F">
      <w:rPr>
        <w:rFonts w:ascii="C39T30Lfz" w:hAnsi="C39T30Lfz"/>
        <w:sz w:val="56"/>
      </w:rPr>
      <w:t></w:t>
    </w:r>
    <w:r w:rsidRPr="00D9464F">
      <w:rPr>
        <w:rFonts w:ascii="C39T30Lfz" w:hAnsi="C39T30Lfz"/>
        <w:sz w:val="56"/>
      </w:rPr>
      <w:t></w:t>
    </w:r>
    <w:r w:rsidRPr="00D9464F">
      <w:rPr>
        <w:rFonts w:ascii="C39T30Lfz" w:hAnsi="C39T30Lfz"/>
        <w:sz w:val="56"/>
      </w:rPr>
      <w:t></w:t>
    </w:r>
    <w:r w:rsidRPr="00D9464F">
      <w:rPr>
        <w:rFonts w:ascii="C39T30Lfz" w:hAnsi="C39T30Lfz"/>
        <w:sz w:val="56"/>
      </w:rPr>
      <w:t></w:t>
    </w:r>
    <w:r w:rsidRPr="00D9464F">
      <w:rPr>
        <w:rFonts w:ascii="C39T30Lfz" w:hAnsi="C39T30Lfz"/>
        <w:sz w:val="56"/>
      </w:rPr>
      <w:t></w:t>
    </w:r>
    <w:r w:rsidRPr="00D9464F">
      <w:rPr>
        <w:rFonts w:ascii="C39T30Lfz" w:hAnsi="C39T30Lfz"/>
        <w:sz w:val="56"/>
      </w:rPr>
      <w:t></w:t>
    </w:r>
    <w:r w:rsidRPr="00D9464F">
      <w:rPr>
        <w:rFonts w:ascii="C39T30Lfz" w:hAnsi="C39T30Lfz"/>
        <w:sz w:val="56"/>
      </w:rPr>
      <w:t></w:t>
    </w:r>
    <w:r w:rsidRPr="00D9464F">
      <w:rPr>
        <w:rFonts w:ascii="C39T30Lfz" w:hAnsi="C39T30Lfz"/>
        <w:sz w:val="56"/>
      </w:rPr>
      <w:t></w:t>
    </w:r>
    <w:r w:rsidRPr="00D9464F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E8" w:rsidRPr="00AC3823" w:rsidRDefault="00422FE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2FE8" w:rsidRPr="00AC3823" w:rsidRDefault="00422FE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22FE8" w:rsidRPr="00AC3823" w:rsidRDefault="00422FE8">
      <w:pPr>
        <w:spacing w:line="240" w:lineRule="auto"/>
        <w:rPr>
          <w:sz w:val="2"/>
          <w:szCs w:val="2"/>
        </w:rPr>
      </w:pPr>
    </w:p>
  </w:footnote>
  <w:footnote w:id="2">
    <w:p w:rsidR="007363E1" w:rsidRPr="007363E1" w:rsidRDefault="007363E1">
      <w:pPr>
        <w:pStyle w:val="FootnoteText"/>
      </w:pPr>
      <w:r>
        <w:rPr>
          <w:rStyle w:val="FootnoteReference"/>
        </w:rPr>
        <w:tab/>
      </w:r>
      <w:r w:rsidRPr="007363E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intérieurs pour la période 2018-2019 (ECE/TRANS/274, </w:t>
      </w:r>
      <w:r w:rsidR="00017144">
        <w:rPr>
          <w:lang w:val="fr-FR"/>
        </w:rPr>
        <w:t>par.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4F" w:rsidRPr="00D9464F" w:rsidRDefault="00DE6F5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4F" w:rsidRPr="00D9464F" w:rsidRDefault="00DE6F5D" w:rsidP="00D9464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E8"/>
    <w:rsid w:val="00017144"/>
    <w:rsid w:val="00017F94"/>
    <w:rsid w:val="00023842"/>
    <w:rsid w:val="000334F9"/>
    <w:rsid w:val="00045FEB"/>
    <w:rsid w:val="0007796D"/>
    <w:rsid w:val="000B7790"/>
    <w:rsid w:val="00111F2F"/>
    <w:rsid w:val="00121E5E"/>
    <w:rsid w:val="001372FE"/>
    <w:rsid w:val="0014365E"/>
    <w:rsid w:val="00143C66"/>
    <w:rsid w:val="00167F69"/>
    <w:rsid w:val="00176178"/>
    <w:rsid w:val="001F1081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7333"/>
    <w:rsid w:val="00421996"/>
    <w:rsid w:val="00422FE8"/>
    <w:rsid w:val="00441C3B"/>
    <w:rsid w:val="00446FE5"/>
    <w:rsid w:val="00452396"/>
    <w:rsid w:val="004837D8"/>
    <w:rsid w:val="004E2EED"/>
    <w:rsid w:val="004E468C"/>
    <w:rsid w:val="004F1E17"/>
    <w:rsid w:val="005505B7"/>
    <w:rsid w:val="00573BE5"/>
    <w:rsid w:val="00586ED3"/>
    <w:rsid w:val="00596AA9"/>
    <w:rsid w:val="0071601D"/>
    <w:rsid w:val="007363E1"/>
    <w:rsid w:val="007A62E6"/>
    <w:rsid w:val="007F20FA"/>
    <w:rsid w:val="0080684C"/>
    <w:rsid w:val="00871C75"/>
    <w:rsid w:val="008776DC"/>
    <w:rsid w:val="009446C0"/>
    <w:rsid w:val="00956702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B6EAA"/>
    <w:rsid w:val="00C02897"/>
    <w:rsid w:val="00C67A8C"/>
    <w:rsid w:val="00C97039"/>
    <w:rsid w:val="00D3439C"/>
    <w:rsid w:val="00D9464F"/>
    <w:rsid w:val="00DB1831"/>
    <w:rsid w:val="00DD3BFD"/>
    <w:rsid w:val="00DE6F5D"/>
    <w:rsid w:val="00DF6678"/>
    <w:rsid w:val="00E0299A"/>
    <w:rsid w:val="00E26042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EF60D7-EE11-491F-A6C0-34C68EE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ECE/TRANS/WP.29/2019/5</vt:lpstr>
      <vt:lpstr>ECE/TRANS/WP.29/2019/5</vt:lpstr>
    </vt:vector>
  </TitlesOfParts>
  <Company>DCM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</dc:title>
  <dc:subject/>
  <dc:creator>Pascale BEYSARD</dc:creator>
  <cp:keywords/>
  <cp:lastModifiedBy>Marie-Claude Collet</cp:lastModifiedBy>
  <cp:revision>3</cp:revision>
  <cp:lastPrinted>2019-01-29T09:00:00Z</cp:lastPrinted>
  <dcterms:created xsi:type="dcterms:W3CDTF">2019-01-29T09:00:00Z</dcterms:created>
  <dcterms:modified xsi:type="dcterms:W3CDTF">2019-01-29T09:00:00Z</dcterms:modified>
</cp:coreProperties>
</file>