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00903929" w:rsidR="00E044BA" w:rsidRPr="00945015" w:rsidRDefault="00E044BA" w:rsidP="00355C59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355C59">
              <w:t>5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586DFB61" w:rsidR="00E044BA" w:rsidRPr="00A96F13" w:rsidRDefault="00621302" w:rsidP="00E044BA">
            <w:pPr>
              <w:spacing w:line="240" w:lineRule="exact"/>
            </w:pPr>
            <w:r>
              <w:t>20</w:t>
            </w:r>
            <w:r w:rsidR="00FD1CAC">
              <w:t xml:space="preserve"> </w:t>
            </w:r>
            <w:r w:rsidR="00110002">
              <w:t>December</w:t>
            </w:r>
            <w:r w:rsidR="00FD1CAC">
              <w:t xml:space="preserve"> 201</w:t>
            </w:r>
            <w:r w:rsidR="00110002">
              <w:t>8</w:t>
            </w:r>
            <w:bookmarkStart w:id="0" w:name="_GoBack"/>
            <w:bookmarkEnd w:id="0"/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D6F92C9" w14:textId="0FB0463D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FD1CAC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1C5F03AF" w14:textId="4E3D00B5"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FD1CAC">
        <w:rPr>
          <w:lang w:val="en-US"/>
        </w:rPr>
        <w:t>2</w:t>
      </w:r>
      <w:r>
        <w:rPr>
          <w:lang w:val="en-US"/>
        </w:rPr>
        <w:t>-1</w:t>
      </w:r>
      <w:r w:rsidR="00FD1CAC">
        <w:rPr>
          <w:lang w:val="en-US"/>
        </w:rPr>
        <w:t>5</w:t>
      </w:r>
      <w:r>
        <w:rPr>
          <w:lang w:val="en-US"/>
        </w:rPr>
        <w:t xml:space="preserve"> </w:t>
      </w:r>
      <w:r w:rsidR="00FD1CAC">
        <w:rPr>
          <w:lang w:val="en-US"/>
        </w:rPr>
        <w:t>Mar</w:t>
      </w:r>
      <w:r w:rsidR="00991329">
        <w:rPr>
          <w:lang w:val="en-US"/>
        </w:rPr>
        <w:t>ch</w:t>
      </w:r>
      <w:r>
        <w:rPr>
          <w:lang w:val="en-US"/>
        </w:rPr>
        <w:t xml:space="preserve"> </w:t>
      </w:r>
      <w:r w:rsidR="00FD1CAC">
        <w:rPr>
          <w:lang w:val="en-US"/>
        </w:rPr>
        <w:t>2019</w:t>
      </w:r>
    </w:p>
    <w:p w14:paraId="041D222D" w14:textId="2F63A68A" w:rsidR="008405E4" w:rsidRDefault="008405E4" w:rsidP="008405E4">
      <w:r>
        <w:t>Item 4.</w:t>
      </w:r>
      <w:r w:rsidR="00621302">
        <w:t>6</w:t>
      </w:r>
      <w:r w:rsidR="00FA29E2">
        <w:t>.</w:t>
      </w:r>
      <w:r w:rsidR="00355C59">
        <w:t>3</w:t>
      </w:r>
      <w:r>
        <w:t xml:space="preserve"> of the provisional agenda</w:t>
      </w:r>
    </w:p>
    <w:p w14:paraId="6CB4C467" w14:textId="49AA8639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</w:t>
      </w:r>
      <w:r w:rsidR="00621302">
        <w:rPr>
          <w:b/>
        </w:rPr>
        <w:t>BP</w:t>
      </w:r>
      <w:r w:rsidRPr="008405E4">
        <w:rPr>
          <w:b/>
        </w:rPr>
        <w:t xml:space="preserve"> </w:t>
      </w:r>
    </w:p>
    <w:p w14:paraId="6DDF9C20" w14:textId="259CBC63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355C59" w:rsidRPr="00355C59">
        <w:t>Proposal for Supplement 17 to the original series of amendments to UN Regulation No. 106 (Tyres for agricultur</w:t>
      </w:r>
      <w:r w:rsidR="00E77D18">
        <w:t>al vehicles and their trailers)</w:t>
      </w:r>
    </w:p>
    <w:p w14:paraId="36756971" w14:textId="184F82E0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 xml:space="preserve">n </w:t>
      </w:r>
      <w:r w:rsidR="00621302">
        <w:rPr>
          <w:szCs w:val="24"/>
        </w:rPr>
        <w:t>Noise and Tyres</w:t>
      </w:r>
      <w:r w:rsidRPr="00EE6EC6">
        <w:rPr>
          <w:b w:val="0"/>
          <w:bCs/>
          <w:sz w:val="20"/>
        </w:rPr>
        <w:footnoteReference w:customMarkFollows="1" w:id="2"/>
        <w:t>*</w:t>
      </w:r>
    </w:p>
    <w:p w14:paraId="515AEA98" w14:textId="1D6DBC30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621302">
        <w:rPr>
          <w:lang w:val="en-US"/>
        </w:rPr>
        <w:t xml:space="preserve">Noise and </w:t>
      </w:r>
      <w:proofErr w:type="spellStart"/>
      <w:r w:rsidR="00621302">
        <w:rPr>
          <w:lang w:val="en-US"/>
        </w:rPr>
        <w:t>Tyres</w:t>
      </w:r>
      <w:proofErr w:type="spellEnd"/>
      <w:r w:rsidR="00621302"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621302">
        <w:rPr>
          <w:lang w:val="en-US"/>
        </w:rPr>
        <w:t>BP</w:t>
      </w:r>
      <w:r w:rsidRPr="008405E4">
        <w:rPr>
          <w:lang w:val="en-US"/>
        </w:rPr>
        <w:t xml:space="preserve">) at its </w:t>
      </w:r>
      <w:r w:rsidR="00621302">
        <w:rPr>
          <w:lang w:val="en-US"/>
        </w:rPr>
        <w:t xml:space="preserve">sixty-eighth </w:t>
      </w:r>
      <w:r w:rsidRPr="008405E4">
        <w:rPr>
          <w:lang w:val="en-US"/>
        </w:rPr>
        <w:t>session (ECE/TRANS/WP.29/GR</w:t>
      </w:r>
      <w:r w:rsidR="00621302">
        <w:rPr>
          <w:lang w:val="en-US"/>
        </w:rPr>
        <w:t>B</w:t>
      </w:r>
      <w:r w:rsidRPr="008405E4">
        <w:rPr>
          <w:lang w:val="en-US"/>
        </w:rPr>
        <w:t>/</w:t>
      </w:r>
      <w:r w:rsidR="00621302">
        <w:rPr>
          <w:lang w:val="en-US"/>
        </w:rPr>
        <w:t>66</w:t>
      </w:r>
      <w:r w:rsidRPr="008405E4">
        <w:rPr>
          <w:lang w:val="en-US"/>
        </w:rPr>
        <w:t>, para.</w:t>
      </w:r>
      <w:r w:rsidR="00FD1CAC">
        <w:rPr>
          <w:lang w:val="en-US"/>
        </w:rPr>
        <w:t> </w:t>
      </w:r>
      <w:r w:rsidR="00355C59">
        <w:rPr>
          <w:lang w:val="en-US"/>
        </w:rPr>
        <w:t>29</w:t>
      </w:r>
      <w:r w:rsidR="00621302">
        <w:rPr>
          <w:lang w:val="en-US"/>
        </w:rPr>
        <w:t>)</w:t>
      </w:r>
      <w:r w:rsidRPr="008405E4">
        <w:rPr>
          <w:lang w:val="en-US"/>
        </w:rPr>
        <w:t xml:space="preserve">. It is based on </w:t>
      </w:r>
      <w:r w:rsidR="00256034" w:rsidRPr="00256034">
        <w:rPr>
          <w:lang w:val="en-US"/>
        </w:rPr>
        <w:t>ECE/TRANS/WP.29/GR</w:t>
      </w:r>
      <w:r w:rsidR="00355C59">
        <w:rPr>
          <w:lang w:val="en-US"/>
        </w:rPr>
        <w:t>VA/</w:t>
      </w:r>
      <w:r w:rsidR="00256034">
        <w:rPr>
          <w:lang w:val="en-US"/>
        </w:rPr>
        <w:t>201</w:t>
      </w:r>
      <w:r w:rsidR="00F207EA">
        <w:rPr>
          <w:lang w:val="en-US"/>
        </w:rPr>
        <w:t>8</w:t>
      </w:r>
      <w:r w:rsidR="00256034">
        <w:rPr>
          <w:lang w:val="en-US"/>
        </w:rPr>
        <w:t>/</w:t>
      </w:r>
      <w:r w:rsidR="00355C59">
        <w:rPr>
          <w:lang w:val="en-US"/>
        </w:rPr>
        <w:t>8</w:t>
      </w:r>
      <w:r w:rsidR="00991329">
        <w:rPr>
          <w:lang w:val="en-US"/>
        </w:rPr>
        <w:t xml:space="preserve">, </w:t>
      </w:r>
      <w:r w:rsidR="00FC2CE1">
        <w:rPr>
          <w:lang w:val="en-US"/>
        </w:rPr>
        <w:t xml:space="preserve">as amended by para. </w:t>
      </w:r>
      <w:r w:rsidR="00355C59">
        <w:rPr>
          <w:lang w:val="en-US"/>
        </w:rPr>
        <w:t>29</w:t>
      </w:r>
      <w:r w:rsidR="00FC2CE1">
        <w:rPr>
          <w:lang w:val="en-US"/>
        </w:rPr>
        <w:t xml:space="preserve"> of the report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 w:rsidR="0082060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820604"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04B9CE2E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355C59" w:rsidRPr="00355C59">
        <w:t>Supplement 17 to the original series of amendments to UN Regulation No. 106 (Tyres for agricultural vehicles and their trailers)</w:t>
      </w:r>
    </w:p>
    <w:bookmarkEnd w:id="2"/>
    <w:p w14:paraId="3FB1665B" w14:textId="77777777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Cs/>
        </w:rPr>
      </w:pPr>
      <w:r w:rsidRPr="00827F24">
        <w:rPr>
          <w:rFonts w:eastAsiaTheme="minorHAnsi"/>
          <w:bCs/>
          <w:i/>
          <w:iCs/>
        </w:rPr>
        <w:t>Paragraph 1.</w:t>
      </w:r>
      <w:r>
        <w:rPr>
          <w:rFonts w:eastAsiaTheme="minorHAnsi"/>
          <w:bCs/>
        </w:rPr>
        <w:t>, amend to read:</w:t>
      </w:r>
    </w:p>
    <w:p w14:paraId="3B609C54" w14:textId="2B18E50B" w:rsidR="00336395" w:rsidRP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 w:rsidRPr="00336395">
        <w:rPr>
          <w:rFonts w:eastAsiaTheme="minorHAnsi"/>
        </w:rPr>
        <w:t>"1.</w:t>
      </w:r>
      <w:r w:rsidRPr="00336395">
        <w:rPr>
          <w:rFonts w:eastAsiaTheme="minorHAnsi"/>
        </w:rPr>
        <w:tab/>
        <w:t>Scope</w:t>
      </w:r>
      <w:r w:rsidRPr="00336395">
        <w:rPr>
          <w:rFonts w:eastAsiaTheme="minorHAnsi"/>
        </w:rPr>
        <w:tab/>
      </w:r>
    </w:p>
    <w:p w14:paraId="045A250D" w14:textId="71391C65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1.1.</w:t>
      </w:r>
      <w:r w:rsidR="00336395" w:rsidRPr="00336395">
        <w:rPr>
          <w:bCs/>
        </w:rPr>
        <w:tab/>
        <w:t>This UN Regulation applies to new pneumatic tyres* designed primarily, but not only, for agricultural and forestry vehicles</w:t>
      </w:r>
      <w:r w:rsidR="00336395" w:rsidRPr="00336395">
        <w:rPr>
          <w:bCs/>
          <w:i/>
        </w:rPr>
        <w:t xml:space="preserve"> </w:t>
      </w:r>
      <w:r w:rsidR="00336395" w:rsidRPr="00336395">
        <w:rPr>
          <w:bCs/>
        </w:rPr>
        <w:t>in categories T, R and S</w:t>
      </w:r>
      <w:r w:rsidR="00336395" w:rsidRPr="00336395">
        <w:rPr>
          <w:bCs/>
          <w:vertAlign w:val="superscript"/>
        </w:rPr>
        <w:t>1</w:t>
      </w:r>
      <w:r w:rsidR="00336395" w:rsidRPr="00336395">
        <w:rPr>
          <w:bCs/>
        </w:rPr>
        <w:t xml:space="preserve">. </w:t>
      </w:r>
    </w:p>
    <w:p w14:paraId="114C11BB" w14:textId="15C56FA1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1.2.</w:t>
      </w:r>
      <w:r w:rsidR="00336395" w:rsidRPr="00336395">
        <w:rPr>
          <w:bCs/>
        </w:rPr>
        <w:tab/>
        <w:t xml:space="preserve">This UN Regulation does not apply to the following tyres: </w:t>
      </w:r>
    </w:p>
    <w:p w14:paraId="2E50FAA4" w14:textId="1D5CA691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1.2.1.</w:t>
      </w:r>
      <w:r w:rsidR="00336395" w:rsidRPr="00336395">
        <w:rPr>
          <w:bCs/>
        </w:rPr>
        <w:tab/>
        <w:t>Tyres identified by speed category symbols corresponding to speeds higher than 65 km/h (i.e. speed category symbols higher than "D").</w:t>
      </w:r>
    </w:p>
    <w:p w14:paraId="73AC38E5" w14:textId="77777777" w:rsidR="00336395" w:rsidRPr="00336395" w:rsidRDefault="00336395" w:rsidP="00336395">
      <w:pPr>
        <w:pStyle w:val="para"/>
        <w:rPr>
          <w:bCs/>
        </w:rPr>
      </w:pPr>
      <w:r w:rsidRPr="00336395">
        <w:rPr>
          <w:bCs/>
        </w:rPr>
        <w:t>1.2.2.</w:t>
      </w:r>
      <w:r w:rsidRPr="00336395">
        <w:rPr>
          <w:bCs/>
        </w:rPr>
        <w:tab/>
        <w:t>Tyres designated primarily for other purposes, such as:</w:t>
      </w:r>
    </w:p>
    <w:p w14:paraId="310FA8CC" w14:textId="6165D3A4" w:rsidR="00336395" w:rsidRPr="00336395" w:rsidRDefault="00336395" w:rsidP="00336395">
      <w:pPr>
        <w:pStyle w:val="a"/>
        <w:ind w:left="2268" w:firstLine="0"/>
        <w:rPr>
          <w:bCs/>
        </w:rPr>
      </w:pPr>
      <w:r w:rsidRPr="00336395">
        <w:rPr>
          <w:bCs/>
        </w:rPr>
        <w:t>a)</w:t>
      </w:r>
      <w:r w:rsidRPr="00336395">
        <w:rPr>
          <w:bCs/>
        </w:rPr>
        <w:tab/>
        <w:t>Earth-moving equipment;</w:t>
      </w:r>
    </w:p>
    <w:p w14:paraId="40CB5A79" w14:textId="198BB3D0" w:rsidR="00336395" w:rsidRPr="00336395" w:rsidRDefault="00336395" w:rsidP="00336395">
      <w:pPr>
        <w:pStyle w:val="a"/>
        <w:ind w:left="2268" w:firstLine="0"/>
      </w:pPr>
      <w:r w:rsidRPr="00336395">
        <w:rPr>
          <w:bCs/>
        </w:rPr>
        <w:t>b)</w:t>
      </w:r>
      <w:r w:rsidRPr="00336395">
        <w:rPr>
          <w:bCs/>
        </w:rPr>
        <w:tab/>
        <w:t>Industrial and lift trucks.</w:t>
      </w:r>
      <w:r w:rsidRPr="00336395">
        <w:t>"</w:t>
      </w:r>
    </w:p>
    <w:p w14:paraId="545AAEEB" w14:textId="192E86B5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iCs/>
        </w:rPr>
      </w:pPr>
      <w:r w:rsidRPr="005C7CCC">
        <w:rPr>
          <w:i/>
        </w:rPr>
        <w:t>Paragraph 3.1.9.2.</w:t>
      </w:r>
      <w:r>
        <w:rPr>
          <w:i/>
        </w:rPr>
        <w:t xml:space="preserve"> (former), </w:t>
      </w:r>
      <w:r w:rsidRPr="00827F24">
        <w:rPr>
          <w:iCs/>
        </w:rPr>
        <w:t>renumber</w:t>
      </w:r>
      <w:r>
        <w:rPr>
          <w:iCs/>
        </w:rPr>
        <w:t xml:space="preserve"> as </w:t>
      </w:r>
      <w:r w:rsidRPr="00336395">
        <w:rPr>
          <w:iCs/>
        </w:rPr>
        <w:t>3.1.10.1.</w:t>
      </w:r>
      <w:r w:rsidRPr="00827F24">
        <w:rPr>
          <w:iCs/>
        </w:rPr>
        <w:t xml:space="preserve"> and amend to read:</w:t>
      </w:r>
    </w:p>
    <w:p w14:paraId="35F55AD8" w14:textId="386A6628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5C7CCC">
        <w:t>3.1.</w:t>
      </w:r>
      <w:r w:rsidRPr="00336395">
        <w:t>10.1</w:t>
      </w:r>
      <w:r w:rsidRPr="005C7CCC">
        <w:rPr>
          <w:b/>
        </w:rPr>
        <w:t>.</w:t>
      </w:r>
      <w:r w:rsidRPr="005C7CCC">
        <w:tab/>
        <w:t>The inscription 'I-3' for implement tyres with traction tread as identif</w:t>
      </w:r>
      <w:r>
        <w:t>ied in Annex 5, Tables 5 and 6."</w:t>
      </w:r>
    </w:p>
    <w:p w14:paraId="28F28068" w14:textId="77777777" w:rsidR="00336395" w:rsidRDefault="00336395" w:rsidP="00336395">
      <w:pPr>
        <w:spacing w:after="120"/>
        <w:ind w:left="1120"/>
        <w:rPr>
          <w:i/>
          <w:iCs/>
        </w:rPr>
      </w:pPr>
      <w:r w:rsidRPr="005C7CCC">
        <w:rPr>
          <w:i/>
          <w:iCs/>
        </w:rPr>
        <w:t xml:space="preserve">Annex 5, </w:t>
      </w:r>
    </w:p>
    <w:p w14:paraId="20AAD268" w14:textId="7A34E786" w:rsidR="00336395" w:rsidRPr="005C7CCC" w:rsidRDefault="00336395" w:rsidP="00336395">
      <w:pPr>
        <w:spacing w:after="120"/>
        <w:ind w:left="1120"/>
        <w:rPr>
          <w:i/>
        </w:rPr>
      </w:pPr>
      <w:r w:rsidRPr="005C7CCC">
        <w:rPr>
          <w:i/>
          <w:iCs/>
        </w:rPr>
        <w:t>Table 5</w:t>
      </w:r>
      <w:r w:rsidRPr="005C7CCC">
        <w:rPr>
          <w:i/>
        </w:rPr>
        <w:t xml:space="preserve">, </w:t>
      </w:r>
      <w:r>
        <w:rPr>
          <w:i/>
        </w:rPr>
        <w:t>N</w:t>
      </w:r>
      <w:r w:rsidRPr="005C7CCC">
        <w:rPr>
          <w:i/>
        </w:rPr>
        <w:t>ote 3</w:t>
      </w:r>
      <w:r>
        <w:rPr>
          <w:i/>
        </w:rPr>
        <w:t xml:space="preserve">, </w:t>
      </w:r>
      <w:r w:rsidRPr="00827F24">
        <w:rPr>
          <w:iCs/>
        </w:rPr>
        <w:t>amend to read:</w:t>
      </w:r>
    </w:p>
    <w:p w14:paraId="5456B3A0" w14:textId="6A023DA8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Pr="005C7CCC">
        <w:rPr>
          <w:sz w:val="18"/>
          <w:szCs w:val="18"/>
        </w:rPr>
        <w:t>3.</w:t>
      </w:r>
      <w:r w:rsidRPr="005C7CCC">
        <w:rPr>
          <w:sz w:val="18"/>
          <w:szCs w:val="18"/>
        </w:rPr>
        <w:tab/>
        <w:t>Overall diameters (D) in column (*) apply to tyres marked with classification code "I-3" – see paragraph 3.1.</w:t>
      </w:r>
      <w:r w:rsidRPr="00336395">
        <w:rPr>
          <w:sz w:val="18"/>
          <w:szCs w:val="18"/>
        </w:rPr>
        <w:t>10.1.</w:t>
      </w:r>
      <w:r w:rsidRPr="005C7CCC">
        <w:rPr>
          <w:sz w:val="18"/>
          <w:szCs w:val="18"/>
        </w:rPr>
        <w:t xml:space="preserve"> of this Regulation.</w:t>
      </w:r>
      <w:r>
        <w:rPr>
          <w:sz w:val="18"/>
          <w:szCs w:val="18"/>
        </w:rPr>
        <w:t>"</w:t>
      </w:r>
    </w:p>
    <w:p w14:paraId="5AA30666" w14:textId="77777777" w:rsidR="00336395" w:rsidRDefault="00336395" w:rsidP="00336395">
      <w:pPr>
        <w:spacing w:after="120"/>
        <w:ind w:left="1120"/>
        <w:rPr>
          <w:i/>
          <w:iCs/>
        </w:rPr>
      </w:pPr>
      <w:r w:rsidRPr="005C7CCC">
        <w:rPr>
          <w:i/>
          <w:iCs/>
        </w:rPr>
        <w:t xml:space="preserve">Annex 5, </w:t>
      </w:r>
    </w:p>
    <w:p w14:paraId="1D35E4C8" w14:textId="3B3967AC" w:rsidR="00336395" w:rsidRPr="00827F24" w:rsidRDefault="00336395" w:rsidP="00336395">
      <w:pPr>
        <w:spacing w:after="120"/>
        <w:ind w:left="1120"/>
      </w:pPr>
      <w:r w:rsidRPr="005C7CCC">
        <w:rPr>
          <w:i/>
          <w:iCs/>
        </w:rPr>
        <w:t>Table 6</w:t>
      </w:r>
      <w:r w:rsidRPr="001F773E">
        <w:rPr>
          <w:i/>
          <w:iCs/>
        </w:rPr>
        <w:t xml:space="preserve">, </w:t>
      </w:r>
      <w:r>
        <w:rPr>
          <w:i/>
          <w:iCs/>
        </w:rPr>
        <w:t>N</w:t>
      </w:r>
      <w:r w:rsidRPr="001F773E">
        <w:rPr>
          <w:i/>
          <w:iCs/>
        </w:rPr>
        <w:t>ote 3</w:t>
      </w:r>
      <w:r>
        <w:rPr>
          <w:i/>
          <w:iCs/>
        </w:rPr>
        <w:t>,</w:t>
      </w:r>
      <w:r w:rsidRPr="00827F24">
        <w:t xml:space="preserve"> amend to read:</w:t>
      </w:r>
    </w:p>
    <w:p w14:paraId="37969676" w14:textId="0019362B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Pr="005C7CCC">
        <w:rPr>
          <w:sz w:val="18"/>
          <w:szCs w:val="18"/>
        </w:rPr>
        <w:t>3.</w:t>
      </w:r>
      <w:r w:rsidRPr="005C7CCC">
        <w:rPr>
          <w:sz w:val="18"/>
          <w:szCs w:val="18"/>
        </w:rPr>
        <w:tab/>
        <w:t>Overall diameters (D) in column (*) apply to tyres marked with classification code "I-3" – see paragraph 3.1.</w:t>
      </w:r>
      <w:r w:rsidRPr="00336395">
        <w:rPr>
          <w:sz w:val="18"/>
          <w:szCs w:val="18"/>
        </w:rPr>
        <w:t xml:space="preserve">10.1. </w:t>
      </w:r>
      <w:r>
        <w:rPr>
          <w:sz w:val="18"/>
          <w:szCs w:val="18"/>
        </w:rPr>
        <w:t>of this Regulation."</w:t>
      </w:r>
    </w:p>
    <w:p w14:paraId="244B0B8D" w14:textId="3B1F1C22" w:rsidR="00336395" w:rsidRPr="00E77D18" w:rsidRDefault="00E77D18" w:rsidP="00336395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  <w:iCs/>
        </w:rPr>
        <w:t>Annex 5,</w:t>
      </w:r>
    </w:p>
    <w:p w14:paraId="2717037C" w14:textId="6E06E06F" w:rsidR="00336395" w:rsidRDefault="00336395" w:rsidP="00336395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1F773E">
        <w:rPr>
          <w:i/>
          <w:iCs/>
        </w:rPr>
        <w:t>Table 7 (3 of 4),</w:t>
      </w:r>
      <w:r w:rsidRPr="00827F24">
        <w:t xml:space="preserve"> amend to read:</w:t>
      </w:r>
    </w:p>
    <w:tbl>
      <w:tblPr>
        <w:tblW w:w="8360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780"/>
        <w:gridCol w:w="1600"/>
        <w:gridCol w:w="1620"/>
        <w:gridCol w:w="1440"/>
      </w:tblGrid>
      <w:tr w:rsidR="00336395" w:rsidRPr="005C7CCC" w14:paraId="6E0B3A71" w14:textId="77777777" w:rsidTr="00AD4D6D">
        <w:trPr>
          <w:trHeight w:val="284"/>
        </w:trPr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D84FD" w14:textId="77777777" w:rsidR="00336395" w:rsidRPr="005C7CCC" w:rsidRDefault="00336395" w:rsidP="00AD4D6D">
            <w:pPr>
              <w:ind w:left="120"/>
              <w:rPr>
                <w:i/>
              </w:rPr>
            </w:pPr>
            <w:r w:rsidRPr="005C7CCC">
              <w:rPr>
                <w:i/>
              </w:rPr>
              <w:t>Tyre size</w:t>
            </w:r>
          </w:p>
          <w:p w14:paraId="0B13A8B1" w14:textId="77777777" w:rsidR="00336395" w:rsidRPr="005C7CCC" w:rsidRDefault="00336395" w:rsidP="00AD4D6D">
            <w:pPr>
              <w:ind w:left="120"/>
              <w:rPr>
                <w:i/>
              </w:rPr>
            </w:pPr>
            <w:r w:rsidRPr="005C7CCC">
              <w:rPr>
                <w:i/>
              </w:rPr>
              <w:t>designation</w:t>
            </w:r>
            <w:r w:rsidRPr="005C7CCC">
              <w:rPr>
                <w:b/>
                <w:i/>
                <w:vertAlign w:val="superscript"/>
              </w:rPr>
              <w:t>5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3B4C6B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Theoretical</w:t>
            </w:r>
          </w:p>
          <w:p w14:paraId="59EF6E99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rim width</w:t>
            </w:r>
          </w:p>
          <w:p w14:paraId="5172D998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code (A1)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127948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  <w:w w:val="99"/>
              </w:rPr>
              <w:t>Nominal section</w:t>
            </w:r>
          </w:p>
          <w:p w14:paraId="65C3898F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  <w:w w:val="99"/>
              </w:rPr>
              <w:t>width (S1)</w:t>
            </w:r>
          </w:p>
          <w:p w14:paraId="19811AF4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</w:rPr>
              <w:t>(mm)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F3BA9E" w14:textId="77777777" w:rsidR="00336395" w:rsidRPr="005C7CCC" w:rsidRDefault="00336395" w:rsidP="00AD4D6D">
            <w:pPr>
              <w:jc w:val="center"/>
              <w:rPr>
                <w:i/>
                <w:w w:val="98"/>
              </w:rPr>
            </w:pPr>
            <w:r w:rsidRPr="005C7CCC">
              <w:rPr>
                <w:i/>
                <w:w w:val="98"/>
              </w:rPr>
              <w:t>Overall</w:t>
            </w:r>
          </w:p>
          <w:p w14:paraId="094AE6D0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diameter (D)</w:t>
            </w:r>
          </w:p>
          <w:p w14:paraId="198581DF" w14:textId="77777777" w:rsidR="00336395" w:rsidRPr="005C7CCC" w:rsidRDefault="00336395" w:rsidP="00AD4D6D">
            <w:pPr>
              <w:jc w:val="center"/>
              <w:rPr>
                <w:i/>
                <w:w w:val="98"/>
              </w:rPr>
            </w:pPr>
            <w:r w:rsidRPr="005C7CCC">
              <w:rPr>
                <w:i/>
              </w:rPr>
              <w:t>(mm)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D4065A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Nominal rim</w:t>
            </w:r>
          </w:p>
          <w:p w14:paraId="2E048955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diameter (d)</w:t>
            </w:r>
          </w:p>
          <w:p w14:paraId="7F154529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(mm)</w:t>
            </w:r>
          </w:p>
        </w:tc>
      </w:tr>
      <w:tr w:rsidR="00336395" w:rsidRPr="005C7CCC" w14:paraId="3F9743EC" w14:textId="77777777" w:rsidTr="00AD4D6D">
        <w:trPr>
          <w:trHeight w:val="284"/>
        </w:trPr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CDE754" w14:textId="77777777" w:rsidR="00336395" w:rsidRPr="005C7CCC" w:rsidRDefault="00336395" w:rsidP="00AD4D6D">
            <w:pPr>
              <w:spacing w:line="0" w:lineRule="atLeast"/>
              <w:ind w:left="120"/>
            </w:pPr>
            <w:r w:rsidRPr="005C7CCC">
              <w:t>...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30591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D7479D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E30D9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8DB64C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</w:tr>
      <w:tr w:rsidR="00336395" w:rsidRPr="005C7CCC" w14:paraId="0B33B5FB" w14:textId="77777777" w:rsidTr="00AD4D6D">
        <w:trPr>
          <w:trHeight w:val="284"/>
        </w:trPr>
        <w:tc>
          <w:tcPr>
            <w:tcW w:w="1920" w:type="dxa"/>
            <w:shd w:val="clear" w:color="auto" w:fill="auto"/>
            <w:vAlign w:val="bottom"/>
          </w:tcPr>
          <w:p w14:paraId="2915850F" w14:textId="1153124C" w:rsidR="00336395" w:rsidRPr="005C7CCC" w:rsidRDefault="00336395" w:rsidP="00AD4D6D">
            <w:pPr>
              <w:spacing w:line="0" w:lineRule="atLeast"/>
              <w:ind w:left="120"/>
              <w:rPr>
                <w:i/>
                <w:u w:val="words"/>
              </w:rPr>
            </w:pPr>
            <w:r w:rsidRPr="00336395">
              <w:t>36</w:t>
            </w:r>
            <w:r w:rsidRPr="005C7CCC">
              <w:t xml:space="preserve">x16-17.5 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99E5F80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10.5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BC27D2E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406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4912B8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914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6001D8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445</w:t>
            </w:r>
          </w:p>
        </w:tc>
      </w:tr>
      <w:tr w:rsidR="00336395" w:rsidRPr="005C7CCC" w14:paraId="093BBD1B" w14:textId="77777777" w:rsidTr="00AD4D6D">
        <w:trPr>
          <w:trHeight w:val="284"/>
        </w:trPr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D9110F" w14:textId="77777777" w:rsidR="00336395" w:rsidRPr="005C7CCC" w:rsidRDefault="00336395" w:rsidP="00AD4D6D">
            <w:pPr>
              <w:spacing w:line="0" w:lineRule="atLeast"/>
              <w:ind w:left="120"/>
            </w:pPr>
            <w:r w:rsidRPr="005C7CCC">
              <w:t>...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705319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30E071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1F1A5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2DD96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</w:tr>
    </w:tbl>
    <w:p w14:paraId="53D260CA" w14:textId="73EE1D1C" w:rsidR="00336395" w:rsidRDefault="00336395" w:rsidP="00336395">
      <w:pPr>
        <w:pageBreakBefore/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</w:pPr>
      <w:r w:rsidRPr="001F773E">
        <w:rPr>
          <w:i/>
          <w:iCs/>
        </w:rPr>
        <w:lastRenderedPageBreak/>
        <w:t>Annex 7, Part E,</w:t>
      </w:r>
      <w:r w:rsidRPr="00827F24">
        <w:t xml:space="preserve"> table</w:t>
      </w:r>
      <w:r>
        <w:t>, amend</w:t>
      </w:r>
      <w:r w:rsidRPr="00827F24">
        <w:t xml:space="preserve"> to read:</w:t>
      </w:r>
    </w:p>
    <w:tbl>
      <w:tblPr>
        <w:tblW w:w="8222" w:type="dxa"/>
        <w:tblInd w:w="79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843"/>
        <w:gridCol w:w="1417"/>
        <w:gridCol w:w="1985"/>
      </w:tblGrid>
      <w:tr w:rsidR="00336395" w:rsidRPr="00336395" w14:paraId="711DF8BF" w14:textId="77777777" w:rsidTr="00AD4D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172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Speed (km/h)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F62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Speed Category Symbol</w:t>
            </w:r>
          </w:p>
        </w:tc>
      </w:tr>
      <w:tr w:rsidR="00336395" w:rsidRPr="00336395" w14:paraId="44BF7EC1" w14:textId="77777777" w:rsidTr="00AD4D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B06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67FA05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A2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57C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A8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FF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D</w:t>
            </w:r>
          </w:p>
        </w:tc>
      </w:tr>
      <w:tr w:rsidR="00336395" w:rsidRPr="00336395" w14:paraId="36C1DDE7" w14:textId="77777777" w:rsidTr="00AD4D6D"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16E9027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99CDA1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166BD54" w14:textId="77777777" w:rsidR="00336395" w:rsidRPr="00336395" w:rsidRDefault="00336395" w:rsidP="00AD4D6D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Constant load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D7A2E3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Cyclic applications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4C15AE" w14:textId="77777777" w:rsidR="00336395" w:rsidRPr="00336395" w:rsidRDefault="00336395" w:rsidP="00AD4D6D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Constant load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E866E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Cyclic applications (+)</w:t>
            </w:r>
          </w:p>
        </w:tc>
      </w:tr>
      <w:tr w:rsidR="00336395" w:rsidRPr="00336395" w14:paraId="68426001" w14:textId="77777777" w:rsidTr="00AD4D6D"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66AC32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CDA00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3805BB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E4A95E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+ 67 (1)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4A6E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+67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633DB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+92 (1)</w:t>
            </w:r>
          </w:p>
        </w:tc>
      </w:tr>
      <w:tr w:rsidR="00336395" w:rsidRPr="00336395" w14:paraId="4ED17EC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569E2C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2CB82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0A209F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+ 25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365E38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+ 50 (2)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6D5DFB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+44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5F3A36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+73 (2)</w:t>
            </w:r>
          </w:p>
        </w:tc>
      </w:tr>
      <w:tr w:rsidR="00336395" w:rsidRPr="00336395" w14:paraId="65ECFCCD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5F9DE5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D3194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67D8DB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9B16B2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+ 34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667DB2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94F654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+54</w:t>
            </w:r>
          </w:p>
        </w:tc>
      </w:tr>
      <w:tr w:rsidR="00336395" w:rsidRPr="00336395" w14:paraId="325D1D09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FAB448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70B2C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6875DE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2B1AA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+ 23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AAA2C1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D69793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+42</w:t>
            </w:r>
          </w:p>
        </w:tc>
      </w:tr>
      <w:tr w:rsidR="00336395" w:rsidRPr="00336395" w14:paraId="1979C85D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92FB01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584648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311BC5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A73A7C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1F86A77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21923A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+28</w:t>
            </w:r>
          </w:p>
        </w:tc>
      </w:tr>
      <w:tr w:rsidR="00336395" w:rsidRPr="00336395" w14:paraId="08395F37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008539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7B43A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5DF7DA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9E3CED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383459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E121EE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+23</w:t>
            </w:r>
          </w:p>
        </w:tc>
      </w:tr>
      <w:tr w:rsidR="00336395" w:rsidRPr="00336395" w14:paraId="54E3B01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C0670C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21A48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BB1191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1C8FF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6CB3C2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DCEE2E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+19</w:t>
            </w:r>
          </w:p>
        </w:tc>
      </w:tr>
      <w:tr w:rsidR="00336395" w:rsidRPr="00336395" w14:paraId="40AEE27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DE7BCC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41BDE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B1F868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378149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0BB1695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45E4CA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+15</w:t>
            </w:r>
          </w:p>
        </w:tc>
      </w:tr>
      <w:tr w:rsidR="00336395" w:rsidRPr="00336395" w14:paraId="7B23220F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03262C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04D9B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D22194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2F942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C5459C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B05733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+12</w:t>
            </w:r>
          </w:p>
        </w:tc>
      </w:tr>
      <w:tr w:rsidR="00336395" w:rsidRPr="00336395" w14:paraId="58A248E6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E820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FF61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700307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D4F03F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B58EFC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F4851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+8</w:t>
            </w:r>
          </w:p>
        </w:tc>
      </w:tr>
      <w:tr w:rsidR="00336395" w:rsidRPr="00336395" w14:paraId="0310165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D38A7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44BE1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8FBD3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5BF0C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531DD4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5031A2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</w:t>
            </w:r>
          </w:p>
        </w:tc>
      </w:tr>
      <w:tr w:rsidR="00336395" w:rsidRPr="00336395" w14:paraId="4833872B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35502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0FED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4DC66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7C0B1F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677F6B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340CE3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</w:t>
            </w:r>
          </w:p>
        </w:tc>
      </w:tr>
      <w:tr w:rsidR="00336395" w:rsidRPr="00336395" w14:paraId="2C53EC5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D5542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9A28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6ADBAF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EB457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9D5B47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679DE5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336395" w:rsidRPr="00336395" w14:paraId="4808445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F0161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4A10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9A3867B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16AE1D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66E80B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E0E04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-9</w:t>
            </w:r>
          </w:p>
        </w:tc>
      </w:tr>
    </w:tbl>
    <w:p w14:paraId="00322A21" w14:textId="77777777" w:rsidR="00336395" w:rsidRPr="00827F24" w:rsidRDefault="00336395" w:rsidP="00336395">
      <w:pPr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"</w:t>
      </w:r>
    </w:p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3639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3639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1AAD8F8C" w:rsidR="008405E4" w:rsidRPr="00706101" w:rsidRDefault="008405E4" w:rsidP="00626F57">
      <w:pPr>
        <w:pStyle w:val="FootnoteText"/>
      </w:pPr>
      <w:r w:rsidRPr="00A90EA8">
        <w:tab/>
      </w:r>
      <w:r w:rsidRPr="00EE6EC6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</w:t>
      </w:r>
      <w:r w:rsidR="00E77D18">
        <w:rPr>
          <w:szCs w:val="18"/>
          <w:lang w:val="en-US"/>
        </w:rPr>
        <w:t>he performance of vehicles. The </w:t>
      </w:r>
      <w:r w:rsidR="00626F57" w:rsidRPr="00626F57">
        <w:rPr>
          <w:szCs w:val="18"/>
          <w:lang w:val="en-US"/>
        </w:rPr>
        <w:t>present document is submitted in conformity with that mandate</w:t>
      </w:r>
      <w:r w:rsidR="00EE6EC6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59147936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355C59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66FE3919" w:rsidR="0009346C" w:rsidRDefault="0009346C" w:rsidP="0009346C">
    <w:pPr>
      <w:pStyle w:val="Header"/>
      <w:jc w:val="right"/>
    </w:pPr>
    <w:r>
      <w:t>ECE/TRANS/WP.29/2019/</w:t>
    </w:r>
    <w:r w:rsidR="00355C59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3EDE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395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55C59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1FA7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1329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3187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0427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77D18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2B5"/>
    <w:rsid w:val="00EC27A2"/>
    <w:rsid w:val="00EC28B5"/>
    <w:rsid w:val="00EC3288"/>
    <w:rsid w:val="00EC50BA"/>
    <w:rsid w:val="00ED057C"/>
    <w:rsid w:val="00ED4C21"/>
    <w:rsid w:val="00ED7840"/>
    <w:rsid w:val="00ED7A2A"/>
    <w:rsid w:val="00ED7B8C"/>
    <w:rsid w:val="00EE0286"/>
    <w:rsid w:val="00EE514D"/>
    <w:rsid w:val="00EE6B56"/>
    <w:rsid w:val="00EE6EC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C97E8C7"/>
  <w15:docId w15:val="{61AB65E6-9DA7-4E70-A18D-414D85D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5F8F-C5E6-43A3-BDCB-F0A47E0D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28</TotalTime>
  <Pages>3</Pages>
  <Words>534</Words>
  <Characters>2443</Characters>
  <Application>Microsoft Office Word</Application>
  <DocSecurity>0</DocSecurity>
  <Lines>187</Lines>
  <Paragraphs>186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2791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2018-01-26T08:00:00Z</cp:lastPrinted>
  <dcterms:created xsi:type="dcterms:W3CDTF">2018-12-19T10:09:00Z</dcterms:created>
  <dcterms:modified xsi:type="dcterms:W3CDTF">2018-12-20T07:38:00Z</dcterms:modified>
</cp:coreProperties>
</file>