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87C526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5CF5B01" w14:textId="77777777" w:rsidR="00F35BAF" w:rsidRPr="00DB58B5" w:rsidRDefault="00F35BAF" w:rsidP="0020131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E31CE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9D9180B" w14:textId="77777777" w:rsidR="00F35BAF" w:rsidRPr="00DB58B5" w:rsidRDefault="0020131C" w:rsidP="0020131C">
            <w:pPr>
              <w:jc w:val="right"/>
            </w:pPr>
            <w:r w:rsidRPr="0020131C">
              <w:rPr>
                <w:sz w:val="40"/>
              </w:rPr>
              <w:t>ECE</w:t>
            </w:r>
            <w:r>
              <w:t>/TRANS/WP.11/2019/18</w:t>
            </w:r>
          </w:p>
        </w:tc>
      </w:tr>
      <w:tr w:rsidR="00F35BAF" w:rsidRPr="00DB58B5" w14:paraId="217EDA9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73508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6EE8473" wp14:editId="675C1DB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E4392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C719AA2" w14:textId="77777777" w:rsidR="00F35BAF" w:rsidRDefault="0020131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D46104C" w14:textId="77777777" w:rsidR="0020131C" w:rsidRDefault="0020131C" w:rsidP="0020131C">
            <w:pPr>
              <w:spacing w:line="240" w:lineRule="exact"/>
            </w:pPr>
            <w:r>
              <w:t>24 juillet 2019</w:t>
            </w:r>
          </w:p>
          <w:p w14:paraId="53EBE61C" w14:textId="77777777" w:rsidR="0020131C" w:rsidRDefault="0020131C" w:rsidP="0020131C">
            <w:pPr>
              <w:spacing w:line="240" w:lineRule="exact"/>
            </w:pPr>
            <w:r>
              <w:t>Français</w:t>
            </w:r>
          </w:p>
          <w:p w14:paraId="1BE7AA59" w14:textId="77777777" w:rsidR="0020131C" w:rsidRPr="00DB58B5" w:rsidRDefault="0020131C" w:rsidP="0020131C">
            <w:pPr>
              <w:spacing w:line="240" w:lineRule="exact"/>
            </w:pPr>
            <w:r>
              <w:t>Original : anglais</w:t>
            </w:r>
          </w:p>
        </w:tc>
      </w:tr>
    </w:tbl>
    <w:p w14:paraId="1A93DC6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E177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57AE1D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637A697" w14:textId="77777777" w:rsidR="0020131C" w:rsidRPr="00685843" w:rsidRDefault="0020131C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5FFEB762" w14:textId="77777777" w:rsidR="0020131C" w:rsidRPr="00F30D47" w:rsidRDefault="0020131C" w:rsidP="00305801">
      <w:pPr>
        <w:spacing w:before="120"/>
        <w:rPr>
          <w:b/>
        </w:rPr>
      </w:pPr>
      <w:r>
        <w:rPr>
          <w:b/>
          <w:bCs/>
          <w:lang w:val="fr-FR"/>
        </w:rPr>
        <w:t>Soixante-quinzième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49CE2436" w14:textId="77777777" w:rsidR="0020131C" w:rsidRDefault="0020131C" w:rsidP="00305801">
      <w:r>
        <w:t xml:space="preserve">Genève, </w:t>
      </w:r>
      <w:r>
        <w:rPr>
          <w:lang w:val="fr-FR"/>
        </w:rPr>
        <w:t>8-11 octobre 2019</w:t>
      </w:r>
    </w:p>
    <w:p w14:paraId="044FFDE4" w14:textId="77777777" w:rsidR="0020131C" w:rsidRDefault="0020131C" w:rsidP="00305801">
      <w:r>
        <w:t>Point 5 b) de l</w:t>
      </w:r>
      <w:r w:rsidR="00EE1770">
        <w:t>’</w:t>
      </w:r>
      <w:r>
        <w:t>ordre du jour provisoire</w:t>
      </w:r>
    </w:p>
    <w:p w14:paraId="0BCBD83E" w14:textId="77777777" w:rsidR="0020131C" w:rsidRPr="006C022C" w:rsidRDefault="0020131C" w:rsidP="0020131C">
      <w:pPr>
        <w:rPr>
          <w:b/>
        </w:rPr>
      </w:pPr>
      <w:r>
        <w:rPr>
          <w:b/>
          <w:bCs/>
          <w:lang w:val="fr-FR"/>
        </w:rPr>
        <w:t>Propositions d</w:t>
      </w:r>
      <w:r w:rsidR="00EE1770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 à l</w:t>
      </w:r>
      <w:r w:rsidR="00EE1770">
        <w:rPr>
          <w:b/>
          <w:bCs/>
          <w:lang w:val="fr-FR"/>
        </w:rPr>
        <w:t>’</w:t>
      </w:r>
      <w:r>
        <w:rPr>
          <w:b/>
          <w:bCs/>
          <w:lang w:val="fr-FR"/>
        </w:rPr>
        <w:t>ATP</w:t>
      </w:r>
      <w:r w:rsidR="00EE1770"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lang w:val="fr-FR"/>
        </w:rPr>
        <w:t xml:space="preserve"> </w:t>
      </w:r>
      <w:r w:rsidR="00EE1770">
        <w:rPr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26336FC8" w14:textId="77777777" w:rsidR="0020131C" w:rsidRPr="00DB4C7D" w:rsidRDefault="0020131C" w:rsidP="00C1667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Amendement à l</w:t>
      </w:r>
      <w:r w:rsidR="00EE1770">
        <w:rPr>
          <w:lang w:val="fr-FR"/>
        </w:rPr>
        <w:t>’</w:t>
      </w:r>
      <w:r>
        <w:rPr>
          <w:lang w:val="fr-FR"/>
        </w:rPr>
        <w:t>annexe 1</w:t>
      </w:r>
    </w:p>
    <w:p w14:paraId="1E541A69" w14:textId="77777777" w:rsidR="0020131C" w:rsidRPr="00DB4C7D" w:rsidRDefault="0020131C" w:rsidP="00C16679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Gouvernement du Royaume-Uni</w:t>
      </w:r>
    </w:p>
    <w:p w14:paraId="1B85DDF4" w14:textId="77777777" w:rsidR="0020131C" w:rsidRPr="00DB4C7D" w:rsidRDefault="0020131C" w:rsidP="00C16679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9A088C4" w14:textId="77777777" w:rsidR="0020131C" w:rsidRDefault="001C6CCC" w:rsidP="001C6CCC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="0020131C">
        <w:rPr>
          <w:lang w:val="fr-FR"/>
        </w:rPr>
        <w:t>Le paragraphe 1 de l</w:t>
      </w:r>
      <w:r w:rsidR="00EE1770">
        <w:rPr>
          <w:lang w:val="fr-FR"/>
        </w:rPr>
        <w:t>’</w:t>
      </w:r>
      <w:r w:rsidR="0020131C">
        <w:rPr>
          <w:lang w:val="fr-FR"/>
        </w:rPr>
        <w:t>annexe 1 de l</w:t>
      </w:r>
      <w:r w:rsidR="00EE1770">
        <w:rPr>
          <w:lang w:val="fr-FR"/>
        </w:rPr>
        <w:t>’</w:t>
      </w:r>
      <w:r w:rsidR="0020131C">
        <w:rPr>
          <w:lang w:val="fr-FR"/>
        </w:rPr>
        <w:t>ATP définit les valeurs limites du coefficient de transmission thermique (K) pour les engins isothermes normaux (I</w:t>
      </w:r>
      <w:r w:rsidR="0020131C">
        <w:rPr>
          <w:vertAlign w:val="subscript"/>
          <w:lang w:val="fr-FR"/>
        </w:rPr>
        <w:t>N</w:t>
      </w:r>
      <w:r w:rsidR="0020131C">
        <w:rPr>
          <w:lang w:val="fr-FR"/>
        </w:rPr>
        <w:t>) et les engins isothermes renforcés (I</w:t>
      </w:r>
      <w:r w:rsidR="0020131C">
        <w:rPr>
          <w:vertAlign w:val="subscript"/>
          <w:lang w:val="fr-FR"/>
        </w:rPr>
        <w:t>R</w:t>
      </w:r>
      <w:r w:rsidR="0020131C">
        <w:rPr>
          <w:lang w:val="fr-FR"/>
        </w:rPr>
        <w:t>).</w:t>
      </w:r>
    </w:p>
    <w:p w14:paraId="1EABD113" w14:textId="77777777" w:rsidR="0020131C" w:rsidRDefault="001C6CCC" w:rsidP="001C6CCC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="0020131C">
        <w:rPr>
          <w:lang w:val="fr-FR"/>
        </w:rPr>
        <w:t>Or il a été constaté que le flux thermique d</w:t>
      </w:r>
      <w:r w:rsidR="00EE1770">
        <w:rPr>
          <w:lang w:val="fr-FR"/>
        </w:rPr>
        <w:t>’</w:t>
      </w:r>
      <w:r w:rsidR="0020131C">
        <w:rPr>
          <w:lang w:val="fr-FR"/>
        </w:rPr>
        <w:t>une caisse de catégorie I</w:t>
      </w:r>
      <w:r w:rsidR="0020131C">
        <w:rPr>
          <w:vertAlign w:val="subscript"/>
          <w:lang w:val="fr-FR"/>
        </w:rPr>
        <w:t>N</w:t>
      </w:r>
      <w:r w:rsidR="0020131C">
        <w:rPr>
          <w:lang w:val="fr-FR"/>
        </w:rPr>
        <w:t xml:space="preserve"> réglée à 0</w:t>
      </w:r>
      <w:r w:rsidR="00981517">
        <w:rPr>
          <w:lang w:val="fr-FR"/>
        </w:rPr>
        <w:t> </w:t>
      </w:r>
      <w:r w:rsidR="0020131C">
        <w:rPr>
          <w:lang w:val="fr-FR"/>
        </w:rPr>
        <w:t>°C peut être supérieur à celui d</w:t>
      </w:r>
      <w:r w:rsidR="00EE1770">
        <w:rPr>
          <w:lang w:val="fr-FR"/>
        </w:rPr>
        <w:t>’</w:t>
      </w:r>
      <w:r w:rsidR="0020131C">
        <w:rPr>
          <w:lang w:val="fr-FR"/>
        </w:rPr>
        <w:t>une caisse de catégorie I</w:t>
      </w:r>
      <w:r w:rsidR="0020131C">
        <w:rPr>
          <w:vertAlign w:val="subscript"/>
          <w:lang w:val="fr-FR"/>
        </w:rPr>
        <w:t>R</w:t>
      </w:r>
      <w:r w:rsidR="0020131C">
        <w:rPr>
          <w:lang w:val="fr-FR"/>
        </w:rPr>
        <w:t xml:space="preserve"> réglée à -20</w:t>
      </w:r>
      <w:r w:rsidR="00981517">
        <w:rPr>
          <w:lang w:val="fr-FR"/>
        </w:rPr>
        <w:t> </w:t>
      </w:r>
      <w:r w:rsidR="0020131C">
        <w:rPr>
          <w:lang w:val="fr-FR"/>
        </w:rPr>
        <w:t>°C, à condition que les deux caisses aient exactement les mêmes dimensions. On trouvera ci-après un exemple concret :</w:t>
      </w:r>
    </w:p>
    <w:p w14:paraId="408081C5" w14:textId="77777777" w:rsidR="0020131C" w:rsidRPr="008356AE" w:rsidRDefault="0020131C" w:rsidP="001C6CCC">
      <w:pPr>
        <w:pStyle w:val="SingleTxtG"/>
        <w:ind w:left="1701"/>
      </w:pPr>
      <w:r>
        <w:rPr>
          <w:lang w:val="fr-FR"/>
        </w:rPr>
        <w:t>La température ambiante définie dans l</w:t>
      </w:r>
      <w:r w:rsidR="00EE1770">
        <w:rPr>
          <w:lang w:val="fr-FR"/>
        </w:rPr>
        <w:t>’</w:t>
      </w:r>
      <w:r>
        <w:rPr>
          <w:lang w:val="fr-FR"/>
        </w:rPr>
        <w:t>ATP est de 30</w:t>
      </w:r>
      <w:r w:rsidR="00C90566">
        <w:rPr>
          <w:lang w:val="fr-FR"/>
        </w:rPr>
        <w:t> </w:t>
      </w:r>
      <w:r>
        <w:rPr>
          <w:lang w:val="fr-FR"/>
        </w:rPr>
        <w:t>°C. La température minimale de réfrigération de l</w:t>
      </w:r>
      <w:r w:rsidR="00EE1770">
        <w:rPr>
          <w:lang w:val="fr-FR"/>
        </w:rPr>
        <w:t>’</w:t>
      </w:r>
      <w:r>
        <w:rPr>
          <w:lang w:val="fr-FR"/>
        </w:rPr>
        <w:t>engin I</w:t>
      </w:r>
      <w:r>
        <w:rPr>
          <w:vertAlign w:val="subscript"/>
          <w:lang w:val="fr-FR"/>
        </w:rPr>
        <w:t>N</w:t>
      </w:r>
      <w:r>
        <w:rPr>
          <w:lang w:val="fr-FR"/>
        </w:rPr>
        <w:t xml:space="preserve"> est de 0</w:t>
      </w:r>
      <w:r w:rsidR="00C90566">
        <w:rPr>
          <w:lang w:val="fr-FR"/>
        </w:rPr>
        <w:t> </w:t>
      </w:r>
      <w:r>
        <w:rPr>
          <w:lang w:val="fr-FR"/>
        </w:rPr>
        <w:t>°C</w:t>
      </w:r>
      <w:r w:rsidR="00EE1770">
        <w:rPr>
          <w:lang w:val="fr-FR"/>
        </w:rPr>
        <w:t> </w:t>
      </w:r>
      <w:r>
        <w:rPr>
          <w:lang w:val="fr-FR"/>
        </w:rPr>
        <w:t>; la température minimale de réfrigération de l</w:t>
      </w:r>
      <w:r w:rsidR="00EE1770">
        <w:rPr>
          <w:lang w:val="fr-FR"/>
        </w:rPr>
        <w:t>’</w:t>
      </w:r>
      <w:r>
        <w:rPr>
          <w:lang w:val="fr-FR"/>
        </w:rPr>
        <w:t>engin I</w:t>
      </w:r>
      <w:r>
        <w:rPr>
          <w:vertAlign w:val="subscript"/>
          <w:lang w:val="fr-FR"/>
        </w:rPr>
        <w:t>R</w:t>
      </w:r>
      <w:r>
        <w:rPr>
          <w:lang w:val="fr-FR"/>
        </w:rPr>
        <w:t xml:space="preserve"> est de -20</w:t>
      </w:r>
      <w:r w:rsidR="00C90566">
        <w:rPr>
          <w:lang w:val="fr-FR"/>
        </w:rPr>
        <w:t> </w:t>
      </w:r>
      <w:r>
        <w:rPr>
          <w:lang w:val="fr-FR"/>
        </w:rPr>
        <w:t>°C.</w:t>
      </w:r>
    </w:p>
    <w:p w14:paraId="1CFF416E" w14:textId="77777777" w:rsidR="0020131C" w:rsidRDefault="0020131C" w:rsidP="001C6CCC">
      <w:pPr>
        <w:pStyle w:val="SingleTxtG"/>
        <w:ind w:left="1701"/>
        <w:rPr>
          <w:lang w:val="fr-FR"/>
        </w:rPr>
      </w:pPr>
      <w:r>
        <w:rPr>
          <w:lang w:val="fr-FR"/>
        </w:rPr>
        <w:t>La température ambiante définie dans l</w:t>
      </w:r>
      <w:r w:rsidR="00EE1770">
        <w:rPr>
          <w:lang w:val="fr-FR"/>
        </w:rPr>
        <w:t>’</w:t>
      </w:r>
      <w:r>
        <w:rPr>
          <w:lang w:val="fr-FR"/>
        </w:rPr>
        <w:t>ATP est de 30</w:t>
      </w:r>
      <w:r w:rsidR="00C90566">
        <w:rPr>
          <w:lang w:val="fr-FR"/>
        </w:rPr>
        <w:t> </w:t>
      </w:r>
      <w:r>
        <w:rPr>
          <w:lang w:val="fr-FR"/>
        </w:rPr>
        <w:t>°C. La température minimale de réfrigération de l</w:t>
      </w:r>
      <w:r w:rsidR="00EE1770">
        <w:rPr>
          <w:lang w:val="fr-FR"/>
        </w:rPr>
        <w:t>’</w:t>
      </w:r>
      <w:r>
        <w:rPr>
          <w:lang w:val="fr-FR"/>
        </w:rPr>
        <w:t>engin I</w:t>
      </w:r>
      <w:r>
        <w:rPr>
          <w:vertAlign w:val="subscript"/>
          <w:lang w:val="fr-FR"/>
        </w:rPr>
        <w:t>N</w:t>
      </w:r>
      <w:r>
        <w:rPr>
          <w:lang w:val="fr-FR"/>
        </w:rPr>
        <w:t xml:space="preserve"> est de 0</w:t>
      </w:r>
      <w:r w:rsidR="00C90566">
        <w:rPr>
          <w:lang w:val="fr-FR"/>
        </w:rPr>
        <w:t> </w:t>
      </w:r>
      <w:r>
        <w:rPr>
          <w:lang w:val="fr-FR"/>
        </w:rPr>
        <w:t>°C</w:t>
      </w:r>
      <w:r w:rsidR="00EE1770">
        <w:rPr>
          <w:lang w:val="fr-FR"/>
        </w:rPr>
        <w:t> </w:t>
      </w:r>
      <w:r>
        <w:rPr>
          <w:lang w:val="fr-FR"/>
        </w:rPr>
        <w:t>; la température minimale de réfrigération de l</w:t>
      </w:r>
      <w:r w:rsidR="00EE1770">
        <w:rPr>
          <w:lang w:val="fr-FR"/>
        </w:rPr>
        <w:t>’</w:t>
      </w:r>
      <w:r>
        <w:rPr>
          <w:lang w:val="fr-FR"/>
        </w:rPr>
        <w:t>engin I</w:t>
      </w:r>
      <w:r>
        <w:rPr>
          <w:vertAlign w:val="subscript"/>
          <w:lang w:val="fr-FR"/>
        </w:rPr>
        <w:t>R</w:t>
      </w:r>
      <w:r>
        <w:rPr>
          <w:lang w:val="fr-FR"/>
        </w:rPr>
        <w:t xml:space="preserve"> est de -20</w:t>
      </w:r>
      <w:r w:rsidR="00C90566">
        <w:rPr>
          <w:lang w:val="fr-FR"/>
        </w:rPr>
        <w:t> </w:t>
      </w:r>
      <w:r>
        <w:rPr>
          <w:lang w:val="fr-FR"/>
        </w:rPr>
        <w:t>°C.</w:t>
      </w:r>
    </w:p>
    <w:tbl>
      <w:tblPr>
        <w:tblW w:w="7025" w:type="dxa"/>
        <w:tblInd w:w="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568"/>
        <w:gridCol w:w="2113"/>
        <w:gridCol w:w="2291"/>
      </w:tblGrid>
      <w:tr w:rsidR="00803E51" w14:paraId="0F79A3E4" w14:textId="77777777" w:rsidTr="00EE177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77DCACB" w14:textId="77777777" w:rsidR="00803E51" w:rsidRPr="00635DBE" w:rsidRDefault="008F4ED7" w:rsidP="00740149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F4ED7">
              <w:rPr>
                <w:i/>
                <w:iCs/>
                <w:sz w:val="16"/>
                <w:szCs w:val="16"/>
                <w:lang w:val="fr-FR"/>
              </w:rPr>
              <w:t>Catégorie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FD97933" w14:textId="77777777" w:rsidR="00803E51" w:rsidRPr="00635DBE" w:rsidRDefault="008F4ED7" w:rsidP="00740149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F4ED7">
              <w:rPr>
                <w:i/>
                <w:iCs/>
                <w:sz w:val="16"/>
                <w:szCs w:val="16"/>
                <w:lang w:val="fr-FR"/>
              </w:rPr>
              <w:t>Coefficient 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50BA737" w14:textId="77777777" w:rsidR="00803E51" w:rsidRPr="00635DBE" w:rsidRDefault="008F4ED7" w:rsidP="00740149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F4ED7">
              <w:rPr>
                <w:i/>
                <w:iCs/>
                <w:sz w:val="16"/>
                <w:szCs w:val="16"/>
                <w:lang w:val="fr-FR"/>
              </w:rPr>
              <w:t>Différence de température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B1AD567" w14:textId="77777777" w:rsidR="00803E51" w:rsidRPr="00635DBE" w:rsidRDefault="008F4ED7" w:rsidP="00740149">
            <w:pPr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8F4ED7">
              <w:rPr>
                <w:i/>
                <w:iCs/>
                <w:sz w:val="16"/>
                <w:szCs w:val="16"/>
                <w:lang w:val="fr-FR"/>
              </w:rPr>
              <w:t>Valeur du flux thermique</w:t>
            </w:r>
          </w:p>
        </w:tc>
      </w:tr>
      <w:tr w:rsidR="00803E51" w14:paraId="7AEEEC0D" w14:textId="77777777" w:rsidTr="00EE1770"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22A4" w14:textId="77777777" w:rsidR="00803E51" w:rsidRPr="00635DBE" w:rsidRDefault="00803E51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I</w:t>
            </w:r>
            <w:r w:rsidRPr="00635DBE">
              <w:rPr>
                <w:sz w:val="18"/>
                <w:szCs w:val="18"/>
                <w:vertAlign w:val="subscript"/>
              </w:rPr>
              <w:t>R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CBFE" w14:textId="77777777" w:rsidR="00803E51" w:rsidRPr="00635DBE" w:rsidRDefault="008F4ED7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F4ED7">
              <w:rPr>
                <w:sz w:val="18"/>
                <w:szCs w:val="18"/>
                <w:lang w:val="fr-FR"/>
              </w:rPr>
              <w:t>0,40 W/m</w:t>
            </w:r>
            <w:r w:rsidRPr="008F4ED7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8F4ED7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7DA8" w14:textId="77777777" w:rsidR="00803E51" w:rsidRPr="00635DBE" w:rsidRDefault="008F4ED7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F4ED7">
              <w:rPr>
                <w:sz w:val="18"/>
                <w:szCs w:val="18"/>
                <w:lang w:val="fr-FR"/>
              </w:rPr>
              <w:t>+30 - -20 = 50°C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A39" w14:textId="77777777" w:rsidR="00803E51" w:rsidRPr="00635DBE" w:rsidRDefault="008F4ED7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F4ED7">
              <w:rPr>
                <w:sz w:val="18"/>
                <w:szCs w:val="18"/>
                <w:lang w:val="fr-FR"/>
              </w:rPr>
              <w:t>0,4 x 50 = 20 W/m</w:t>
            </w:r>
            <w:r w:rsidRPr="008F4ED7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</w:tr>
      <w:tr w:rsidR="00803E51" w14:paraId="3F59EF52" w14:textId="77777777" w:rsidTr="00EE177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E297E3" w14:textId="77777777" w:rsidR="00803E51" w:rsidRPr="00635DBE" w:rsidRDefault="00803E51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635DBE">
              <w:rPr>
                <w:sz w:val="18"/>
                <w:szCs w:val="18"/>
              </w:rPr>
              <w:t>I</w:t>
            </w:r>
            <w:r w:rsidRPr="00635DBE">
              <w:rPr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E9A394" w14:textId="77777777" w:rsidR="00803E51" w:rsidRPr="00635DBE" w:rsidRDefault="008F4ED7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F4ED7">
              <w:rPr>
                <w:sz w:val="18"/>
                <w:szCs w:val="18"/>
                <w:lang w:val="fr-FR"/>
              </w:rPr>
              <w:t>0,70 W/m</w:t>
            </w:r>
            <w:r w:rsidRPr="008F4ED7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8F4ED7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351C84" w14:textId="77777777" w:rsidR="00803E51" w:rsidRPr="00635DBE" w:rsidRDefault="008F4ED7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F4ED7">
              <w:rPr>
                <w:sz w:val="18"/>
                <w:szCs w:val="18"/>
                <w:lang w:val="fr-FR"/>
              </w:rPr>
              <w:t>+30 - 0 = 30°C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93ACD2" w14:textId="77777777" w:rsidR="00803E51" w:rsidRPr="00635DBE" w:rsidRDefault="008F4ED7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F4ED7">
              <w:rPr>
                <w:sz w:val="18"/>
                <w:szCs w:val="18"/>
                <w:lang w:val="fr-FR"/>
              </w:rPr>
              <w:t>0,7 x 30 = 21 W/m</w:t>
            </w:r>
            <w:r w:rsidRPr="008F4ED7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</w:tr>
    </w:tbl>
    <w:p w14:paraId="783F005E" w14:textId="77777777" w:rsidR="00F9573C" w:rsidRDefault="00816A8A" w:rsidP="00EE1770">
      <w:pPr>
        <w:pStyle w:val="SingleTxtG"/>
        <w:spacing w:before="240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20131C">
        <w:rPr>
          <w:lang w:val="fr-FR"/>
        </w:rPr>
        <w:t>Il est plus important de conserver une température homogène pour le transport de denrées réfrigérées que pour celui de denrées surgelées. L</w:t>
      </w:r>
      <w:r w:rsidR="00EE1770">
        <w:rPr>
          <w:lang w:val="fr-FR"/>
        </w:rPr>
        <w:t>’</w:t>
      </w:r>
      <w:r w:rsidR="0020131C">
        <w:rPr>
          <w:lang w:val="fr-FR"/>
        </w:rPr>
        <w:t>utilisation d</w:t>
      </w:r>
      <w:r w:rsidR="00EE1770">
        <w:rPr>
          <w:lang w:val="fr-FR"/>
        </w:rPr>
        <w:t>’</w:t>
      </w:r>
      <w:r w:rsidR="0020131C">
        <w:rPr>
          <w:lang w:val="fr-FR"/>
        </w:rPr>
        <w:t>une caisse I</w:t>
      </w:r>
      <w:r w:rsidR="0020131C">
        <w:rPr>
          <w:vertAlign w:val="subscript"/>
          <w:lang w:val="fr-FR"/>
        </w:rPr>
        <w:t>N</w:t>
      </w:r>
      <w:r w:rsidR="0020131C">
        <w:rPr>
          <w:lang w:val="fr-FR"/>
        </w:rPr>
        <w:t xml:space="preserve"> avec un flux thermique comparativement plus élevé (21 W/m</w:t>
      </w:r>
      <w:r w:rsidR="0020131C">
        <w:rPr>
          <w:vertAlign w:val="superscript"/>
          <w:lang w:val="fr-FR"/>
        </w:rPr>
        <w:t>2</w:t>
      </w:r>
      <w:r w:rsidR="0020131C">
        <w:rPr>
          <w:lang w:val="fr-FR"/>
        </w:rPr>
        <w:t>) risque davantage de causer l</w:t>
      </w:r>
      <w:r w:rsidR="00EE1770">
        <w:rPr>
          <w:lang w:val="fr-FR"/>
        </w:rPr>
        <w:t>’</w:t>
      </w:r>
      <w:r w:rsidR="0020131C">
        <w:rPr>
          <w:lang w:val="fr-FR"/>
        </w:rPr>
        <w:t>apparition de points chauds.</w:t>
      </w:r>
    </w:p>
    <w:p w14:paraId="23FDFF5A" w14:textId="77777777" w:rsidR="0020131C" w:rsidRPr="00DB4C7D" w:rsidRDefault="0020131C" w:rsidP="00816A8A">
      <w:pPr>
        <w:pStyle w:val="HChG"/>
      </w:pPr>
      <w:r>
        <w:rPr>
          <w:lang w:val="fr-FR"/>
        </w:rPr>
        <w:lastRenderedPageBreak/>
        <w:tab/>
      </w:r>
      <w:r w:rsidR="00816A8A">
        <w:rPr>
          <w:lang w:val="fr-FR"/>
        </w:rPr>
        <w:t>I.</w:t>
      </w:r>
      <w:r w:rsidR="00816A8A">
        <w:rPr>
          <w:lang w:val="fr-FR"/>
        </w:rPr>
        <w:tab/>
      </w:r>
      <w:r>
        <w:rPr>
          <w:lang w:val="fr-FR"/>
        </w:rPr>
        <w:t>Proposition d</w:t>
      </w:r>
      <w:r w:rsidR="00EE1770">
        <w:rPr>
          <w:lang w:val="fr-FR"/>
        </w:rPr>
        <w:t>’</w:t>
      </w:r>
      <w:r>
        <w:rPr>
          <w:lang w:val="fr-FR"/>
        </w:rPr>
        <w:t>amendement</w:t>
      </w:r>
    </w:p>
    <w:p w14:paraId="6239D412" w14:textId="77777777" w:rsidR="00816A8A" w:rsidRDefault="00816A8A" w:rsidP="00816A8A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20131C">
        <w:rPr>
          <w:lang w:val="fr-FR"/>
        </w:rPr>
        <w:t>Il est proposé d</w:t>
      </w:r>
      <w:r w:rsidR="00EE1770">
        <w:rPr>
          <w:lang w:val="fr-FR"/>
        </w:rPr>
        <w:t>’</w:t>
      </w:r>
      <w:r w:rsidR="0020131C">
        <w:rPr>
          <w:lang w:val="fr-FR"/>
        </w:rPr>
        <w:t>abaisser les valeurs limites du coefficient K pour les engins de catégorie I</w:t>
      </w:r>
      <w:r w:rsidR="0020131C">
        <w:rPr>
          <w:vertAlign w:val="subscript"/>
          <w:lang w:val="fr-FR"/>
        </w:rPr>
        <w:t>N</w:t>
      </w:r>
      <w:r w:rsidR="0020131C">
        <w:rPr>
          <w:lang w:val="fr-FR"/>
        </w:rPr>
        <w:t xml:space="preserve"> afin que la valeur du flux thermique soit inférieure à celle prévue pour les engins de la catégorie I</w:t>
      </w:r>
      <w:r w:rsidR="0020131C">
        <w:rPr>
          <w:vertAlign w:val="subscript"/>
          <w:lang w:val="fr-FR"/>
        </w:rPr>
        <w:t>R</w:t>
      </w:r>
      <w:r w:rsidR="0020131C">
        <w:rPr>
          <w:lang w:val="fr-FR"/>
        </w:rPr>
        <w:t xml:space="preserve"> lorsqu</w:t>
      </w:r>
      <w:r w:rsidR="00EE1770">
        <w:rPr>
          <w:lang w:val="fr-FR"/>
        </w:rPr>
        <w:t>’</w:t>
      </w:r>
      <w:r w:rsidR="0020131C">
        <w:rPr>
          <w:lang w:val="fr-FR"/>
        </w:rPr>
        <w:t>elle est mesurée à la température de réfrigération minimale correspondante.</w:t>
      </w: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80"/>
        <w:gridCol w:w="1358"/>
        <w:gridCol w:w="1984"/>
        <w:gridCol w:w="2126"/>
      </w:tblGrid>
      <w:tr w:rsidR="00816A8A" w:rsidRPr="00BC1B89" w14:paraId="49E16966" w14:textId="77777777" w:rsidTr="00C17D3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F898F1A" w14:textId="77777777" w:rsidR="00816A8A" w:rsidRPr="001E1265" w:rsidRDefault="00816A8A" w:rsidP="00740149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16A8A">
              <w:rPr>
                <w:i/>
                <w:iCs/>
                <w:sz w:val="16"/>
                <w:lang w:val="fr-FR"/>
              </w:rPr>
              <w:t>Option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B43CD1C" w14:textId="77777777" w:rsidR="00816A8A" w:rsidRPr="001E1265" w:rsidRDefault="00816A8A" w:rsidP="00740149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16A8A">
              <w:rPr>
                <w:i/>
                <w:iCs/>
                <w:sz w:val="16"/>
                <w:lang w:val="fr-FR"/>
              </w:rPr>
              <w:t>Catégorie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3207DE5" w14:textId="77777777" w:rsidR="00816A8A" w:rsidRPr="001E1265" w:rsidRDefault="00816A8A" w:rsidP="00740149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16A8A">
              <w:rPr>
                <w:i/>
                <w:iCs/>
                <w:sz w:val="16"/>
                <w:lang w:val="fr-FR"/>
              </w:rPr>
              <w:t>Coefficient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008A820D" w14:textId="77777777" w:rsidR="00816A8A" w:rsidRPr="001E1265" w:rsidRDefault="00816A8A" w:rsidP="00740149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16A8A">
              <w:rPr>
                <w:i/>
                <w:iCs/>
                <w:sz w:val="16"/>
                <w:lang w:val="fr-FR"/>
              </w:rPr>
              <w:t>Différence de température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CABE79D" w14:textId="77777777" w:rsidR="00816A8A" w:rsidRPr="001E1265" w:rsidRDefault="00816A8A" w:rsidP="00740149">
            <w:pPr>
              <w:spacing w:before="40" w:after="40" w:line="200" w:lineRule="exact"/>
              <w:jc w:val="center"/>
              <w:rPr>
                <w:i/>
                <w:sz w:val="16"/>
              </w:rPr>
            </w:pPr>
            <w:r w:rsidRPr="00816A8A">
              <w:rPr>
                <w:i/>
                <w:iCs/>
                <w:sz w:val="16"/>
                <w:lang w:val="fr-FR"/>
              </w:rPr>
              <w:t>Valeur du flux thermique</w:t>
            </w:r>
          </w:p>
        </w:tc>
      </w:tr>
      <w:tr w:rsidR="00816A8A" w:rsidRPr="00BC1B89" w14:paraId="0EE72AAA" w14:textId="77777777" w:rsidTr="0035744E"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3A8E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4E2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I</w:t>
            </w:r>
            <w:r w:rsidRPr="001E1265">
              <w:rPr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023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16A8A">
              <w:rPr>
                <w:sz w:val="18"/>
                <w:szCs w:val="18"/>
                <w:lang w:val="fr-FR"/>
              </w:rPr>
              <w:t>0,65 W/m</w:t>
            </w:r>
            <w:r w:rsidRPr="00816A8A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816A8A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C6FB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16A8A">
              <w:rPr>
                <w:sz w:val="18"/>
                <w:szCs w:val="18"/>
                <w:lang w:val="fr-FR"/>
              </w:rPr>
              <w:t>+30 - 0 = 30°C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63FA" w14:textId="77777777" w:rsidR="00816A8A" w:rsidRPr="00BC1B89" w:rsidRDefault="00EE1770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EE1770">
              <w:rPr>
                <w:sz w:val="18"/>
                <w:szCs w:val="18"/>
                <w:lang w:val="fr-FR"/>
              </w:rPr>
              <w:t>0,65 x 30 = 19,5 W/m</w:t>
            </w:r>
            <w:r w:rsidRPr="00EE1770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</w:tr>
      <w:tr w:rsidR="00816A8A" w:rsidRPr="00BC1B89" w14:paraId="6110DC0C" w14:textId="77777777" w:rsidTr="00C17D3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5C821D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F881E1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BC1B89">
              <w:rPr>
                <w:sz w:val="18"/>
                <w:szCs w:val="18"/>
              </w:rPr>
              <w:t>I</w:t>
            </w:r>
            <w:r w:rsidRPr="001E1265">
              <w:rPr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B6B6E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16A8A">
              <w:rPr>
                <w:sz w:val="18"/>
                <w:szCs w:val="18"/>
                <w:lang w:val="fr-FR"/>
              </w:rPr>
              <w:t>0,60 W/m</w:t>
            </w:r>
            <w:r w:rsidRPr="00816A8A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816A8A">
              <w:rPr>
                <w:sz w:val="18"/>
                <w:szCs w:val="18"/>
                <w:lang w:val="fr-FR"/>
              </w:rPr>
              <w:t>°C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753ADE" w14:textId="77777777" w:rsidR="00816A8A" w:rsidRPr="00BC1B89" w:rsidRDefault="00816A8A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816A8A">
              <w:rPr>
                <w:sz w:val="18"/>
                <w:szCs w:val="18"/>
                <w:lang w:val="fr-FR"/>
              </w:rPr>
              <w:t>+30 - 0 = 30°C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6043AC" w14:textId="77777777" w:rsidR="00816A8A" w:rsidRPr="00BC1B89" w:rsidRDefault="00EE1770" w:rsidP="00740149">
            <w:pPr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EE1770">
              <w:rPr>
                <w:sz w:val="18"/>
                <w:szCs w:val="18"/>
                <w:lang w:val="fr-FR"/>
              </w:rPr>
              <w:t>0,60 x 30 = 18 W/m</w:t>
            </w:r>
            <w:r w:rsidRPr="00EE1770">
              <w:rPr>
                <w:sz w:val="18"/>
                <w:szCs w:val="18"/>
                <w:vertAlign w:val="superscript"/>
                <w:lang w:val="fr-FR"/>
              </w:rPr>
              <w:t>2</w:t>
            </w:r>
          </w:p>
        </w:tc>
      </w:tr>
    </w:tbl>
    <w:p w14:paraId="5ED6ABE6" w14:textId="77777777" w:rsidR="0020131C" w:rsidRDefault="00EE1770" w:rsidP="00EE1770">
      <w:pPr>
        <w:pStyle w:val="SingleTxtG"/>
        <w:spacing w:before="240"/>
      </w:pPr>
      <w:r>
        <w:rPr>
          <w:lang w:val="fr-FR"/>
        </w:rPr>
        <w:t>5.</w:t>
      </w:r>
      <w:r>
        <w:rPr>
          <w:lang w:val="fr-FR"/>
        </w:rPr>
        <w:tab/>
      </w:r>
      <w:r w:rsidR="0020131C">
        <w:rPr>
          <w:lang w:val="fr-FR"/>
        </w:rPr>
        <w:t>Le résultat de ces deux propositions montre que la distribution de la température de calcul pour les caisses de catégorie I</w:t>
      </w:r>
      <w:r w:rsidR="0020131C">
        <w:rPr>
          <w:vertAlign w:val="subscript"/>
          <w:lang w:val="fr-FR"/>
        </w:rPr>
        <w:t>N</w:t>
      </w:r>
      <w:r w:rsidR="0020131C">
        <w:rPr>
          <w:lang w:val="fr-FR"/>
        </w:rPr>
        <w:t xml:space="preserve"> est supérieure à celle des caisses de catégorie I</w:t>
      </w:r>
      <w:r w:rsidR="0020131C">
        <w:rPr>
          <w:vertAlign w:val="subscript"/>
          <w:lang w:val="fr-FR"/>
        </w:rPr>
        <w:t>R</w:t>
      </w:r>
      <w:r w:rsidR="0020131C">
        <w:rPr>
          <w:lang w:val="fr-FR"/>
        </w:rPr>
        <w:t>.</w:t>
      </w:r>
    </w:p>
    <w:p w14:paraId="6C8D73D7" w14:textId="77777777" w:rsidR="0020131C" w:rsidRPr="00DB4C7D" w:rsidRDefault="0020131C" w:rsidP="00EE1770">
      <w:pPr>
        <w:pStyle w:val="SingleTxtG"/>
      </w:pPr>
      <w:r>
        <w:rPr>
          <w:lang w:val="fr-FR"/>
        </w:rPr>
        <w:t>Il est proposé de modifier le texte comme suit</w:t>
      </w:r>
      <w:r w:rsidR="00EE1770">
        <w:rPr>
          <w:lang w:val="fr-FR"/>
        </w:rPr>
        <w:t> :</w:t>
      </w:r>
    </w:p>
    <w:p w14:paraId="09A1DE6B" w14:textId="77777777" w:rsidR="0020131C" w:rsidRPr="008356AE" w:rsidRDefault="0020131C" w:rsidP="00EE1770">
      <w:pPr>
        <w:pStyle w:val="SingleTxtG"/>
        <w:ind w:left="1701"/>
      </w:pPr>
      <w:r>
        <w:rPr>
          <w:lang w:val="fr-FR"/>
        </w:rPr>
        <w:t>« I</w:t>
      </w:r>
      <w:r>
        <w:rPr>
          <w:vertAlign w:val="subscript"/>
          <w:lang w:val="fr-FR"/>
        </w:rPr>
        <w:t>N</w:t>
      </w:r>
      <w:r>
        <w:rPr>
          <w:lang w:val="fr-FR"/>
        </w:rPr>
        <w:t xml:space="preserve"> = Engin isotherme normal spécifié par</w:t>
      </w:r>
      <w:r>
        <w:t> </w:t>
      </w:r>
      <w:r>
        <w:rPr>
          <w:lang w:val="fr-FR"/>
        </w:rPr>
        <w:t xml:space="preserve">: </w:t>
      </w:r>
      <w:r w:rsidR="00EE1770">
        <w:rPr>
          <w:b/>
          <w:spacing w:val="-3"/>
        </w:rPr>
        <w:t>−</w:t>
      </w:r>
      <w:r>
        <w:rPr>
          <w:lang w:val="fr-FR"/>
        </w:rPr>
        <w:t xml:space="preserve"> un coefficient K égal ou inférieur à </w:t>
      </w:r>
      <w:r>
        <w:rPr>
          <w:strike/>
          <w:lang w:val="fr-FR"/>
        </w:rPr>
        <w:t xml:space="preserve">0,70 </w:t>
      </w:r>
      <w:r>
        <w:rPr>
          <w:b/>
          <w:bCs/>
          <w:lang w:val="fr-FR"/>
        </w:rPr>
        <w:t xml:space="preserve">0.65 </w:t>
      </w:r>
      <w:r>
        <w:rPr>
          <w:lang w:val="fr-FR"/>
        </w:rPr>
        <w:t>W/m</w:t>
      </w:r>
      <w:proofErr w:type="gramStart"/>
      <w:r>
        <w:rPr>
          <w:vertAlign w:val="superscript"/>
          <w:lang w:val="fr-FR"/>
        </w:rPr>
        <w:t>2</w:t>
      </w:r>
      <w:r>
        <w:rPr>
          <w:lang w:val="fr-FR"/>
        </w:rPr>
        <w:t>.K</w:t>
      </w:r>
      <w:proofErr w:type="gramEnd"/>
      <w:r>
        <w:rPr>
          <w:lang w:val="fr-FR"/>
        </w:rPr>
        <w:t> ; »</w:t>
      </w:r>
    </w:p>
    <w:p w14:paraId="21DE6426" w14:textId="77777777" w:rsidR="0020131C" w:rsidRPr="008255FF" w:rsidRDefault="0020131C" w:rsidP="00EE1770">
      <w:pPr>
        <w:pStyle w:val="SingleTxtG"/>
        <w:ind w:left="1701"/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</w:t>
      </w:r>
    </w:p>
    <w:p w14:paraId="6BB4BEE6" w14:textId="77777777" w:rsidR="0020131C" w:rsidRPr="008356AE" w:rsidRDefault="0020131C" w:rsidP="00EE1770">
      <w:pPr>
        <w:pStyle w:val="SingleTxtG"/>
        <w:ind w:left="1701"/>
      </w:pPr>
      <w:r>
        <w:rPr>
          <w:lang w:val="fr-FR"/>
        </w:rPr>
        <w:t>« I</w:t>
      </w:r>
      <w:r>
        <w:rPr>
          <w:vertAlign w:val="subscript"/>
          <w:lang w:val="fr-FR"/>
        </w:rPr>
        <w:t>N</w:t>
      </w:r>
      <w:r>
        <w:rPr>
          <w:lang w:val="fr-FR"/>
        </w:rPr>
        <w:t xml:space="preserve"> = Engin isotherme normal spécifié par : </w:t>
      </w:r>
      <w:r w:rsidR="00EE1770">
        <w:rPr>
          <w:b/>
          <w:spacing w:val="-3"/>
        </w:rPr>
        <w:t>−</w:t>
      </w:r>
      <w:r>
        <w:rPr>
          <w:lang w:val="fr-FR"/>
        </w:rPr>
        <w:t xml:space="preserve"> un coefficient K égal ou inférieur à</w:t>
      </w:r>
      <w:r>
        <w:rPr>
          <w:strike/>
          <w:lang w:val="fr-FR"/>
        </w:rPr>
        <w:t xml:space="preserve"> 0,70</w:t>
      </w:r>
      <w:r w:rsidRPr="009A691C">
        <w:rPr>
          <w:strike/>
          <w:lang w:val="fr-FR"/>
        </w:rPr>
        <w:t xml:space="preserve"> </w:t>
      </w:r>
      <w:r>
        <w:rPr>
          <w:b/>
          <w:bCs/>
          <w:lang w:val="fr-FR"/>
        </w:rPr>
        <w:t xml:space="preserve">0,60 </w:t>
      </w:r>
      <w:r>
        <w:rPr>
          <w:lang w:val="fr-FR"/>
        </w:rPr>
        <w:t>W/m</w:t>
      </w:r>
      <w:proofErr w:type="gramStart"/>
      <w:r>
        <w:rPr>
          <w:vertAlign w:val="superscript"/>
          <w:lang w:val="fr-FR"/>
        </w:rPr>
        <w:t>2</w:t>
      </w:r>
      <w:r>
        <w:rPr>
          <w:lang w:val="fr-FR"/>
        </w:rPr>
        <w:t>.K</w:t>
      </w:r>
      <w:proofErr w:type="gramEnd"/>
      <w:r>
        <w:rPr>
          <w:lang w:val="fr-FR"/>
        </w:rPr>
        <w:t> ; »</w:t>
      </w:r>
    </w:p>
    <w:p w14:paraId="100C6722" w14:textId="77777777" w:rsidR="0020131C" w:rsidRPr="00DB4C7D" w:rsidRDefault="0020131C" w:rsidP="00EE1770">
      <w:pPr>
        <w:pStyle w:val="HChG"/>
      </w:pPr>
      <w:r>
        <w:rPr>
          <w:lang w:val="fr-FR"/>
        </w:rPr>
        <w:tab/>
      </w:r>
      <w:r w:rsidR="00EE1770">
        <w:rPr>
          <w:lang w:val="fr-FR"/>
        </w:rPr>
        <w:t>II.</w:t>
      </w:r>
      <w:r w:rsidR="00EE1770">
        <w:rPr>
          <w:lang w:val="fr-FR"/>
        </w:rPr>
        <w:tab/>
      </w:r>
      <w:r>
        <w:rPr>
          <w:lang w:val="fr-FR"/>
        </w:rPr>
        <w:t>Incidences</w:t>
      </w:r>
    </w:p>
    <w:p w14:paraId="46DD3448" w14:textId="77777777" w:rsidR="0020131C" w:rsidRDefault="00EE1770" w:rsidP="00EE1770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</w:r>
      <w:r w:rsidR="0020131C">
        <w:rPr>
          <w:lang w:val="fr-FR"/>
        </w:rPr>
        <w:t>Seul un très faible pourcentage de caisses isothermes ATP sont certifiées de catégorie I</w:t>
      </w:r>
      <w:r w:rsidR="0020131C">
        <w:rPr>
          <w:vertAlign w:val="subscript"/>
          <w:lang w:val="fr-FR"/>
        </w:rPr>
        <w:t>N</w:t>
      </w:r>
      <w:r w:rsidR="0020131C">
        <w:rPr>
          <w:lang w:val="fr-FR"/>
        </w:rPr>
        <w:t>. La présente proposition pourrait avoir une incidence pour les fabricants. Ces derniers devront probablement se concentrer sur l</w:t>
      </w:r>
      <w:r>
        <w:rPr>
          <w:lang w:val="fr-FR"/>
        </w:rPr>
        <w:t>’</w:t>
      </w:r>
      <w:r w:rsidR="0020131C">
        <w:rPr>
          <w:lang w:val="fr-FR"/>
        </w:rPr>
        <w:t>amélioration de la conception des petites zones où se produisent les ponts thermiques les plus importants.</w:t>
      </w:r>
    </w:p>
    <w:p w14:paraId="2F2B7916" w14:textId="77777777" w:rsidR="0020131C" w:rsidRPr="008356AE" w:rsidRDefault="00EE1770" w:rsidP="00EE1770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</w:r>
      <w:r w:rsidR="0020131C">
        <w:rPr>
          <w:lang w:val="fr-FR"/>
        </w:rPr>
        <w:t>Il pourrait y avoir une incidence financière pour le secteur ; si la valeur de K est abaissée, davantage de restrictions seront apportées au marché relevant de l</w:t>
      </w:r>
      <w:r>
        <w:rPr>
          <w:lang w:val="fr-FR"/>
        </w:rPr>
        <w:t>’</w:t>
      </w:r>
      <w:r w:rsidR="0020131C">
        <w:rPr>
          <w:lang w:val="fr-FR"/>
        </w:rPr>
        <w:t xml:space="preserve">ATP. </w:t>
      </w:r>
    </w:p>
    <w:p w14:paraId="31D10D0C" w14:textId="77777777" w:rsidR="0020131C" w:rsidRDefault="00EE1770" w:rsidP="00EE1770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</w:r>
      <w:r w:rsidR="0020131C">
        <w:rPr>
          <w:lang w:val="fr-FR"/>
        </w:rPr>
        <w:t>Il se peut qu</w:t>
      </w:r>
      <w:r>
        <w:rPr>
          <w:lang w:val="fr-FR"/>
        </w:rPr>
        <w:t>’</w:t>
      </w:r>
      <w:r w:rsidR="0020131C">
        <w:rPr>
          <w:lang w:val="fr-FR"/>
        </w:rPr>
        <w:t>une dérogation soit nécessaire pour les citernes, car l</w:t>
      </w:r>
      <w:r>
        <w:rPr>
          <w:lang w:val="fr-FR"/>
        </w:rPr>
        <w:t>’</w:t>
      </w:r>
      <w:r w:rsidR="0020131C">
        <w:rPr>
          <w:lang w:val="fr-FR"/>
        </w:rPr>
        <w:t>isolation de certaines d</w:t>
      </w:r>
      <w:r>
        <w:rPr>
          <w:lang w:val="fr-FR"/>
        </w:rPr>
        <w:t>’</w:t>
      </w:r>
      <w:r w:rsidR="0020131C">
        <w:rPr>
          <w:lang w:val="fr-FR"/>
        </w:rPr>
        <w:t>entre elles a déjà été refaite et ne pourra pas atteindre une valeur K plus élevée.</w:t>
      </w:r>
    </w:p>
    <w:p w14:paraId="3BEE46D9" w14:textId="77777777" w:rsidR="0020131C" w:rsidRDefault="00EE1770" w:rsidP="00EE1770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20131C">
        <w:rPr>
          <w:lang w:val="fr-FR"/>
        </w:rPr>
        <w:t>En abaissant la valeur K, les caisses isothermes seront toutefois plus efficaces et permettront de faire des économies d</w:t>
      </w:r>
      <w:r>
        <w:rPr>
          <w:lang w:val="fr-FR"/>
        </w:rPr>
        <w:t>’</w:t>
      </w:r>
      <w:r w:rsidR="0020131C">
        <w:rPr>
          <w:lang w:val="fr-FR"/>
        </w:rPr>
        <w:t>énergie.</w:t>
      </w:r>
    </w:p>
    <w:p w14:paraId="3F20C33B" w14:textId="77777777" w:rsidR="00EE1770" w:rsidRPr="00EE1770" w:rsidRDefault="00EE1770" w:rsidP="00EE177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E1770" w:rsidRPr="00EE1770" w:rsidSect="002013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5ABE" w14:textId="77777777" w:rsidR="00564B1D" w:rsidRDefault="00564B1D" w:rsidP="00F95C08">
      <w:pPr>
        <w:spacing w:line="240" w:lineRule="auto"/>
      </w:pPr>
    </w:p>
  </w:endnote>
  <w:endnote w:type="continuationSeparator" w:id="0">
    <w:p w14:paraId="38E5331B" w14:textId="77777777" w:rsidR="00564B1D" w:rsidRPr="00AC3823" w:rsidRDefault="00564B1D" w:rsidP="00AC3823">
      <w:pPr>
        <w:pStyle w:val="Footer"/>
      </w:pPr>
    </w:p>
  </w:endnote>
  <w:endnote w:type="continuationNotice" w:id="1">
    <w:p w14:paraId="60563FD2" w14:textId="77777777" w:rsidR="00564B1D" w:rsidRDefault="00564B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19A3" w14:textId="77777777" w:rsidR="0020131C" w:rsidRPr="0020131C" w:rsidRDefault="0020131C" w:rsidP="0020131C">
    <w:pPr>
      <w:pStyle w:val="Footer"/>
      <w:tabs>
        <w:tab w:val="right" w:pos="9638"/>
      </w:tabs>
    </w:pPr>
    <w:r w:rsidRPr="0020131C">
      <w:rPr>
        <w:b/>
        <w:sz w:val="18"/>
      </w:rPr>
      <w:fldChar w:fldCharType="begin"/>
    </w:r>
    <w:r w:rsidRPr="0020131C">
      <w:rPr>
        <w:b/>
        <w:sz w:val="18"/>
      </w:rPr>
      <w:instrText xml:space="preserve"> PAGE  \* MERGEFORMAT </w:instrText>
    </w:r>
    <w:r w:rsidRPr="0020131C">
      <w:rPr>
        <w:b/>
        <w:sz w:val="18"/>
      </w:rPr>
      <w:fldChar w:fldCharType="separate"/>
    </w:r>
    <w:r w:rsidRPr="0020131C">
      <w:rPr>
        <w:b/>
        <w:noProof/>
        <w:sz w:val="18"/>
      </w:rPr>
      <w:t>2</w:t>
    </w:r>
    <w:r w:rsidRPr="0020131C">
      <w:rPr>
        <w:b/>
        <w:sz w:val="18"/>
      </w:rPr>
      <w:fldChar w:fldCharType="end"/>
    </w:r>
    <w:r>
      <w:rPr>
        <w:b/>
        <w:sz w:val="18"/>
      </w:rPr>
      <w:tab/>
    </w:r>
    <w:r>
      <w:t>GE.19-12583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B81F" w14:textId="77777777" w:rsidR="0020131C" w:rsidRPr="0020131C" w:rsidRDefault="0020131C" w:rsidP="0020131C">
    <w:pPr>
      <w:pStyle w:val="Footer"/>
      <w:tabs>
        <w:tab w:val="right" w:pos="9638"/>
      </w:tabs>
      <w:rPr>
        <w:b/>
        <w:sz w:val="18"/>
      </w:rPr>
    </w:pPr>
    <w:r>
      <w:t>GE.19-12583</w:t>
    </w:r>
    <w:r>
      <w:tab/>
    </w:r>
    <w:r w:rsidRPr="0020131C">
      <w:rPr>
        <w:b/>
        <w:sz w:val="18"/>
      </w:rPr>
      <w:fldChar w:fldCharType="begin"/>
    </w:r>
    <w:r w:rsidRPr="0020131C">
      <w:rPr>
        <w:b/>
        <w:sz w:val="18"/>
      </w:rPr>
      <w:instrText xml:space="preserve"> PAGE  \* MERGEFORMAT </w:instrText>
    </w:r>
    <w:r w:rsidRPr="0020131C">
      <w:rPr>
        <w:b/>
        <w:sz w:val="18"/>
      </w:rPr>
      <w:fldChar w:fldCharType="separate"/>
    </w:r>
    <w:r w:rsidRPr="0020131C">
      <w:rPr>
        <w:b/>
        <w:noProof/>
        <w:sz w:val="18"/>
      </w:rPr>
      <w:t>3</w:t>
    </w:r>
    <w:r w:rsidRPr="002013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238F" w14:textId="77777777" w:rsidR="007F20FA" w:rsidRPr="0020131C" w:rsidRDefault="0020131C" w:rsidP="0020131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958DF87" wp14:editId="61843A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12583  (</w:t>
    </w:r>
    <w:proofErr w:type="gramEnd"/>
    <w:r>
      <w:rPr>
        <w:sz w:val="20"/>
      </w:rPr>
      <w:t>F)</w:t>
    </w:r>
    <w:r w:rsidR="00EE1770">
      <w:rPr>
        <w:sz w:val="20"/>
      </w:rPr>
      <w:t xml:space="preserve">    160819    220819</w:t>
    </w:r>
    <w:r>
      <w:rPr>
        <w:sz w:val="20"/>
      </w:rPr>
      <w:br/>
    </w:r>
    <w:r w:rsidRPr="0020131C">
      <w:rPr>
        <w:rFonts w:ascii="C39T30Lfz" w:hAnsi="C39T30Lfz"/>
        <w:sz w:val="56"/>
      </w:rPr>
      <w:t></w:t>
    </w:r>
    <w:r w:rsidRPr="0020131C">
      <w:rPr>
        <w:rFonts w:ascii="C39T30Lfz" w:hAnsi="C39T30Lfz"/>
        <w:sz w:val="56"/>
      </w:rPr>
      <w:t></w:t>
    </w:r>
    <w:r w:rsidRPr="0020131C">
      <w:rPr>
        <w:rFonts w:ascii="C39T30Lfz" w:hAnsi="C39T30Lfz"/>
        <w:sz w:val="56"/>
      </w:rPr>
      <w:t></w:t>
    </w:r>
    <w:r w:rsidRPr="0020131C">
      <w:rPr>
        <w:rFonts w:ascii="C39T30Lfz" w:hAnsi="C39T30Lfz"/>
        <w:sz w:val="56"/>
      </w:rPr>
      <w:t></w:t>
    </w:r>
    <w:r w:rsidRPr="0020131C">
      <w:rPr>
        <w:rFonts w:ascii="C39T30Lfz" w:hAnsi="C39T30Lfz"/>
        <w:sz w:val="56"/>
      </w:rPr>
      <w:t></w:t>
    </w:r>
    <w:r w:rsidRPr="0020131C">
      <w:rPr>
        <w:rFonts w:ascii="C39T30Lfz" w:hAnsi="C39T30Lfz"/>
        <w:sz w:val="56"/>
      </w:rPr>
      <w:t></w:t>
    </w:r>
    <w:r w:rsidRPr="0020131C">
      <w:rPr>
        <w:rFonts w:ascii="C39T30Lfz" w:hAnsi="C39T30Lfz"/>
        <w:sz w:val="56"/>
      </w:rPr>
      <w:t></w:t>
    </w:r>
    <w:r w:rsidRPr="0020131C">
      <w:rPr>
        <w:rFonts w:ascii="C39T30Lfz" w:hAnsi="C39T30Lfz"/>
        <w:sz w:val="56"/>
      </w:rPr>
      <w:t></w:t>
    </w:r>
    <w:r w:rsidRPr="0020131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651E18A" wp14:editId="4E46449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EC3D" w14:textId="77777777" w:rsidR="00564B1D" w:rsidRPr="00AC3823" w:rsidRDefault="00564B1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8D84E5" w14:textId="77777777" w:rsidR="00564B1D" w:rsidRPr="00AC3823" w:rsidRDefault="00564B1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CD06DDD" w14:textId="77777777" w:rsidR="00564B1D" w:rsidRPr="00AC3823" w:rsidRDefault="00564B1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CEDC" w14:textId="442953DE" w:rsidR="0020131C" w:rsidRPr="0020131C" w:rsidRDefault="00F30DE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6198" w14:textId="44D197D1" w:rsidR="0020131C" w:rsidRPr="0020131C" w:rsidRDefault="00F30DE2" w:rsidP="002013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D"/>
    <w:rsid w:val="00017F94"/>
    <w:rsid w:val="00023842"/>
    <w:rsid w:val="000334F9"/>
    <w:rsid w:val="00045FEB"/>
    <w:rsid w:val="0007796D"/>
    <w:rsid w:val="000B7790"/>
    <w:rsid w:val="00111F2F"/>
    <w:rsid w:val="00133895"/>
    <w:rsid w:val="0014365E"/>
    <w:rsid w:val="00143C66"/>
    <w:rsid w:val="00176178"/>
    <w:rsid w:val="001C6CCC"/>
    <w:rsid w:val="001F525A"/>
    <w:rsid w:val="0020131C"/>
    <w:rsid w:val="00223272"/>
    <w:rsid w:val="0024779E"/>
    <w:rsid w:val="00255941"/>
    <w:rsid w:val="00257168"/>
    <w:rsid w:val="002744B8"/>
    <w:rsid w:val="002759BA"/>
    <w:rsid w:val="002832AC"/>
    <w:rsid w:val="002D7C93"/>
    <w:rsid w:val="00305801"/>
    <w:rsid w:val="0033517A"/>
    <w:rsid w:val="0035744E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64B1D"/>
    <w:rsid w:val="00573BE5"/>
    <w:rsid w:val="00586ED3"/>
    <w:rsid w:val="00596AA9"/>
    <w:rsid w:val="0071601D"/>
    <w:rsid w:val="00740149"/>
    <w:rsid w:val="007A62E6"/>
    <w:rsid w:val="007F20FA"/>
    <w:rsid w:val="00803E51"/>
    <w:rsid w:val="0080684C"/>
    <w:rsid w:val="00816A8A"/>
    <w:rsid w:val="00871C75"/>
    <w:rsid w:val="008776DC"/>
    <w:rsid w:val="008F4ED7"/>
    <w:rsid w:val="009446C0"/>
    <w:rsid w:val="009705C8"/>
    <w:rsid w:val="00981517"/>
    <w:rsid w:val="009A691C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16679"/>
    <w:rsid w:val="00C17D3D"/>
    <w:rsid w:val="00C90566"/>
    <w:rsid w:val="00C97039"/>
    <w:rsid w:val="00D3439C"/>
    <w:rsid w:val="00DB1831"/>
    <w:rsid w:val="00DD3BFD"/>
    <w:rsid w:val="00DF6678"/>
    <w:rsid w:val="00E0299A"/>
    <w:rsid w:val="00E85C74"/>
    <w:rsid w:val="00EA6547"/>
    <w:rsid w:val="00EE1770"/>
    <w:rsid w:val="00EF2E22"/>
    <w:rsid w:val="00F30DE2"/>
    <w:rsid w:val="00F35BAF"/>
    <w:rsid w:val="00F660DF"/>
    <w:rsid w:val="00F94664"/>
    <w:rsid w:val="00F9573C"/>
    <w:rsid w:val="00F95C08"/>
    <w:rsid w:val="00F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08E96"/>
  <w15:docId w15:val="{8488EE2D-7446-4096-AA15-C319D03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ECE/TRANS/WP.11/2019/18</vt:lpstr>
      <vt:lpstr>ECE/TRANS/WP.11/2019/18</vt:lpstr>
    </vt:vector>
  </TitlesOfParts>
  <Company>DCM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ECE/TRANS/WP.11/2019/18</dc:title>
  <dc:subject/>
  <dc:creator>Julien OKRZESIK</dc:creator>
  <cp:keywords/>
  <cp:lastModifiedBy>Marie-Claude Collet</cp:lastModifiedBy>
  <cp:revision>3</cp:revision>
  <cp:lastPrinted>2019-09-04T12:06:00Z</cp:lastPrinted>
  <dcterms:created xsi:type="dcterms:W3CDTF">2019-09-04T12:06:00Z</dcterms:created>
  <dcterms:modified xsi:type="dcterms:W3CDTF">2019-09-04T12:07:00Z</dcterms:modified>
</cp:coreProperties>
</file>