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C7CF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3FE571" w14:textId="77777777" w:rsidR="002D5AAC" w:rsidRDefault="002D5AAC" w:rsidP="004538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51E7E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3A9089" w14:textId="77777777" w:rsidR="002D5AAC" w:rsidRDefault="004538C6" w:rsidP="004538C6">
            <w:pPr>
              <w:jc w:val="right"/>
            </w:pPr>
            <w:r w:rsidRPr="004538C6">
              <w:rPr>
                <w:sz w:val="40"/>
              </w:rPr>
              <w:t>ECE</w:t>
            </w:r>
            <w:r>
              <w:t>/TRANS/WP.11/2019/16</w:t>
            </w:r>
          </w:p>
        </w:tc>
      </w:tr>
      <w:tr w:rsidR="002D5AAC" w14:paraId="2421CD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67CC3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98EEED" wp14:editId="3212BCE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11D90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BEEDB3" w14:textId="77777777" w:rsidR="002D5AAC" w:rsidRDefault="004538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B1F347" w14:textId="77777777" w:rsidR="004538C6" w:rsidRDefault="004538C6" w:rsidP="004538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0ACE9907" w14:textId="77777777" w:rsidR="004538C6" w:rsidRDefault="004538C6" w:rsidP="004538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D157CB" w14:textId="77777777" w:rsidR="004538C6" w:rsidRPr="008D53B6" w:rsidRDefault="004538C6" w:rsidP="004538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DD4CC1" w14:textId="77777777" w:rsidR="004538C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D66434" w14:textId="77777777" w:rsidR="004538C6" w:rsidRPr="004538C6" w:rsidRDefault="004538C6" w:rsidP="004538C6">
      <w:pPr>
        <w:spacing w:before="120"/>
        <w:rPr>
          <w:sz w:val="28"/>
          <w:szCs w:val="28"/>
        </w:rPr>
      </w:pPr>
      <w:r w:rsidRPr="004538C6">
        <w:rPr>
          <w:sz w:val="28"/>
          <w:szCs w:val="28"/>
        </w:rPr>
        <w:t>Комитет по внутреннему транспорту</w:t>
      </w:r>
    </w:p>
    <w:p w14:paraId="66CEDB6E" w14:textId="77777777" w:rsidR="004538C6" w:rsidRPr="004538C6" w:rsidRDefault="004538C6" w:rsidP="004538C6">
      <w:pPr>
        <w:spacing w:before="120"/>
        <w:rPr>
          <w:b/>
          <w:sz w:val="24"/>
          <w:szCs w:val="24"/>
        </w:rPr>
      </w:pPr>
      <w:r w:rsidRPr="004538C6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4538C6">
        <w:rPr>
          <w:b/>
          <w:bCs/>
          <w:sz w:val="24"/>
          <w:szCs w:val="24"/>
        </w:rPr>
        <w:t>пищевых продуктов</w:t>
      </w:r>
    </w:p>
    <w:p w14:paraId="28C5022C" w14:textId="77777777" w:rsidR="004538C6" w:rsidRPr="00E0350B" w:rsidRDefault="004538C6" w:rsidP="004538C6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28F12B73" w14:textId="77777777" w:rsidR="004538C6" w:rsidRPr="00E0350B" w:rsidRDefault="004538C6" w:rsidP="004538C6">
      <w:r>
        <w:t>Женева, 8–11 октября 2019 года</w:t>
      </w:r>
    </w:p>
    <w:p w14:paraId="471CAFF9" w14:textId="77777777" w:rsidR="004538C6" w:rsidRPr="00E0350B" w:rsidRDefault="004538C6" w:rsidP="004538C6">
      <w:r>
        <w:t>Пункт 5 b) предварительной повестки дня</w:t>
      </w:r>
    </w:p>
    <w:p w14:paraId="3297AB17" w14:textId="77777777" w:rsidR="004538C6" w:rsidRPr="00E0350B" w:rsidRDefault="004538C6" w:rsidP="004538C6">
      <w:pPr>
        <w:rPr>
          <w:b/>
        </w:rPr>
      </w:pPr>
      <w:r>
        <w:rPr>
          <w:b/>
          <w:bCs/>
        </w:rPr>
        <w:t>Предложение по поправкам к СПС: новые предложения</w:t>
      </w:r>
    </w:p>
    <w:p w14:paraId="7F8B5DB4" w14:textId="77777777" w:rsidR="004538C6" w:rsidRPr="00E0350B" w:rsidRDefault="004538C6" w:rsidP="004538C6">
      <w:pPr>
        <w:pStyle w:val="HChG"/>
      </w:pPr>
      <w:r>
        <w:tab/>
      </w:r>
      <w:r>
        <w:tab/>
        <w:t xml:space="preserve">Предложения по </w:t>
      </w:r>
      <w:r w:rsidRPr="004538C6">
        <w:t>совершенствованию</w:t>
      </w:r>
      <w:r>
        <w:t xml:space="preserve"> протоколов испытаний и свидетельств о соответствии СПС</w:t>
      </w:r>
    </w:p>
    <w:p w14:paraId="2096C61E" w14:textId="77777777" w:rsidR="004538C6" w:rsidRPr="00E0350B" w:rsidRDefault="004538C6" w:rsidP="004538C6">
      <w:pPr>
        <w:pStyle w:val="H1G"/>
      </w:pPr>
      <w:r>
        <w:tab/>
      </w:r>
      <w:r>
        <w:tab/>
        <w:t xml:space="preserve">Передано правительством Нидерландов от имени неофициальной рабочей группы по совершенствованию системы допущения оборудования СПС и термического </w:t>
      </w:r>
      <w:r w:rsidRPr="004538C6">
        <w:t>оборудования</w:t>
      </w:r>
    </w:p>
    <w:p w14:paraId="533B2CF6" w14:textId="77777777" w:rsidR="004538C6" w:rsidRDefault="004538C6" w:rsidP="004538C6">
      <w:pPr>
        <w:pStyle w:val="HChG"/>
      </w:pPr>
      <w:r>
        <w:tab/>
      </w:r>
      <w:r>
        <w:tab/>
      </w:r>
      <w:r w:rsidRPr="004538C6">
        <w:t>Введение</w:t>
      </w:r>
    </w:p>
    <w:p w14:paraId="2038BED3" w14:textId="77777777" w:rsidR="004538C6" w:rsidRPr="00E0350B" w:rsidRDefault="004538C6" w:rsidP="004538C6">
      <w:pPr>
        <w:pStyle w:val="SingleTxtG"/>
        <w:rPr>
          <w:b/>
        </w:rPr>
      </w:pPr>
      <w:r w:rsidRPr="00E0350B">
        <w:t>1.</w:t>
      </w:r>
      <w:r w:rsidRPr="00E0350B">
        <w:tab/>
      </w:r>
      <w:r>
        <w:t xml:space="preserve">Неофициальная рабочая группа по совершенствованию системы допущения транспортных средств </w:t>
      </w:r>
      <w:r w:rsidRPr="004538C6">
        <w:t>СПС</w:t>
      </w:r>
      <w:r>
        <w:t xml:space="preserve"> и </w:t>
      </w:r>
      <w:r w:rsidRPr="00E0350B">
        <w:t>термического оборудования</w:t>
      </w:r>
      <w:r>
        <w:t xml:space="preserve"> работает над решением вопросов, которые могут повысить уровень признания официальных утверждений. Доклад неофициальной группы, в котором излагаются итоги обсуждений и предложения по совершенствованию этой системы, будет представлен в следующем неофициальном документе. Рабочая группа приняла детальные усовершенствования, которые позволят повысить уровень признания протоколов испытаний и выдачи свидетельств СПС в короткие сроки.</w:t>
      </w:r>
    </w:p>
    <w:p w14:paraId="3BFD55E1" w14:textId="77777777" w:rsidR="004538C6" w:rsidRPr="00E0350B" w:rsidRDefault="004538C6" w:rsidP="004538C6">
      <w:pPr>
        <w:pStyle w:val="H23G"/>
      </w:pPr>
      <w:r>
        <w:tab/>
      </w:r>
      <w:r>
        <w:tab/>
      </w:r>
      <w:r w:rsidRPr="004538C6">
        <w:t>Часть</w:t>
      </w:r>
      <w:r>
        <w:t xml:space="preserve"> 1</w:t>
      </w:r>
    </w:p>
    <w:p w14:paraId="00D47F8B" w14:textId="77777777" w:rsidR="004538C6" w:rsidRPr="00E0350B" w:rsidRDefault="004538C6" w:rsidP="004538C6">
      <w:pPr>
        <w:pStyle w:val="SingleTxtG"/>
        <w:rPr>
          <w:lang w:val="fr-CH"/>
        </w:rPr>
      </w:pPr>
      <w:r>
        <w:t>2.</w:t>
      </w:r>
      <w:r>
        <w:tab/>
        <w:t>Последовательное использование в правилах терминов «зависимый», «независимый» и «работающий от магистрали». Во</w:t>
      </w:r>
      <w:r w:rsidRPr="00E0350B">
        <w:rPr>
          <w:lang w:val="fr-CH"/>
        </w:rPr>
        <w:t xml:space="preserve"> </w:t>
      </w:r>
      <w:r>
        <w:t>французском</w:t>
      </w:r>
      <w:r w:rsidRPr="00E0350B">
        <w:rPr>
          <w:lang w:val="fr-CH"/>
        </w:rPr>
        <w:t xml:space="preserve"> </w:t>
      </w:r>
      <w:r>
        <w:t>тексте</w:t>
      </w:r>
      <w:r w:rsidRPr="00E0350B">
        <w:rPr>
          <w:lang w:val="fr-CH"/>
        </w:rPr>
        <w:t xml:space="preserve"> «autonome», «non autonome» </w:t>
      </w:r>
      <w:r>
        <w:t>и</w:t>
      </w:r>
      <w:r w:rsidRPr="00E0350B">
        <w:rPr>
          <w:lang w:val="fr-CH"/>
        </w:rPr>
        <w:t xml:space="preserve"> «raccordé à une installation centrale»</w:t>
      </w:r>
      <w:r>
        <w:rPr>
          <w:lang w:val="fr-CH"/>
        </w:rPr>
        <w:t>.</w:t>
      </w:r>
    </w:p>
    <w:p w14:paraId="732DB310" w14:textId="77777777" w:rsidR="004538C6" w:rsidRPr="004538C6" w:rsidRDefault="004538C6" w:rsidP="004538C6">
      <w:pPr>
        <w:pStyle w:val="H4G"/>
        <w:rPr>
          <w:b/>
        </w:rPr>
      </w:pPr>
      <w:r>
        <w:tab/>
      </w:r>
      <w:r>
        <w:tab/>
      </w:r>
      <w:r w:rsidRPr="004538C6">
        <w:rPr>
          <w:b/>
        </w:rPr>
        <w:t>Предложение 1</w:t>
      </w:r>
    </w:p>
    <w:p w14:paraId="3B3B562A" w14:textId="77777777" w:rsidR="004538C6" w:rsidRPr="00DC0773" w:rsidRDefault="004538C6" w:rsidP="004538C6">
      <w:pPr>
        <w:pStyle w:val="SingleTxtG"/>
        <w:tabs>
          <w:tab w:val="left" w:pos="1440"/>
        </w:tabs>
        <w:ind w:left="1418"/>
      </w:pPr>
      <w:r>
        <w:t xml:space="preserve">В образце протокола </w:t>
      </w:r>
      <w:r w:rsidRPr="004538C6">
        <w:t>испытания</w:t>
      </w:r>
      <w:r>
        <w:t xml:space="preserve"> № 12 «определение полезной холодопроизводительности холодильной установки в соответствии с разделом 4 добавления 2 к приложению 1 к СПС» заменить в позиции «Категория»:</w:t>
      </w:r>
    </w:p>
    <w:p w14:paraId="6E65571B" w14:textId="77777777" w:rsidR="004538C6" w:rsidRPr="00E0350B" w:rsidRDefault="004538C6" w:rsidP="004538C6">
      <w:pPr>
        <w:pStyle w:val="SingleTxtG"/>
        <w:tabs>
          <w:tab w:val="left" w:pos="1440"/>
        </w:tabs>
        <w:ind w:left="1418"/>
      </w:pPr>
      <w:r>
        <w:t>«автономный/неавтономный», «</w:t>
      </w:r>
      <w:r w:rsidRPr="00660F53">
        <w:rPr>
          <w:i/>
        </w:rPr>
        <w:t>привод независимый/зависимый/работающий от магистрали</w:t>
      </w:r>
      <w:r w:rsidRPr="00660F53">
        <w:rPr>
          <w:i/>
          <w:vertAlign w:val="superscript"/>
        </w:rPr>
        <w:t>1</w:t>
      </w:r>
      <w:r>
        <w:t>».</w:t>
      </w:r>
    </w:p>
    <w:p w14:paraId="40CB9C72" w14:textId="77777777" w:rsidR="004538C6" w:rsidRPr="004538C6" w:rsidRDefault="004538C6" w:rsidP="004538C6">
      <w:pPr>
        <w:pStyle w:val="H4G"/>
        <w:rPr>
          <w:b/>
        </w:rPr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  <w:r w:rsidRPr="004538C6">
        <w:rPr>
          <w:b/>
        </w:rPr>
        <w:t>Предложение 2</w:t>
      </w:r>
    </w:p>
    <w:p w14:paraId="5E3DA225" w14:textId="77777777" w:rsidR="004538C6" w:rsidRPr="00E0350B" w:rsidRDefault="004538C6" w:rsidP="004538C6">
      <w:pPr>
        <w:pStyle w:val="SingleTxtG"/>
        <w:tabs>
          <w:tab w:val="left" w:pos="1440"/>
        </w:tabs>
        <w:ind w:left="1418"/>
      </w:pPr>
      <w:r>
        <w:t xml:space="preserve">В строке 6.1.2 </w:t>
      </w:r>
      <w:r w:rsidR="00F625C6">
        <w:t>«</w:t>
      </w:r>
      <w:r>
        <w:t>Образца бланка свидетельства о соответствии транспортных средств, предусмотренного в пункте 3 добавления 1 к приложению 1</w:t>
      </w:r>
      <w:r w:rsidR="00F625C6">
        <w:t>»</w:t>
      </w:r>
      <w:r>
        <w:t xml:space="preserve"> (относится только к варианту на английском языке)</w:t>
      </w:r>
      <w:r w:rsidR="00F625C6">
        <w:t>.</w:t>
      </w:r>
    </w:p>
    <w:p w14:paraId="7D825262" w14:textId="77777777" w:rsidR="004538C6" w:rsidRPr="00E0350B" w:rsidRDefault="004538C6" w:rsidP="004538C6">
      <w:pPr>
        <w:pStyle w:val="SingleTxtG"/>
        <w:tabs>
          <w:tab w:val="left" w:pos="1440"/>
        </w:tabs>
        <w:ind w:left="1418"/>
      </w:pPr>
      <w:r>
        <w:t>Заменить</w:t>
      </w:r>
      <w:r w:rsidRPr="00E0350B">
        <w:t xml:space="preserve"> «</w:t>
      </w:r>
      <w:r w:rsidRPr="00E0350B">
        <w:rPr>
          <w:lang w:val="en-US"/>
        </w:rPr>
        <w:t>Not</w:t>
      </w:r>
      <w:r w:rsidRPr="00E0350B">
        <w:t xml:space="preserve"> </w:t>
      </w:r>
      <w:r w:rsidRPr="00E0350B">
        <w:rPr>
          <w:lang w:val="en-US"/>
        </w:rPr>
        <w:t>independent</w:t>
      </w:r>
      <w:r w:rsidRPr="00E0350B">
        <w:t xml:space="preserve">» </w:t>
      </w:r>
      <w:r>
        <w:t>на</w:t>
      </w:r>
      <w:r w:rsidRPr="00E0350B">
        <w:t xml:space="preserve"> «</w:t>
      </w:r>
      <w:r w:rsidRPr="00E0350B">
        <w:rPr>
          <w:lang w:val="en-US"/>
        </w:rPr>
        <w:t>dependent</w:t>
      </w:r>
      <w:r w:rsidRPr="00E0350B">
        <w:t>».</w:t>
      </w:r>
    </w:p>
    <w:p w14:paraId="0B9F7DDB" w14:textId="77777777" w:rsidR="004538C6" w:rsidRPr="004538C6" w:rsidRDefault="004538C6" w:rsidP="004538C6">
      <w:pPr>
        <w:pStyle w:val="H4G"/>
        <w:rPr>
          <w:b/>
        </w:rPr>
      </w:pPr>
      <w:r>
        <w:rPr>
          <w:b/>
        </w:rPr>
        <w:tab/>
      </w:r>
      <w:r>
        <w:rPr>
          <w:b/>
        </w:rPr>
        <w:tab/>
      </w:r>
      <w:r w:rsidRPr="004538C6">
        <w:rPr>
          <w:b/>
        </w:rPr>
        <w:t>Предложение 3</w:t>
      </w:r>
    </w:p>
    <w:p w14:paraId="00ABDE9A" w14:textId="77777777" w:rsidR="004538C6" w:rsidRPr="00E0350B" w:rsidRDefault="004538C6" w:rsidP="004538C6">
      <w:pPr>
        <w:pStyle w:val="SingleTxtG"/>
        <w:tabs>
          <w:tab w:val="left" w:pos="1440"/>
        </w:tabs>
        <w:ind w:left="1418"/>
      </w:pPr>
      <w:r>
        <w:t xml:space="preserve">В пункте, который следует за примером отличительных знаков в первой строке, заменить слова </w:t>
      </w:r>
      <w:r w:rsidR="00F625C6">
        <w:t>«</w:t>
      </w:r>
      <w:r>
        <w:t>не независимых</w:t>
      </w:r>
      <w:r w:rsidR="00F625C6">
        <w:t>»</w:t>
      </w:r>
      <w:r>
        <w:t xml:space="preserve"> словом </w:t>
      </w:r>
      <w:r w:rsidR="00F625C6">
        <w:t>«</w:t>
      </w:r>
      <w:r w:rsidRPr="00F625C6">
        <w:rPr>
          <w:i/>
        </w:rPr>
        <w:t>зависимых</w:t>
      </w:r>
      <w:r w:rsidR="00F625C6">
        <w:t>»</w:t>
      </w:r>
      <w:r>
        <w:t>.</w:t>
      </w:r>
    </w:p>
    <w:p w14:paraId="5C877B95" w14:textId="77777777" w:rsidR="004538C6" w:rsidRPr="00E0350B" w:rsidRDefault="004538C6" w:rsidP="004538C6">
      <w:pPr>
        <w:pStyle w:val="H23G"/>
      </w:pPr>
      <w:r>
        <w:tab/>
      </w:r>
      <w:r>
        <w:tab/>
        <w:t>Обоснование</w:t>
      </w:r>
    </w:p>
    <w:p w14:paraId="549CE177" w14:textId="77777777" w:rsidR="004538C6" w:rsidRPr="00E0350B" w:rsidRDefault="004538C6" w:rsidP="004538C6">
      <w:pPr>
        <w:pStyle w:val="SingleTxtG"/>
      </w:pPr>
      <w:r>
        <w:t>3.</w:t>
      </w:r>
      <w:r>
        <w:tab/>
        <w:t xml:space="preserve">В данных правилах делается различие между термическими устройствами, которые могут функционировать независимо от движения транспортного средства или от работы двигателя транспортного средства. Это означает, что отопление или охлаждение неподвижного транспортного </w:t>
      </w:r>
      <w:r w:rsidRPr="004538C6">
        <w:t>средства</w:t>
      </w:r>
      <w:r>
        <w:t xml:space="preserve"> гарантируется недостаточно. Использование этих терминов в тексте, в частности на английском языке, применяется непоследовательно, что приводит к путанице.</w:t>
      </w:r>
    </w:p>
    <w:p w14:paraId="21826B79" w14:textId="77777777" w:rsidR="004538C6" w:rsidRPr="00E0350B" w:rsidRDefault="004538C6" w:rsidP="004538C6">
      <w:pPr>
        <w:pStyle w:val="H23G"/>
      </w:pPr>
      <w:r>
        <w:tab/>
      </w:r>
      <w:r>
        <w:tab/>
        <w:t>Часть 2</w:t>
      </w:r>
    </w:p>
    <w:p w14:paraId="2361C13F" w14:textId="77777777" w:rsidR="004538C6" w:rsidRPr="00E0350B" w:rsidRDefault="004538C6" w:rsidP="004538C6">
      <w:pPr>
        <w:pStyle w:val="SingleTxtG"/>
      </w:pPr>
      <w:r>
        <w:t>4.</w:t>
      </w:r>
      <w:r>
        <w:tab/>
        <w:t xml:space="preserve">Указание точной даты изготовления создает проблемы с поиском нужной информации, касающейся данной установки, и в случае неправильного заполнения является причиной отказа от признания протокола испытаний и задержки в выдаче свидетельств СПС. Каких-либо особых оснований для столь точного </w:t>
      </w:r>
      <w:r w:rsidRPr="004538C6">
        <w:t>соблюдения</w:t>
      </w:r>
      <w:r>
        <w:t xml:space="preserve"> этого момента нет. </w:t>
      </w:r>
    </w:p>
    <w:p w14:paraId="783F61E1" w14:textId="77777777" w:rsidR="004538C6" w:rsidRPr="004538C6" w:rsidRDefault="004538C6" w:rsidP="004538C6">
      <w:pPr>
        <w:pStyle w:val="H4G"/>
        <w:rPr>
          <w:b/>
        </w:rPr>
      </w:pPr>
      <w:r>
        <w:rPr>
          <w:b/>
        </w:rPr>
        <w:tab/>
      </w:r>
      <w:r>
        <w:rPr>
          <w:b/>
        </w:rPr>
        <w:tab/>
      </w:r>
      <w:r w:rsidRPr="004538C6">
        <w:rPr>
          <w:b/>
        </w:rPr>
        <w:t>Предложение 4</w:t>
      </w:r>
    </w:p>
    <w:p w14:paraId="329AE655" w14:textId="77777777" w:rsidR="004538C6" w:rsidRDefault="004538C6" w:rsidP="004538C6">
      <w:pPr>
        <w:pStyle w:val="SingleTxtG"/>
        <w:tabs>
          <w:tab w:val="left" w:pos="1440"/>
        </w:tabs>
        <w:ind w:left="1418"/>
      </w:pPr>
      <w:r>
        <w:t>В образце протокола испытания № 12 «Определение полезной холодопроизводительности холодильной установки в соответствии с разделом 4 добавления 2 к приложению 1 к СПС» заменить позиции a) Технические характеристики установки:</w:t>
      </w:r>
    </w:p>
    <w:p w14:paraId="7B830C70" w14:textId="77777777" w:rsidR="004538C6" w:rsidRPr="00E0350B" w:rsidRDefault="004538C6" w:rsidP="004538C6">
      <w:pPr>
        <w:pStyle w:val="SingleTxtG"/>
        <w:tabs>
          <w:tab w:val="left" w:pos="1440"/>
        </w:tabs>
        <w:ind w:left="1418"/>
      </w:pPr>
      <w:r>
        <w:t>«Дата изготовления» на «</w:t>
      </w:r>
      <w:r>
        <w:rPr>
          <w:i/>
          <w:iCs/>
        </w:rPr>
        <w:t>Год изготовления</w:t>
      </w:r>
      <w:r>
        <w:t>».</w:t>
      </w:r>
    </w:p>
    <w:p w14:paraId="6D81226A" w14:textId="77777777" w:rsidR="004538C6" w:rsidRPr="00E0350B" w:rsidRDefault="004538C6" w:rsidP="004538C6">
      <w:pPr>
        <w:pStyle w:val="H23G"/>
      </w:pPr>
      <w:r>
        <w:tab/>
      </w:r>
      <w:r>
        <w:tab/>
        <w:t>Обоснование</w:t>
      </w:r>
    </w:p>
    <w:p w14:paraId="0E1234EC" w14:textId="77777777" w:rsidR="004538C6" w:rsidRPr="00E0350B" w:rsidRDefault="004538C6" w:rsidP="00CE7409">
      <w:pPr>
        <w:pStyle w:val="SingleTxtG"/>
      </w:pPr>
      <w:r>
        <w:t>5.</w:t>
      </w:r>
      <w:r>
        <w:tab/>
        <w:t xml:space="preserve">Во всех других протоколах испытаний используется </w:t>
      </w:r>
      <w:r w:rsidR="00F625C6">
        <w:t>«</w:t>
      </w:r>
      <w:r>
        <w:t>год изготовления</w:t>
      </w:r>
      <w:r w:rsidR="00F625C6">
        <w:t>»</w:t>
      </w:r>
      <w:r>
        <w:t>. Считается, что в протоколе № 13 дата изготовления не служит конкретной цели и</w:t>
      </w:r>
      <w:r w:rsidR="00F625C6">
        <w:t> </w:t>
      </w:r>
      <w:r>
        <w:t>что</w:t>
      </w:r>
      <w:r w:rsidR="00F625C6">
        <w:t> </w:t>
      </w:r>
      <w:r>
        <w:t>извлечь ее в любом случае трудно. Кроме того, в пункте 5 добавления 1 к</w:t>
      </w:r>
      <w:r w:rsidR="00F625C6">
        <w:t> </w:t>
      </w:r>
      <w:r>
        <w:t>приложению</w:t>
      </w:r>
      <w:r w:rsidR="00F625C6">
        <w:t> </w:t>
      </w:r>
      <w:r>
        <w:t>1 в табличке изготовителя требуется указывать только месяц и год изготовления, а не фактическую дату, месяц и год.</w:t>
      </w:r>
    </w:p>
    <w:p w14:paraId="6B84F150" w14:textId="77777777" w:rsidR="004538C6" w:rsidRPr="00E0350B" w:rsidRDefault="004538C6" w:rsidP="004538C6">
      <w:pPr>
        <w:pStyle w:val="H23G"/>
      </w:pPr>
      <w:r>
        <w:tab/>
      </w:r>
      <w:r>
        <w:tab/>
      </w:r>
      <w:r w:rsidRPr="004538C6">
        <w:t>Часть</w:t>
      </w:r>
      <w:r>
        <w:t xml:space="preserve"> 3</w:t>
      </w:r>
    </w:p>
    <w:p w14:paraId="662A7103" w14:textId="77777777" w:rsidR="004538C6" w:rsidRPr="00E0350B" w:rsidRDefault="004538C6" w:rsidP="00CE7409">
      <w:pPr>
        <w:pStyle w:val="SingleTxtG"/>
      </w:pPr>
      <w:r>
        <w:t>6.</w:t>
      </w:r>
      <w:r>
        <w:tab/>
        <w:t>Подробная информация о конденсаторе приведена в образце протокола испытания № 13.</w:t>
      </w:r>
    </w:p>
    <w:p w14:paraId="053E701D" w14:textId="77777777" w:rsidR="004538C6" w:rsidRPr="00E0350B" w:rsidRDefault="004538C6" w:rsidP="004538C6">
      <w:pPr>
        <w:pStyle w:val="H4G"/>
        <w:rPr>
          <w:b/>
          <w:bCs/>
          <w:i w:val="0"/>
          <w:iCs/>
        </w:rPr>
      </w:pPr>
      <w:r>
        <w:rPr>
          <w:b/>
        </w:rPr>
        <w:tab/>
      </w:r>
      <w:r>
        <w:rPr>
          <w:b/>
        </w:rPr>
        <w:tab/>
      </w:r>
      <w:r w:rsidRPr="004538C6">
        <w:rPr>
          <w:b/>
        </w:rPr>
        <w:t>Предложение</w:t>
      </w:r>
      <w:r>
        <w:rPr>
          <w:b/>
          <w:bCs/>
          <w:iCs/>
        </w:rPr>
        <w:t xml:space="preserve"> 5</w:t>
      </w:r>
    </w:p>
    <w:p w14:paraId="475FAADA" w14:textId="77777777" w:rsidR="004538C6" w:rsidRPr="00E0350B" w:rsidRDefault="004538C6" w:rsidP="004538C6">
      <w:pPr>
        <w:pStyle w:val="SingleTxtG"/>
        <w:ind w:left="1418" w:right="284"/>
      </w:pPr>
      <w:r>
        <w:t>Изменить первую строку в таблице «теплообменники» следующим образом:</w:t>
      </w:r>
    </w:p>
    <w:tbl>
      <w:tblPr>
        <w:tblStyle w:val="TableGrid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911"/>
        <w:gridCol w:w="2340"/>
        <w:gridCol w:w="2119"/>
      </w:tblGrid>
      <w:tr w:rsidR="004538C6" w14:paraId="46215AA6" w14:textId="77777777" w:rsidTr="004538C6">
        <w:trPr>
          <w:trHeight w:val="315"/>
        </w:trPr>
        <w:tc>
          <w:tcPr>
            <w:tcW w:w="2911" w:type="dxa"/>
          </w:tcPr>
          <w:p w14:paraId="3C2A4E61" w14:textId="77777777" w:rsidR="004538C6" w:rsidRPr="00E0350B" w:rsidRDefault="004538C6" w:rsidP="008A7138">
            <w:pPr>
              <w:ind w:left="1134" w:right="284"/>
              <w:rPr>
                <w:i/>
              </w:rPr>
            </w:pPr>
          </w:p>
        </w:tc>
        <w:tc>
          <w:tcPr>
            <w:tcW w:w="2340" w:type="dxa"/>
          </w:tcPr>
          <w:p w14:paraId="3E0DA945" w14:textId="77777777" w:rsidR="004538C6" w:rsidRPr="00F2014A" w:rsidRDefault="004538C6" w:rsidP="004538C6">
            <w:pPr>
              <w:ind w:right="284"/>
              <w:jc w:val="center"/>
              <w:rPr>
                <w:i/>
              </w:rPr>
            </w:pPr>
            <w:r>
              <w:rPr>
                <w:i/>
                <w:iCs/>
              </w:rPr>
              <w:t>Конденсатор</w:t>
            </w:r>
          </w:p>
        </w:tc>
        <w:tc>
          <w:tcPr>
            <w:tcW w:w="2119" w:type="dxa"/>
          </w:tcPr>
          <w:p w14:paraId="2D23813A" w14:textId="77777777" w:rsidR="004538C6" w:rsidRPr="00F2014A" w:rsidRDefault="004538C6" w:rsidP="004538C6">
            <w:pPr>
              <w:ind w:right="284"/>
              <w:jc w:val="center"/>
              <w:rPr>
                <w:i/>
              </w:rPr>
            </w:pPr>
            <w:r>
              <w:rPr>
                <w:i/>
                <w:iCs/>
              </w:rPr>
              <w:t>Испаритель</w:t>
            </w:r>
          </w:p>
        </w:tc>
      </w:tr>
      <w:tr w:rsidR="004538C6" w14:paraId="06D3FA9D" w14:textId="77777777" w:rsidTr="004538C6">
        <w:trPr>
          <w:trHeight w:val="303"/>
        </w:trPr>
        <w:tc>
          <w:tcPr>
            <w:tcW w:w="2911" w:type="dxa"/>
          </w:tcPr>
          <w:p w14:paraId="089F5E36" w14:textId="77777777" w:rsidR="004538C6" w:rsidRPr="004538C6" w:rsidRDefault="004538C6" w:rsidP="00F625C6">
            <w:pPr>
              <w:tabs>
                <w:tab w:val="left" w:pos="1335"/>
              </w:tabs>
              <w:ind w:right="284"/>
              <w:rPr>
                <w:i/>
              </w:rPr>
            </w:pPr>
            <w:r w:rsidRPr="004538C6">
              <w:rPr>
                <w:i/>
              </w:rPr>
              <w:t xml:space="preserve">    Марка</w:t>
            </w:r>
            <w:r w:rsidR="00F625C6">
              <w:rPr>
                <w:i/>
                <w:vertAlign w:val="superscript"/>
              </w:rPr>
              <w:t>2</w:t>
            </w:r>
            <w:r w:rsidRPr="004538C6">
              <w:rPr>
                <w:i/>
                <w:vertAlign w:val="superscript"/>
              </w:rPr>
              <w:t>/</w:t>
            </w:r>
          </w:p>
        </w:tc>
        <w:tc>
          <w:tcPr>
            <w:tcW w:w="2340" w:type="dxa"/>
          </w:tcPr>
          <w:p w14:paraId="64EDF12A" w14:textId="77777777" w:rsidR="004538C6" w:rsidRPr="00F2014A" w:rsidRDefault="004538C6" w:rsidP="004538C6">
            <w:pPr>
              <w:ind w:left="1134" w:right="284"/>
              <w:jc w:val="center"/>
              <w:rPr>
                <w:i/>
              </w:rPr>
            </w:pPr>
          </w:p>
        </w:tc>
        <w:tc>
          <w:tcPr>
            <w:tcW w:w="2119" w:type="dxa"/>
          </w:tcPr>
          <w:p w14:paraId="1749D744" w14:textId="77777777" w:rsidR="004538C6" w:rsidRPr="00F2014A" w:rsidRDefault="004538C6" w:rsidP="004538C6">
            <w:pPr>
              <w:ind w:left="1134" w:right="284"/>
              <w:jc w:val="center"/>
              <w:rPr>
                <w:i/>
              </w:rPr>
            </w:pPr>
          </w:p>
        </w:tc>
      </w:tr>
      <w:tr w:rsidR="004538C6" w14:paraId="377FD3BF" w14:textId="77777777" w:rsidTr="004538C6">
        <w:trPr>
          <w:trHeight w:val="315"/>
        </w:trPr>
        <w:tc>
          <w:tcPr>
            <w:tcW w:w="2911" w:type="dxa"/>
          </w:tcPr>
          <w:p w14:paraId="0D420146" w14:textId="77777777" w:rsidR="004538C6" w:rsidRPr="004538C6" w:rsidRDefault="004538C6" w:rsidP="004538C6">
            <w:pPr>
              <w:ind w:right="88"/>
              <w:rPr>
                <w:i/>
                <w:lang w:val="en-US"/>
              </w:rPr>
            </w:pPr>
            <w:r w:rsidRPr="004538C6">
              <w:rPr>
                <w:i/>
              </w:rPr>
              <w:t xml:space="preserve">    Тип (в случае применимости)</w:t>
            </w:r>
            <w:r w:rsidRPr="004538C6">
              <w:rPr>
                <w:i/>
                <w:vertAlign w:val="superscript"/>
                <w:lang w:val="en-US"/>
              </w:rPr>
              <w:t>2/</w:t>
            </w:r>
          </w:p>
        </w:tc>
        <w:tc>
          <w:tcPr>
            <w:tcW w:w="2340" w:type="dxa"/>
          </w:tcPr>
          <w:p w14:paraId="3837A2A9" w14:textId="77777777" w:rsidR="004538C6" w:rsidRPr="00F2014A" w:rsidRDefault="004538C6" w:rsidP="004538C6">
            <w:pPr>
              <w:ind w:left="1134" w:right="284"/>
              <w:jc w:val="center"/>
              <w:rPr>
                <w:i/>
              </w:rPr>
            </w:pPr>
          </w:p>
        </w:tc>
        <w:tc>
          <w:tcPr>
            <w:tcW w:w="2119" w:type="dxa"/>
          </w:tcPr>
          <w:p w14:paraId="49680B21" w14:textId="77777777" w:rsidR="004538C6" w:rsidRPr="00F2014A" w:rsidRDefault="004538C6" w:rsidP="004538C6">
            <w:pPr>
              <w:ind w:left="1134" w:right="284"/>
              <w:jc w:val="center"/>
              <w:rPr>
                <w:i/>
              </w:rPr>
            </w:pPr>
          </w:p>
        </w:tc>
      </w:tr>
    </w:tbl>
    <w:p w14:paraId="3DEB094C" w14:textId="77777777" w:rsidR="004538C6" w:rsidRPr="00E0350B" w:rsidRDefault="004538C6" w:rsidP="000E1F34">
      <w:pPr>
        <w:pStyle w:val="SingleTxtG"/>
        <w:keepNext/>
        <w:keepLines/>
        <w:pageBreakBefore/>
        <w:spacing w:before="120"/>
        <w:ind w:left="1138" w:right="288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Предложение 6</w:t>
      </w:r>
    </w:p>
    <w:p w14:paraId="7CD08A50" w14:textId="77777777" w:rsidR="004538C6" w:rsidRPr="00E0350B" w:rsidRDefault="004538C6" w:rsidP="004538C6">
      <w:pPr>
        <w:pStyle w:val="SingleTxtG"/>
        <w:tabs>
          <w:tab w:val="left" w:pos="1440"/>
        </w:tabs>
        <w:ind w:left="1418"/>
      </w:pPr>
      <w:r>
        <w:t xml:space="preserve">Заменить текст сноски «2» в конце протокола испытания </w:t>
      </w:r>
      <w:r w:rsidRPr="004538C6">
        <w:t>образца</w:t>
      </w:r>
      <w:r>
        <w:t xml:space="preserve"> № 12 следующим образом:</w:t>
      </w:r>
    </w:p>
    <w:p w14:paraId="675719DE" w14:textId="77777777" w:rsidR="004538C6" w:rsidRDefault="004538C6" w:rsidP="004538C6">
      <w:pPr>
        <w:pStyle w:val="SingleTxtG"/>
        <w:tabs>
          <w:tab w:val="left" w:pos="1440"/>
        </w:tabs>
        <w:ind w:left="1418"/>
      </w:pPr>
      <w:r>
        <w:t>«</w:t>
      </w:r>
      <w:r w:rsidRPr="00E0350B">
        <w:t>2</w:t>
      </w:r>
      <w:r>
        <w:t xml:space="preserve"> Величина, указанная изготовителем» на «</w:t>
      </w:r>
      <w:r w:rsidRPr="004538C6">
        <w:rPr>
          <w:i/>
        </w:rPr>
        <w:t>2 информация, указанная изготовителем</w:t>
      </w:r>
      <w:r>
        <w:t>».</w:t>
      </w:r>
    </w:p>
    <w:p w14:paraId="13884EC4" w14:textId="77777777" w:rsidR="004538C6" w:rsidRPr="00E0350B" w:rsidRDefault="004538C6" w:rsidP="004538C6">
      <w:pPr>
        <w:pStyle w:val="H23G"/>
      </w:pPr>
      <w:r>
        <w:tab/>
      </w:r>
      <w:r>
        <w:tab/>
        <w:t xml:space="preserve">Обоснование </w:t>
      </w:r>
    </w:p>
    <w:p w14:paraId="6F426501" w14:textId="77777777" w:rsidR="004538C6" w:rsidRPr="006D5B37" w:rsidRDefault="004538C6" w:rsidP="00F625C6">
      <w:pPr>
        <w:pStyle w:val="SingleTxtG"/>
      </w:pPr>
      <w:r>
        <w:t>7.</w:t>
      </w:r>
      <w:r>
        <w:tab/>
        <w:t xml:space="preserve">Некоторая информация просто недоступна или не может быть </w:t>
      </w:r>
      <w:r w:rsidRPr="00F625C6">
        <w:t>проверена</w:t>
      </w:r>
      <w:r>
        <w:t xml:space="preserve"> в связи со схемой монтажа в момент представления на испытание. Во</w:t>
      </w:r>
      <w:r w:rsidRPr="006D5B37">
        <w:t xml:space="preserve"> </w:t>
      </w:r>
      <w:r>
        <w:t>многих</w:t>
      </w:r>
      <w:r w:rsidRPr="006D5B37">
        <w:t xml:space="preserve"> </w:t>
      </w:r>
      <w:r>
        <w:t>случаях</w:t>
      </w:r>
      <w:r w:rsidRPr="006D5B37">
        <w:t xml:space="preserve"> </w:t>
      </w:r>
      <w:r>
        <w:t>конденсатор</w:t>
      </w:r>
      <w:r w:rsidRPr="006D5B37">
        <w:t xml:space="preserve"> </w:t>
      </w:r>
      <w:r>
        <w:t>изготовляется изготовителем установки, относится к конкретному типу и отдельного названия не имеет</w:t>
      </w:r>
      <w:r w:rsidRPr="006D5B37">
        <w:t xml:space="preserve">. </w:t>
      </w:r>
    </w:p>
    <w:p w14:paraId="6129D338" w14:textId="77777777" w:rsidR="00E12C5F" w:rsidRPr="004538C6" w:rsidRDefault="004538C6" w:rsidP="004538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538C6" w:rsidSect="004538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2DEB" w14:textId="77777777" w:rsidR="004C4989" w:rsidRPr="00A312BC" w:rsidRDefault="004C4989" w:rsidP="00A312BC"/>
  </w:endnote>
  <w:endnote w:type="continuationSeparator" w:id="0">
    <w:p w14:paraId="2ACF7CD0" w14:textId="77777777" w:rsidR="004C4989" w:rsidRPr="00A312BC" w:rsidRDefault="004C49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04B2" w14:textId="77777777" w:rsidR="004538C6" w:rsidRPr="004538C6" w:rsidRDefault="004538C6">
    <w:pPr>
      <w:pStyle w:val="Footer"/>
    </w:pPr>
    <w:r w:rsidRPr="004538C6">
      <w:rPr>
        <w:b/>
        <w:sz w:val="18"/>
      </w:rPr>
      <w:fldChar w:fldCharType="begin"/>
    </w:r>
    <w:r w:rsidRPr="004538C6">
      <w:rPr>
        <w:b/>
        <w:sz w:val="18"/>
      </w:rPr>
      <w:instrText xml:space="preserve"> PAGE  \* MERGEFORMAT </w:instrText>
    </w:r>
    <w:r w:rsidRPr="004538C6">
      <w:rPr>
        <w:b/>
        <w:sz w:val="18"/>
      </w:rPr>
      <w:fldChar w:fldCharType="separate"/>
    </w:r>
    <w:r w:rsidR="00721110">
      <w:rPr>
        <w:b/>
        <w:noProof/>
        <w:sz w:val="18"/>
      </w:rPr>
      <w:t>2</w:t>
    </w:r>
    <w:r w:rsidRPr="004538C6">
      <w:rPr>
        <w:b/>
        <w:sz w:val="18"/>
      </w:rPr>
      <w:fldChar w:fldCharType="end"/>
    </w:r>
    <w:r>
      <w:rPr>
        <w:b/>
        <w:sz w:val="18"/>
      </w:rPr>
      <w:tab/>
    </w:r>
    <w:r>
      <w:t>GE.19-12581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F87A" w14:textId="77777777" w:rsidR="004538C6" w:rsidRPr="004538C6" w:rsidRDefault="004538C6" w:rsidP="004538C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GE.19-12581</w:t>
    </w:r>
    <w:r>
      <w:tab/>
    </w:r>
    <w:r w:rsidRPr="004538C6">
      <w:rPr>
        <w:b/>
        <w:sz w:val="18"/>
      </w:rPr>
      <w:fldChar w:fldCharType="begin"/>
    </w:r>
    <w:r w:rsidRPr="004538C6">
      <w:rPr>
        <w:b/>
        <w:sz w:val="18"/>
      </w:rPr>
      <w:instrText xml:space="preserve"> PAGE  \* MERGEFORMAT </w:instrText>
    </w:r>
    <w:r w:rsidRPr="004538C6">
      <w:rPr>
        <w:b/>
        <w:sz w:val="18"/>
      </w:rPr>
      <w:fldChar w:fldCharType="separate"/>
    </w:r>
    <w:r w:rsidR="00721110">
      <w:rPr>
        <w:b/>
        <w:noProof/>
        <w:sz w:val="18"/>
      </w:rPr>
      <w:t>3</w:t>
    </w:r>
    <w:r w:rsidRPr="004538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8630" w14:textId="77777777" w:rsidR="00042B72" w:rsidRPr="004538C6" w:rsidRDefault="004538C6" w:rsidP="004538C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E588919" wp14:editId="05905F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12581  (</w:t>
    </w:r>
    <w:proofErr w:type="gramEnd"/>
    <w:r>
      <w:t>R)</w:t>
    </w:r>
    <w:r w:rsidR="00660F53">
      <w:rPr>
        <w:lang w:val="en-US"/>
      </w:rPr>
      <w:t xml:space="preserve">  070819  070819</w:t>
    </w:r>
    <w:r>
      <w:br/>
    </w:r>
    <w:r w:rsidRPr="004538C6">
      <w:rPr>
        <w:rFonts w:ascii="C39T30Lfz" w:hAnsi="C39T30Lfz"/>
        <w:kern w:val="14"/>
        <w:sz w:val="56"/>
      </w:rPr>
      <w:t></w:t>
    </w:r>
    <w:r w:rsidRPr="004538C6">
      <w:rPr>
        <w:rFonts w:ascii="C39T30Lfz" w:hAnsi="C39T30Lfz"/>
        <w:kern w:val="14"/>
        <w:sz w:val="56"/>
      </w:rPr>
      <w:t></w:t>
    </w:r>
    <w:r w:rsidRPr="004538C6">
      <w:rPr>
        <w:rFonts w:ascii="C39T30Lfz" w:hAnsi="C39T30Lfz"/>
        <w:kern w:val="14"/>
        <w:sz w:val="56"/>
      </w:rPr>
      <w:t></w:t>
    </w:r>
    <w:r w:rsidRPr="004538C6">
      <w:rPr>
        <w:rFonts w:ascii="C39T30Lfz" w:hAnsi="C39T30Lfz"/>
        <w:kern w:val="14"/>
        <w:sz w:val="56"/>
      </w:rPr>
      <w:t></w:t>
    </w:r>
    <w:r w:rsidRPr="004538C6">
      <w:rPr>
        <w:rFonts w:ascii="C39T30Lfz" w:hAnsi="C39T30Lfz"/>
        <w:kern w:val="14"/>
        <w:sz w:val="56"/>
      </w:rPr>
      <w:t></w:t>
    </w:r>
    <w:r w:rsidRPr="004538C6">
      <w:rPr>
        <w:rFonts w:ascii="C39T30Lfz" w:hAnsi="C39T30Lfz"/>
        <w:kern w:val="14"/>
        <w:sz w:val="56"/>
      </w:rPr>
      <w:t></w:t>
    </w:r>
    <w:r w:rsidRPr="004538C6">
      <w:rPr>
        <w:rFonts w:ascii="C39T30Lfz" w:hAnsi="C39T30Lfz"/>
        <w:kern w:val="14"/>
        <w:sz w:val="56"/>
      </w:rPr>
      <w:t></w:t>
    </w:r>
    <w:r w:rsidRPr="004538C6">
      <w:rPr>
        <w:rFonts w:ascii="C39T30Lfz" w:hAnsi="C39T30Lfz"/>
        <w:kern w:val="14"/>
        <w:sz w:val="56"/>
      </w:rPr>
      <w:t></w:t>
    </w:r>
    <w:r w:rsidRPr="004538C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B4F54E" wp14:editId="4F33748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F791" w14:textId="77777777" w:rsidR="004C4989" w:rsidRPr="001075E9" w:rsidRDefault="004C49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6AB10B" w14:textId="77777777" w:rsidR="004C4989" w:rsidRDefault="004C49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FD17" w14:textId="52F12CC8" w:rsidR="004538C6" w:rsidRPr="004538C6" w:rsidRDefault="00721110">
    <w:pPr>
      <w:pStyle w:val="Header"/>
    </w:pPr>
    <w:fldSimple w:instr=" TITLE  \* MERGEFORMAT ">
      <w:r w:rsidR="003B40D5">
        <w:t>ECE/TRANS/WP.11/2019/16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72D4" w14:textId="550825D3" w:rsidR="004538C6" w:rsidRPr="004538C6" w:rsidRDefault="00721110" w:rsidP="004538C6">
    <w:pPr>
      <w:pStyle w:val="Header"/>
      <w:jc w:val="right"/>
    </w:pPr>
    <w:fldSimple w:instr=" TITLE  \* MERGEFORMAT ">
      <w:r w:rsidR="003B40D5">
        <w:t>ECE/TRANS/WP.11/2019/16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33FA4"/>
    <w:multiLevelType w:val="hybridMultilevel"/>
    <w:tmpl w:val="092406B4"/>
    <w:lvl w:ilvl="0" w:tplc="B55047F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  <w:lvlOverride w:ilvl="0">
      <w:lvl w:ilvl="0" w:tplc="B55047F6">
        <w:start w:val="1"/>
        <w:numFmt w:val="decimal"/>
        <w:lvlText w:val="%1."/>
        <w:lvlJc w:val="left"/>
        <w:pPr>
          <w:ind w:left="1494" w:hanging="360"/>
        </w:pPr>
        <w:rPr>
          <w:rFonts w:hint="default"/>
          <w:b w:val="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89"/>
    <w:rsid w:val="00033EE1"/>
    <w:rsid w:val="00042B72"/>
    <w:rsid w:val="000558BD"/>
    <w:rsid w:val="000B57E7"/>
    <w:rsid w:val="000B6373"/>
    <w:rsid w:val="000D5E7E"/>
    <w:rsid w:val="000E1F3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0D5"/>
    <w:rsid w:val="003E0B46"/>
    <w:rsid w:val="00407B78"/>
    <w:rsid w:val="00424203"/>
    <w:rsid w:val="00452493"/>
    <w:rsid w:val="00453318"/>
    <w:rsid w:val="004538C6"/>
    <w:rsid w:val="00454AF2"/>
    <w:rsid w:val="00454E07"/>
    <w:rsid w:val="00472C5C"/>
    <w:rsid w:val="004C498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0F53"/>
    <w:rsid w:val="00680D03"/>
    <w:rsid w:val="00681A10"/>
    <w:rsid w:val="006A1ED8"/>
    <w:rsid w:val="006C2031"/>
    <w:rsid w:val="006D461A"/>
    <w:rsid w:val="006D7428"/>
    <w:rsid w:val="006F35EE"/>
    <w:rsid w:val="007021FF"/>
    <w:rsid w:val="00712895"/>
    <w:rsid w:val="00721110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44D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7409"/>
    <w:rsid w:val="00CF55F6"/>
    <w:rsid w:val="00D33D63"/>
    <w:rsid w:val="00D5253A"/>
    <w:rsid w:val="00D873A8"/>
    <w:rsid w:val="00D87C27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25C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F213A"/>
  <w15:docId w15:val="{EA2C7B56-9E3E-4EBA-9DF4-BCB8946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538C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ECE/TRANS/WP.11/2019/16</vt:lpstr>
      <vt:lpstr>A/</vt:lpstr>
      <vt:lpstr>A/</vt:lpstr>
    </vt:vector>
  </TitlesOfParts>
  <Company>DCM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ECE/TRANS/WP.11/2019/16</dc:title>
  <dc:subject/>
  <dc:creator>Tatiana SHARKINA</dc:creator>
  <cp:keywords/>
  <cp:lastModifiedBy>Marie-Claude Collet</cp:lastModifiedBy>
  <cp:revision>3</cp:revision>
  <cp:lastPrinted>2019-09-04T12:11:00Z</cp:lastPrinted>
  <dcterms:created xsi:type="dcterms:W3CDTF">2019-09-04T12:10:00Z</dcterms:created>
  <dcterms:modified xsi:type="dcterms:W3CDTF">2019-09-04T12:11:00Z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