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4B86D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41DAFD" w14:textId="77777777" w:rsidR="002D5AAC" w:rsidRDefault="002D5AAC" w:rsidP="00E153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F7B1D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205436" w14:textId="77777777" w:rsidR="002D5AAC" w:rsidRDefault="00E1538E" w:rsidP="00E1538E">
            <w:pPr>
              <w:jc w:val="right"/>
            </w:pPr>
            <w:r w:rsidRPr="00E1538E">
              <w:rPr>
                <w:sz w:val="40"/>
              </w:rPr>
              <w:t>ECE</w:t>
            </w:r>
            <w:r>
              <w:t>/TRANS/WP.11/2019/2</w:t>
            </w:r>
          </w:p>
        </w:tc>
      </w:tr>
      <w:tr w:rsidR="002D5AAC" w:rsidRPr="00597AB8" w14:paraId="1714A12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80BD2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C9B0EF9" wp14:editId="539A30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E61D5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4019DEE" w14:textId="77777777" w:rsidR="002D5AAC" w:rsidRDefault="00E1538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1473D3" w14:textId="77777777" w:rsidR="00E1538E" w:rsidRDefault="00E1538E" w:rsidP="00E153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24AC409E" w14:textId="77777777" w:rsidR="00E1538E" w:rsidRDefault="00E1538E" w:rsidP="00E153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37B480" w14:textId="77777777" w:rsidR="00E1538E" w:rsidRPr="008D53B6" w:rsidRDefault="00E1538E" w:rsidP="00E153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779C1B" w14:textId="77777777" w:rsidR="00E1538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AC751A" w14:textId="77777777" w:rsidR="00E1538E" w:rsidRPr="00E1538E" w:rsidRDefault="00E1538E" w:rsidP="00E1538E">
      <w:pPr>
        <w:spacing w:before="120"/>
        <w:rPr>
          <w:sz w:val="40"/>
          <w:szCs w:val="28"/>
        </w:rPr>
      </w:pPr>
      <w:r w:rsidRPr="00E1538E">
        <w:rPr>
          <w:sz w:val="28"/>
        </w:rPr>
        <w:t>Комитет по внутреннему транспорту</w:t>
      </w:r>
    </w:p>
    <w:p w14:paraId="33153040" w14:textId="77777777" w:rsidR="00E1538E" w:rsidRPr="00E1538E" w:rsidRDefault="00E1538E" w:rsidP="00E1538E">
      <w:pPr>
        <w:spacing w:before="120"/>
        <w:rPr>
          <w:b/>
          <w:sz w:val="32"/>
          <w:szCs w:val="24"/>
        </w:rPr>
      </w:pPr>
      <w:r w:rsidRPr="00E1538E">
        <w:rPr>
          <w:b/>
          <w:bCs/>
          <w:sz w:val="24"/>
        </w:rPr>
        <w:t xml:space="preserve">Рабочая группа по перевозкам скоропортящихся </w:t>
      </w:r>
      <w:r>
        <w:rPr>
          <w:b/>
          <w:bCs/>
          <w:sz w:val="24"/>
        </w:rPr>
        <w:br/>
      </w:r>
      <w:r w:rsidRPr="00E1538E">
        <w:rPr>
          <w:b/>
          <w:bCs/>
          <w:sz w:val="24"/>
        </w:rPr>
        <w:t>пищевых продуктов</w:t>
      </w:r>
    </w:p>
    <w:p w14:paraId="4EE8DDDE" w14:textId="77777777" w:rsidR="00E1538E" w:rsidRPr="008F12B5" w:rsidRDefault="00E1538E" w:rsidP="00E1538E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56946696" w14:textId="77777777" w:rsidR="00E1538E" w:rsidRPr="008F12B5" w:rsidRDefault="00E1538E" w:rsidP="00E1538E">
      <w:r>
        <w:t>Женева, 8–11 октября 2019 года</w:t>
      </w:r>
    </w:p>
    <w:p w14:paraId="163079A3" w14:textId="77777777" w:rsidR="00E1538E" w:rsidRPr="008F12B5" w:rsidRDefault="00E1538E" w:rsidP="00E1538E">
      <w:r>
        <w:t>Пункт 5 b) предварительной повестки дня</w:t>
      </w:r>
    </w:p>
    <w:p w14:paraId="5CB72054" w14:textId="77777777" w:rsidR="00E1538E" w:rsidRPr="008F12B5" w:rsidRDefault="00E1538E" w:rsidP="00E1538E">
      <w:pPr>
        <w:rPr>
          <w:rFonts w:ascii="Arial" w:hAnsi="Arial" w:cs="Arial"/>
        </w:rPr>
      </w:pPr>
      <w:r>
        <w:rPr>
          <w:b/>
          <w:bCs/>
        </w:rPr>
        <w:t>Предложение по поправкам к СПС:</w:t>
      </w:r>
      <w:r>
        <w:rPr>
          <w:b/>
          <w:bCs/>
        </w:rPr>
        <w:br/>
        <w:t>новые предложения</w:t>
      </w:r>
    </w:p>
    <w:p w14:paraId="7860269B" w14:textId="77777777" w:rsidR="00E1538E" w:rsidRPr="008F12B5" w:rsidRDefault="00E1538E" w:rsidP="00E1538E">
      <w:pPr>
        <w:pStyle w:val="HChG"/>
      </w:pPr>
      <w:r>
        <w:tab/>
      </w:r>
      <w:r>
        <w:tab/>
        <w:t>Предложение о внесении поправок в раздел 2 приложения</w:t>
      </w:r>
      <w:r w:rsidRPr="00BC20AB">
        <w:t xml:space="preserve"> </w:t>
      </w:r>
      <w:r>
        <w:t>1: определение термического оборудования</w:t>
      </w:r>
    </w:p>
    <w:p w14:paraId="1BB5FE53" w14:textId="77777777" w:rsidR="00E12C5F" w:rsidRDefault="00E1538E" w:rsidP="00E1538E">
      <w:pPr>
        <w:pStyle w:val="H1G"/>
      </w:pPr>
      <w:r>
        <w:tab/>
      </w:r>
      <w:r>
        <w:tab/>
        <w:t>Передано правительством Германии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1538E" w:rsidRPr="00E1538E" w14:paraId="4F619178" w14:textId="77777777" w:rsidTr="00E1538E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FEA6CED" w14:textId="77777777" w:rsidR="00E1538E" w:rsidRPr="00E1538E" w:rsidRDefault="00E1538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1538E">
              <w:rPr>
                <w:rFonts w:cs="Times New Roman"/>
              </w:rPr>
              <w:tab/>
            </w:r>
            <w:r w:rsidRPr="00E1538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1538E" w:rsidRPr="00E1538E" w14:paraId="7CF37AEF" w14:textId="77777777" w:rsidTr="00E1538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D168C79" w14:textId="77777777" w:rsidR="00E1538E" w:rsidRDefault="00E1538E" w:rsidP="00E1538E">
            <w:pPr>
              <w:pStyle w:val="SingleTxtG"/>
              <w:tabs>
                <w:tab w:val="left" w:pos="3679"/>
              </w:tabs>
              <w:ind w:left="3679" w:hanging="2545"/>
            </w:pPr>
            <w:r w:rsidRPr="00AE6BA1">
              <w:rPr>
                <w:b/>
                <w:bCs/>
              </w:rPr>
              <w:t>Существо предложения</w:t>
            </w:r>
            <w:r>
              <w:rPr>
                <w:b/>
                <w:bCs/>
              </w:rPr>
              <w:t>:</w:t>
            </w:r>
            <w:r w:rsidRPr="00E153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>
              <w:t>В Соглашении СПС, используется термин «оборудование», который означает «термическое оборудование» применительно к</w:t>
            </w:r>
            <w:r w:rsidRPr="00BC20AB">
              <w:t xml:space="preserve"> источника</w:t>
            </w:r>
            <w:r>
              <w:t>м</w:t>
            </w:r>
            <w:r w:rsidRPr="00BC20AB">
              <w:t xml:space="preserve"> холода и тепла</w:t>
            </w:r>
            <w:r>
              <w:t>. Однако надлежащее определение отсутствует, в связи с чем его следует добавить.</w:t>
            </w:r>
          </w:p>
          <w:p w14:paraId="1517DCAB" w14:textId="77777777" w:rsidR="00E1538E" w:rsidRDefault="00E1538E" w:rsidP="00E1538E">
            <w:pPr>
              <w:pStyle w:val="SingleTxtG"/>
              <w:tabs>
                <w:tab w:val="left" w:pos="3679"/>
              </w:tabs>
              <w:ind w:left="3679" w:hanging="2545"/>
            </w:pPr>
            <w:r w:rsidRPr="00AE6BA1">
              <w:rPr>
                <w:b/>
              </w:rPr>
              <w:t>Предлагаемое решение</w:t>
            </w:r>
            <w:r w:rsidRPr="00597AB8">
              <w:rPr>
                <w:b/>
                <w:bCs/>
              </w:rPr>
              <w:t>:</w:t>
            </w:r>
            <w:r>
              <w:tab/>
              <w:t>Внести поправки в раздел 2 приложения 1.</w:t>
            </w:r>
          </w:p>
          <w:p w14:paraId="4F795660" w14:textId="77777777" w:rsidR="00E1538E" w:rsidRPr="00E1538E" w:rsidRDefault="00E1538E" w:rsidP="00E1538E">
            <w:pPr>
              <w:pStyle w:val="SingleTxtG"/>
              <w:tabs>
                <w:tab w:val="left" w:pos="3679"/>
              </w:tabs>
              <w:ind w:left="3679" w:hanging="2545"/>
              <w:jc w:val="left"/>
            </w:pPr>
            <w:r w:rsidRPr="00AE6BA1">
              <w:rPr>
                <w:b/>
                <w:bCs/>
              </w:rPr>
              <w:t>Справочные документы</w:t>
            </w:r>
            <w:r w:rsidRPr="00597AB8">
              <w:rPr>
                <w:b/>
                <w:bCs/>
              </w:rPr>
              <w:t>:</w:t>
            </w:r>
            <w:r>
              <w:t xml:space="preserve"> </w:t>
            </w:r>
            <w:r>
              <w:tab/>
              <w:t>ECE/TRANS/WP.11/2018/21 и ECE/TRANS/WP.11/</w:t>
            </w:r>
            <w:r>
              <w:br/>
              <w:t>2015/17</w:t>
            </w:r>
          </w:p>
        </w:tc>
      </w:tr>
      <w:tr w:rsidR="00E1538E" w:rsidRPr="00E1538E" w14:paraId="1EF53F4F" w14:textId="77777777" w:rsidTr="00E1538E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3C02FC4" w14:textId="77777777" w:rsidR="00E1538E" w:rsidRPr="00E1538E" w:rsidRDefault="00E1538E" w:rsidP="00850215">
            <w:pPr>
              <w:rPr>
                <w:rFonts w:cs="Times New Roman"/>
              </w:rPr>
            </w:pPr>
          </w:p>
        </w:tc>
      </w:tr>
    </w:tbl>
    <w:p w14:paraId="418A69A7" w14:textId="77777777" w:rsidR="00E1538E" w:rsidRPr="008F12B5" w:rsidRDefault="00E1538E" w:rsidP="00E1538E">
      <w:pPr>
        <w:pStyle w:val="HChG"/>
      </w:pPr>
      <w:r>
        <w:rPr>
          <w:bCs/>
        </w:rPr>
        <w:tab/>
      </w:r>
      <w:r>
        <w:rPr>
          <w:bCs/>
        </w:rPr>
        <w:tab/>
        <w:t>Введение</w:t>
      </w:r>
    </w:p>
    <w:p w14:paraId="76040F18" w14:textId="77777777" w:rsidR="00E1538E" w:rsidRPr="008F12B5" w:rsidRDefault="00E1538E" w:rsidP="00E1538E">
      <w:pPr>
        <w:pStyle w:val="SingleTxtG"/>
      </w:pPr>
      <w:r>
        <w:t>1.</w:t>
      </w:r>
      <w:r>
        <w:tab/>
        <w:t>В Соглашении СПС используется термин «установки», который означает «термические установки» в качестве источника холода и тепла. Однако надлежащее определение отсутствует.</w:t>
      </w:r>
    </w:p>
    <w:p w14:paraId="14C40D59" w14:textId="77777777" w:rsidR="00E1538E" w:rsidRPr="008F12B5" w:rsidRDefault="00E1538E" w:rsidP="00E1538E">
      <w:pPr>
        <w:pStyle w:val="SingleTxtG"/>
      </w:pPr>
      <w:r>
        <w:t>2.</w:t>
      </w:r>
      <w:r>
        <w:tab/>
        <w:t>Отсутствие определения привело в прошлом к некоторым недоразумениям. Так, например, установки рассматриваются в качестве транспортного средства, даже если оно четко определено в качестве изотермического кузова с термической установкой или без нее.</w:t>
      </w:r>
    </w:p>
    <w:p w14:paraId="4040CC19" w14:textId="77777777" w:rsidR="00E1538E" w:rsidRPr="008F12B5" w:rsidRDefault="00E1538E" w:rsidP="00E1538E">
      <w:pPr>
        <w:pStyle w:val="SingleTxtG"/>
        <w:rPr>
          <w:rFonts w:cs="Arial"/>
        </w:rPr>
      </w:pPr>
      <w:r>
        <w:t>3.</w:t>
      </w:r>
      <w:r>
        <w:tab/>
        <w:t>По этой причине в соглашение СПС следует включить надлежащее определение термина «установки».</w:t>
      </w:r>
    </w:p>
    <w:p w14:paraId="10E2C0D6" w14:textId="77777777" w:rsidR="00E1538E" w:rsidRPr="008F12B5" w:rsidRDefault="00E1538E" w:rsidP="00E1538E">
      <w:pPr>
        <w:pStyle w:val="HChG"/>
      </w:pPr>
      <w:r>
        <w:lastRenderedPageBreak/>
        <w:tab/>
      </w:r>
      <w:r>
        <w:tab/>
      </w:r>
      <w:r>
        <w:rPr>
          <w:bCs/>
        </w:rPr>
        <w:t>Предлагаемая поправка</w:t>
      </w:r>
    </w:p>
    <w:p w14:paraId="660C9ED7" w14:textId="77777777" w:rsidR="00E1538E" w:rsidRPr="008F12B5" w:rsidRDefault="00E1538E" w:rsidP="00E1538E">
      <w:pPr>
        <w:pStyle w:val="SingleTxtG"/>
      </w:pPr>
      <w:r>
        <w:t>4.</w:t>
      </w:r>
      <w:r>
        <w:tab/>
        <w:t>Включить в приложение 1 новый раздел 2:</w:t>
      </w:r>
    </w:p>
    <w:p w14:paraId="0D369ACA" w14:textId="77777777" w:rsidR="00E1538E" w:rsidRPr="008F12B5" w:rsidRDefault="00E1538E" w:rsidP="00E1538E">
      <w:pPr>
        <w:pStyle w:val="SingleTxtG"/>
        <w:rPr>
          <w:b/>
          <w:bCs/>
        </w:rPr>
      </w:pPr>
      <w:r>
        <w:t>2.</w:t>
      </w:r>
      <w:r>
        <w:tab/>
      </w:r>
      <w:r w:rsidRPr="002F08B0">
        <w:rPr>
          <w:b/>
          <w:u w:val="single"/>
        </w:rPr>
        <w:t>Термические установки</w:t>
      </w:r>
      <w:r w:rsidRPr="002F08B0">
        <w:rPr>
          <w:b/>
        </w:rPr>
        <w:t xml:space="preserve">: </w:t>
      </w:r>
      <w:r>
        <w:rPr>
          <w:b/>
        </w:rPr>
        <w:t xml:space="preserve">устройства </w:t>
      </w:r>
      <w:r w:rsidRPr="002F08B0">
        <w:rPr>
          <w:b/>
        </w:rPr>
        <w:t>для охлаждения и/или о</w:t>
      </w:r>
      <w:r>
        <w:rPr>
          <w:b/>
        </w:rPr>
        <w:t>богрева</w:t>
      </w:r>
      <w:r w:rsidRPr="002F08B0">
        <w:rPr>
          <w:b/>
        </w:rPr>
        <w:t>, такие как:</w:t>
      </w:r>
      <w:r>
        <w:t xml:space="preserve"> </w:t>
      </w:r>
    </w:p>
    <w:p w14:paraId="02DCF474" w14:textId="77777777" w:rsidR="00E1538E" w:rsidRPr="00E1538E" w:rsidRDefault="00E1538E" w:rsidP="00E1538E">
      <w:pPr>
        <w:pStyle w:val="Bullet2G"/>
        <w:rPr>
          <w:b/>
        </w:rPr>
      </w:pPr>
      <w:r w:rsidRPr="00E1538E">
        <w:rPr>
          <w:b/>
        </w:rPr>
        <w:tab/>
        <w:t>холодильные установки,</w:t>
      </w:r>
    </w:p>
    <w:p w14:paraId="719ABB0A" w14:textId="77777777" w:rsidR="00E1538E" w:rsidRPr="00E1538E" w:rsidRDefault="00E1538E" w:rsidP="00E1538E">
      <w:pPr>
        <w:pStyle w:val="Bullet2G"/>
        <w:rPr>
          <w:b/>
        </w:rPr>
      </w:pPr>
      <w:r w:rsidRPr="00E1538E">
        <w:rPr>
          <w:b/>
        </w:rPr>
        <w:t>механические холодильные установки,</w:t>
      </w:r>
    </w:p>
    <w:p w14:paraId="5806519D" w14:textId="77777777" w:rsidR="00E1538E" w:rsidRPr="00E1538E" w:rsidRDefault="00E1538E" w:rsidP="00E1538E">
      <w:pPr>
        <w:pStyle w:val="Bullet2G"/>
        <w:rPr>
          <w:b/>
          <w:bCs/>
        </w:rPr>
      </w:pPr>
      <w:r w:rsidRPr="00E1538E">
        <w:rPr>
          <w:b/>
          <w:bCs/>
        </w:rPr>
        <w:t>механические холодильные-отопительные установки,</w:t>
      </w:r>
    </w:p>
    <w:p w14:paraId="0575E2DC" w14:textId="77777777" w:rsidR="00E1538E" w:rsidRPr="00E1538E" w:rsidRDefault="00E1538E" w:rsidP="00E1538E">
      <w:pPr>
        <w:pStyle w:val="Bullet2G"/>
        <w:rPr>
          <w:b/>
          <w:bCs/>
        </w:rPr>
      </w:pPr>
      <w:r w:rsidRPr="00E1538E">
        <w:rPr>
          <w:b/>
          <w:bCs/>
        </w:rPr>
        <w:t>отопительные установки,</w:t>
      </w:r>
    </w:p>
    <w:p w14:paraId="168CB7D7" w14:textId="77777777" w:rsidR="00E1538E" w:rsidRPr="00E1538E" w:rsidRDefault="00E1538E" w:rsidP="00E1538E">
      <w:pPr>
        <w:pStyle w:val="Bullet2G"/>
        <w:rPr>
          <w:b/>
          <w:bCs/>
        </w:rPr>
      </w:pPr>
      <w:r w:rsidRPr="00E1538E">
        <w:rPr>
          <w:b/>
          <w:bCs/>
        </w:rPr>
        <w:t>несъемные эвтектические плиты или</w:t>
      </w:r>
      <w:r w:rsidRPr="00E1538E">
        <w:rPr>
          <w:b/>
        </w:rPr>
        <w:t xml:space="preserve"> </w:t>
      </w:r>
    </w:p>
    <w:p w14:paraId="2F756323" w14:textId="77777777" w:rsidR="00E1538E" w:rsidRPr="00E1538E" w:rsidRDefault="00E1538E" w:rsidP="00E1538E">
      <w:pPr>
        <w:pStyle w:val="Bullet2G"/>
        <w:rPr>
          <w:b/>
        </w:rPr>
      </w:pPr>
      <w:r w:rsidRPr="00E1538E">
        <w:rPr>
          <w:b/>
          <w:bCs/>
        </w:rPr>
        <w:t>системы сжиженного газа.</w:t>
      </w:r>
    </w:p>
    <w:p w14:paraId="4568F9C0" w14:textId="77777777" w:rsidR="00E1538E" w:rsidRPr="008F12B5" w:rsidRDefault="00E1538E" w:rsidP="00E1538E">
      <w:pPr>
        <w:spacing w:after="120"/>
        <w:ind w:left="567" w:right="1134" w:firstLine="567"/>
      </w:pPr>
      <w:r>
        <w:t>5.</w:t>
      </w:r>
      <w:r>
        <w:tab/>
        <w:t>Изменить нумерацию следующих разделов соответственно:</w:t>
      </w:r>
    </w:p>
    <w:p w14:paraId="674211E4" w14:textId="77777777" w:rsidR="00E1538E" w:rsidRPr="008F12B5" w:rsidRDefault="00E1538E" w:rsidP="00E1538E">
      <w:pPr>
        <w:spacing w:after="120"/>
        <w:ind w:left="1134" w:right="1134" w:firstLine="567"/>
        <w:rPr>
          <w:b/>
        </w:rPr>
      </w:pPr>
      <w:r>
        <w:t>3.</w:t>
      </w:r>
      <w:r>
        <w:tab/>
      </w:r>
      <w:r w:rsidRPr="000A7CFA">
        <w:rPr>
          <w:b/>
          <w:u w:val="single"/>
        </w:rPr>
        <w:t>Транспортное средство-ледник.</w:t>
      </w:r>
    </w:p>
    <w:p w14:paraId="6CB53B2E" w14:textId="77777777" w:rsidR="00E1538E" w:rsidRPr="008F12B5" w:rsidRDefault="00E1538E" w:rsidP="00E1538E">
      <w:pPr>
        <w:spacing w:after="120"/>
        <w:ind w:left="1134" w:right="1134" w:firstLine="567"/>
        <w:rPr>
          <w:b/>
          <w:u w:val="single"/>
        </w:rPr>
      </w:pPr>
      <w:r>
        <w:t>4.</w:t>
      </w:r>
      <w:r>
        <w:tab/>
      </w:r>
      <w:r>
        <w:rPr>
          <w:b/>
          <w:bCs/>
          <w:u w:val="single"/>
        </w:rPr>
        <w:t>Транспортное средство-рефрижератор.</w:t>
      </w:r>
    </w:p>
    <w:p w14:paraId="7FAC4E5D" w14:textId="77777777" w:rsidR="00E1538E" w:rsidRDefault="00E1538E" w:rsidP="00E1538E">
      <w:pPr>
        <w:ind w:left="1134" w:right="1134" w:firstLine="567"/>
      </w:pPr>
      <w:r>
        <w:t>и т. д.</w:t>
      </w:r>
    </w:p>
    <w:p w14:paraId="10475354" w14:textId="77777777" w:rsidR="00E1538E" w:rsidRPr="00A04806" w:rsidRDefault="00E1538E" w:rsidP="00E1538E">
      <w:pPr>
        <w:pStyle w:val="HChG"/>
      </w:pPr>
      <w:r>
        <w:tab/>
      </w:r>
      <w:r>
        <w:tab/>
      </w:r>
      <w:r w:rsidRPr="00AE6BA1">
        <w:rPr>
          <w:bCs/>
        </w:rPr>
        <w:t>Последствия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5677"/>
      </w:tblGrid>
      <w:tr w:rsidR="00E1538E" w:rsidRPr="00A04806" w14:paraId="1B1C6F87" w14:textId="77777777" w:rsidTr="00384107">
        <w:tc>
          <w:tcPr>
            <w:tcW w:w="1836" w:type="dxa"/>
            <w:shd w:val="clear" w:color="auto" w:fill="auto"/>
          </w:tcPr>
          <w:p w14:paraId="1B5475A4" w14:textId="77777777" w:rsidR="00E1538E" w:rsidRPr="00AE6BA1" w:rsidRDefault="00E1538E" w:rsidP="00E1538E">
            <w:pPr>
              <w:spacing w:after="120"/>
              <w:jc w:val="both"/>
            </w:pPr>
            <w:r w:rsidRPr="00AE6BA1">
              <w:t>Затраты:</w:t>
            </w:r>
          </w:p>
        </w:tc>
        <w:tc>
          <w:tcPr>
            <w:tcW w:w="5677" w:type="dxa"/>
            <w:shd w:val="clear" w:color="auto" w:fill="auto"/>
          </w:tcPr>
          <w:p w14:paraId="1231C9EE" w14:textId="77777777" w:rsidR="00E1538E" w:rsidRPr="00472429" w:rsidRDefault="00E1538E" w:rsidP="00E1538E">
            <w:pPr>
              <w:spacing w:after="120"/>
            </w:pPr>
            <w:r>
              <w:t>Отсутствуют.</w:t>
            </w:r>
          </w:p>
        </w:tc>
      </w:tr>
      <w:tr w:rsidR="00E1538E" w:rsidRPr="00A04806" w14:paraId="00EB4C5B" w14:textId="77777777" w:rsidTr="00384107">
        <w:tc>
          <w:tcPr>
            <w:tcW w:w="1836" w:type="dxa"/>
            <w:shd w:val="clear" w:color="auto" w:fill="auto"/>
          </w:tcPr>
          <w:p w14:paraId="2CEF4D22" w14:textId="77777777" w:rsidR="00E1538E" w:rsidRPr="00AE6BA1" w:rsidRDefault="00E1538E" w:rsidP="00E1538E">
            <w:pPr>
              <w:spacing w:after="120"/>
              <w:jc w:val="both"/>
            </w:pPr>
            <w:r w:rsidRPr="00AE6BA1">
              <w:t>Осуществимость:</w:t>
            </w:r>
          </w:p>
        </w:tc>
        <w:tc>
          <w:tcPr>
            <w:tcW w:w="5677" w:type="dxa"/>
            <w:shd w:val="clear" w:color="auto" w:fill="auto"/>
          </w:tcPr>
          <w:p w14:paraId="736EE8F1" w14:textId="77777777" w:rsidR="00E1538E" w:rsidRPr="00472429" w:rsidRDefault="00E1538E" w:rsidP="00E1538E">
            <w:pPr>
              <w:spacing w:after="120"/>
            </w:pPr>
            <w:r>
              <w:t>Предлагаемая поправка может быть легко реализована в рамках СПС. Переходный период не требуется.</w:t>
            </w:r>
          </w:p>
        </w:tc>
      </w:tr>
      <w:tr w:rsidR="00E1538E" w:rsidRPr="00302D36" w14:paraId="4E49D718" w14:textId="77777777" w:rsidTr="00384107">
        <w:trPr>
          <w:trHeight w:val="192"/>
        </w:trPr>
        <w:tc>
          <w:tcPr>
            <w:tcW w:w="1836" w:type="dxa"/>
            <w:shd w:val="clear" w:color="auto" w:fill="auto"/>
          </w:tcPr>
          <w:p w14:paraId="5DDCFAA0" w14:textId="77777777" w:rsidR="00E1538E" w:rsidRPr="00AE6BA1" w:rsidRDefault="00E1538E" w:rsidP="00E1538E">
            <w:pPr>
              <w:spacing w:after="120"/>
              <w:jc w:val="both"/>
            </w:pPr>
            <w:r w:rsidRPr="00AE6BA1">
              <w:t>Обеспечение применения:</w:t>
            </w:r>
          </w:p>
        </w:tc>
        <w:tc>
          <w:tcPr>
            <w:tcW w:w="5677" w:type="dxa"/>
            <w:shd w:val="clear" w:color="auto" w:fill="auto"/>
          </w:tcPr>
          <w:p w14:paraId="0187B57B" w14:textId="77777777" w:rsidR="00E1538E" w:rsidRPr="00472429" w:rsidRDefault="00E1538E" w:rsidP="00E1538E">
            <w:pPr>
              <w:spacing w:after="120"/>
              <w:jc w:val="both"/>
            </w:pPr>
            <w:r>
              <w:t>Никаких проблем не ожидается.</w:t>
            </w:r>
          </w:p>
        </w:tc>
      </w:tr>
    </w:tbl>
    <w:p w14:paraId="01CDA265" w14:textId="77777777" w:rsidR="00E1538E" w:rsidRPr="008E5449" w:rsidRDefault="00E1538E" w:rsidP="00E153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BA022" w14:textId="77777777" w:rsidR="00E1538E" w:rsidRPr="008D53B6" w:rsidRDefault="00E1538E" w:rsidP="00E1538E"/>
    <w:sectPr w:rsidR="00E1538E" w:rsidRPr="008D53B6" w:rsidSect="00E153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2E26" w14:textId="77777777" w:rsidR="0007262F" w:rsidRPr="00A312BC" w:rsidRDefault="0007262F" w:rsidP="00A312BC"/>
  </w:endnote>
  <w:endnote w:type="continuationSeparator" w:id="0">
    <w:p w14:paraId="0FFA8A18" w14:textId="77777777" w:rsidR="0007262F" w:rsidRPr="00A312BC" w:rsidRDefault="000726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3CE2" w14:textId="413AE089" w:rsidR="00E1538E" w:rsidRPr="00E1538E" w:rsidRDefault="00E1538E">
    <w:pPr>
      <w:pStyle w:val="Footer"/>
    </w:pPr>
    <w:r w:rsidRPr="00E1538E">
      <w:rPr>
        <w:b/>
        <w:sz w:val="18"/>
      </w:rPr>
      <w:fldChar w:fldCharType="begin"/>
    </w:r>
    <w:r w:rsidRPr="00E1538E">
      <w:rPr>
        <w:b/>
        <w:sz w:val="18"/>
      </w:rPr>
      <w:instrText xml:space="preserve"> PAGE  \* MERGEFORMAT </w:instrText>
    </w:r>
    <w:r w:rsidRPr="00E1538E">
      <w:rPr>
        <w:b/>
        <w:sz w:val="18"/>
      </w:rPr>
      <w:fldChar w:fldCharType="separate"/>
    </w:r>
    <w:r w:rsidR="00305076">
      <w:rPr>
        <w:b/>
        <w:noProof/>
        <w:sz w:val="18"/>
      </w:rPr>
      <w:t>2</w:t>
    </w:r>
    <w:r w:rsidRPr="00E1538E">
      <w:rPr>
        <w:b/>
        <w:sz w:val="18"/>
      </w:rPr>
      <w:fldChar w:fldCharType="end"/>
    </w:r>
    <w:r>
      <w:rPr>
        <w:b/>
        <w:sz w:val="18"/>
      </w:rPr>
      <w:tab/>
    </w:r>
    <w:r>
      <w:t>GE.19-12554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7DD6" w14:textId="77777777" w:rsidR="00E1538E" w:rsidRPr="00E1538E" w:rsidRDefault="00E1538E" w:rsidP="00E1538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GE.19-12554</w:t>
    </w:r>
    <w:r>
      <w:tab/>
    </w:r>
    <w:r w:rsidRPr="00E1538E">
      <w:rPr>
        <w:b/>
        <w:sz w:val="18"/>
      </w:rPr>
      <w:fldChar w:fldCharType="begin"/>
    </w:r>
    <w:r w:rsidRPr="00E1538E">
      <w:rPr>
        <w:b/>
        <w:sz w:val="18"/>
      </w:rPr>
      <w:instrText xml:space="preserve"> PAGE  \* MERGEFORMAT </w:instrText>
    </w:r>
    <w:r w:rsidRPr="00E1538E">
      <w:rPr>
        <w:b/>
        <w:sz w:val="18"/>
      </w:rPr>
      <w:fldChar w:fldCharType="separate"/>
    </w:r>
    <w:r w:rsidRPr="00E1538E">
      <w:rPr>
        <w:b/>
        <w:noProof/>
        <w:sz w:val="18"/>
      </w:rPr>
      <w:t>3</w:t>
    </w:r>
    <w:r w:rsidRPr="00E153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601D" w14:textId="77777777" w:rsidR="00042B72" w:rsidRPr="00E1538E" w:rsidRDefault="00E1538E" w:rsidP="00E1538E">
    <w:pPr>
      <w:spacing w:before="120" w:line="240" w:lineRule="auto"/>
    </w:pPr>
    <w:r>
      <w:t>GE.</w:t>
    </w:r>
    <w:r w:rsidR="00DF71B9"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224D83D" wp14:editId="2A88542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19-12554  (R)</w:t>
    </w:r>
    <w:r>
      <w:rPr>
        <w:lang w:val="en-US"/>
      </w:rPr>
      <w:t xml:space="preserve">   050819  060819</w:t>
    </w:r>
    <w:r>
      <w:br/>
    </w:r>
    <w:r w:rsidRPr="00E1538E">
      <w:rPr>
        <w:rFonts w:ascii="C39T30Lfz" w:hAnsi="C39T30Lfz"/>
        <w:kern w:val="14"/>
        <w:sz w:val="56"/>
      </w:rPr>
      <w:t></w:t>
    </w:r>
    <w:r w:rsidRPr="00E1538E">
      <w:rPr>
        <w:rFonts w:ascii="C39T30Lfz" w:hAnsi="C39T30Lfz"/>
        <w:kern w:val="14"/>
        <w:sz w:val="56"/>
      </w:rPr>
      <w:t></w:t>
    </w:r>
    <w:r w:rsidRPr="00E1538E">
      <w:rPr>
        <w:rFonts w:ascii="C39T30Lfz" w:hAnsi="C39T30Lfz"/>
        <w:kern w:val="14"/>
        <w:sz w:val="56"/>
      </w:rPr>
      <w:t></w:t>
    </w:r>
    <w:r w:rsidRPr="00E1538E">
      <w:rPr>
        <w:rFonts w:ascii="C39T30Lfz" w:hAnsi="C39T30Lfz"/>
        <w:kern w:val="14"/>
        <w:sz w:val="56"/>
      </w:rPr>
      <w:t></w:t>
    </w:r>
    <w:r w:rsidRPr="00E1538E">
      <w:rPr>
        <w:rFonts w:ascii="C39T30Lfz" w:hAnsi="C39T30Lfz"/>
        <w:kern w:val="14"/>
        <w:sz w:val="56"/>
      </w:rPr>
      <w:t></w:t>
    </w:r>
    <w:r w:rsidRPr="00E1538E">
      <w:rPr>
        <w:rFonts w:ascii="C39T30Lfz" w:hAnsi="C39T30Lfz"/>
        <w:kern w:val="14"/>
        <w:sz w:val="56"/>
      </w:rPr>
      <w:t></w:t>
    </w:r>
    <w:r w:rsidRPr="00E1538E">
      <w:rPr>
        <w:rFonts w:ascii="C39T30Lfz" w:hAnsi="C39T30Lfz"/>
        <w:kern w:val="14"/>
        <w:sz w:val="56"/>
      </w:rPr>
      <w:t></w:t>
    </w:r>
    <w:r w:rsidRPr="00E1538E">
      <w:rPr>
        <w:rFonts w:ascii="C39T30Lfz" w:hAnsi="C39T30Lfz"/>
        <w:kern w:val="14"/>
        <w:sz w:val="56"/>
      </w:rPr>
      <w:t></w:t>
    </w:r>
    <w:r w:rsidRPr="00E1538E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4B106A20" wp14:editId="4FC43C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6245" w14:textId="77777777" w:rsidR="0007262F" w:rsidRPr="001075E9" w:rsidRDefault="000726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4AD1AD" w14:textId="77777777" w:rsidR="0007262F" w:rsidRDefault="000726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672D" w14:textId="7E9AED3E" w:rsidR="00E1538E" w:rsidRPr="00E1538E" w:rsidRDefault="003F7D3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12EF" w14:textId="5DA0FF51" w:rsidR="00E1538E" w:rsidRPr="00E1538E" w:rsidRDefault="003F7D31" w:rsidP="00E1538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9"/>
    <w:lvlOverride w:ilvl="0">
      <w:lvl w:ilvl="0" w:tplc="3A60C988">
        <w:start w:val="1"/>
        <w:numFmt w:val="bullet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2F"/>
    <w:rsid w:val="00033EE1"/>
    <w:rsid w:val="00042B72"/>
    <w:rsid w:val="000558BD"/>
    <w:rsid w:val="0007262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076"/>
    <w:rsid w:val="00305C08"/>
    <w:rsid w:val="00307FB6"/>
    <w:rsid w:val="00317339"/>
    <w:rsid w:val="00322004"/>
    <w:rsid w:val="003402C2"/>
    <w:rsid w:val="003815CA"/>
    <w:rsid w:val="00381C24"/>
    <w:rsid w:val="00383779"/>
    <w:rsid w:val="00387CD4"/>
    <w:rsid w:val="003958D0"/>
    <w:rsid w:val="003A0D43"/>
    <w:rsid w:val="003A48CE"/>
    <w:rsid w:val="003B00E5"/>
    <w:rsid w:val="003E0B46"/>
    <w:rsid w:val="003F7D3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97AB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1AA2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7F2B"/>
    <w:rsid w:val="00C60F0C"/>
    <w:rsid w:val="00C71E84"/>
    <w:rsid w:val="00C805C9"/>
    <w:rsid w:val="00C92939"/>
    <w:rsid w:val="00CA1679"/>
    <w:rsid w:val="00CA3062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538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3A61E9"/>
  <w15:docId w15:val="{C41A98A7-2CB1-429C-9FDB-CD81A76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1538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E1538E"/>
    <w:rPr>
      <w:lang w:val="ru-RU" w:eastAsia="en-US"/>
    </w:rPr>
  </w:style>
  <w:style w:type="paragraph" w:customStyle="1" w:styleId="ParNoG">
    <w:name w:val="_ParNo_G"/>
    <w:basedOn w:val="SingleTxtG"/>
    <w:qFormat/>
    <w:rsid w:val="00E1538E"/>
    <w:pPr>
      <w:numPr>
        <w:numId w:val="23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ECE/TRANS/WP.11/2019/2</vt:lpstr>
      <vt:lpstr>ECE/TRANS/WP.11/2019/2</vt:lpstr>
      <vt:lpstr>A/</vt:lpstr>
    </vt:vector>
  </TitlesOfParts>
  <Company>DCM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ECE/TRANS/WP.11/2019/2</dc:title>
  <dc:subject/>
  <dc:creator>Anna BLAGODATSKIKH</dc:creator>
  <cp:keywords/>
  <cp:lastModifiedBy>Marie-Claude Collet</cp:lastModifiedBy>
  <cp:revision>3</cp:revision>
  <cp:lastPrinted>2019-08-20T15:56:00Z</cp:lastPrinted>
  <dcterms:created xsi:type="dcterms:W3CDTF">2019-08-20T15:56:00Z</dcterms:created>
  <dcterms:modified xsi:type="dcterms:W3CDTF">2019-08-20T15:56:00Z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