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7714AA">
            <w:pPr>
              <w:kinsoku w:val="0"/>
              <w:overflowPunct w:val="0"/>
              <w:autoSpaceDE w:val="0"/>
              <w:autoSpaceDN w:val="0"/>
              <w:adjustRightInd w:val="0"/>
              <w:snapToGrid w:val="0"/>
            </w:pPr>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7714AA" w:rsidP="007714AA">
            <w:pPr>
              <w:jc w:val="right"/>
            </w:pPr>
            <w:r w:rsidRPr="007714AA">
              <w:rPr>
                <w:sz w:val="40"/>
              </w:rPr>
              <w:t>ECE</w:t>
            </w:r>
            <w:r>
              <w:t>/TRANS/2019/17</w:t>
            </w:r>
          </w:p>
        </w:tc>
      </w:tr>
      <w:tr w:rsidR="002D5AAC" w:rsidRPr="00137EF6"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rsidR="002D5AAC" w:rsidRDefault="007714AA" w:rsidP="00387CD4">
            <w:pPr>
              <w:spacing w:before="240"/>
              <w:rPr>
                <w:lang w:val="en-US"/>
              </w:rPr>
            </w:pPr>
            <w:r>
              <w:rPr>
                <w:lang w:val="en-US"/>
              </w:rPr>
              <w:t>Distr.: General</w:t>
            </w:r>
          </w:p>
          <w:p w:rsidR="007714AA" w:rsidRDefault="007714AA" w:rsidP="007714AA">
            <w:pPr>
              <w:spacing w:line="240" w:lineRule="exact"/>
              <w:rPr>
                <w:lang w:val="en-US"/>
              </w:rPr>
            </w:pPr>
            <w:r>
              <w:rPr>
                <w:lang w:val="en-US"/>
              </w:rPr>
              <w:t>7 December 2018</w:t>
            </w:r>
          </w:p>
          <w:p w:rsidR="007714AA" w:rsidRDefault="007714AA" w:rsidP="007714AA">
            <w:pPr>
              <w:spacing w:line="240" w:lineRule="exact"/>
              <w:rPr>
                <w:lang w:val="en-US"/>
              </w:rPr>
            </w:pPr>
            <w:r>
              <w:rPr>
                <w:lang w:val="en-US"/>
              </w:rPr>
              <w:t>Russian</w:t>
            </w:r>
          </w:p>
          <w:p w:rsidR="007714AA" w:rsidRPr="008D53B6" w:rsidRDefault="007714AA" w:rsidP="007714AA">
            <w:pPr>
              <w:spacing w:line="240" w:lineRule="exact"/>
              <w:rPr>
                <w:lang w:val="en-US"/>
              </w:rPr>
            </w:pPr>
            <w:r>
              <w:rPr>
                <w:lang w:val="en-US"/>
              </w:rPr>
              <w:t>Original: English</w:t>
            </w:r>
          </w:p>
        </w:tc>
      </w:tr>
    </w:tbl>
    <w:p w:rsidR="007714AA" w:rsidRDefault="008A37C8" w:rsidP="007714AA">
      <w:pPr>
        <w:spacing w:before="80"/>
        <w:rPr>
          <w:b/>
          <w:sz w:val="28"/>
          <w:szCs w:val="28"/>
        </w:rPr>
      </w:pPr>
      <w:r w:rsidRPr="00245892">
        <w:rPr>
          <w:b/>
          <w:sz w:val="28"/>
          <w:szCs w:val="28"/>
        </w:rPr>
        <w:t>Европейская экономическая комиссия</w:t>
      </w:r>
    </w:p>
    <w:p w:rsidR="007714AA" w:rsidRPr="007714AA" w:rsidRDefault="007714AA" w:rsidP="007714AA">
      <w:pPr>
        <w:spacing w:before="80"/>
        <w:rPr>
          <w:sz w:val="28"/>
          <w:szCs w:val="28"/>
        </w:rPr>
      </w:pPr>
      <w:r w:rsidRPr="007714AA">
        <w:rPr>
          <w:sz w:val="28"/>
          <w:szCs w:val="28"/>
        </w:rPr>
        <w:t>Комитет по внутреннему транспорту</w:t>
      </w:r>
    </w:p>
    <w:p w:rsidR="007714AA" w:rsidRPr="00775F3B" w:rsidRDefault="007714AA" w:rsidP="007714AA">
      <w:pPr>
        <w:spacing w:before="80"/>
        <w:rPr>
          <w:b/>
        </w:rPr>
      </w:pPr>
      <w:r>
        <w:rPr>
          <w:b/>
          <w:bCs/>
        </w:rPr>
        <w:t>Восемьдесят первая сессия</w:t>
      </w:r>
      <w:r>
        <w:rPr>
          <w:b/>
          <w:bCs/>
        </w:rPr>
        <w:br/>
      </w:r>
      <w:r>
        <w:t>Женева, 19−22 февраля 2019 года</w:t>
      </w:r>
      <w:r>
        <w:br/>
        <w:t>Пункт 5 h) предварительной повестки дня</w:t>
      </w:r>
      <w:r>
        <w:rPr>
          <w:b/>
          <w:bCs/>
        </w:rPr>
        <w:br/>
      </w:r>
      <w:r w:rsidR="004437D3">
        <w:rPr>
          <w:b/>
          <w:bCs/>
          <w:lang w:val="en-US"/>
        </w:rPr>
        <w:t>C</w:t>
      </w:r>
      <w:proofErr w:type="spellStart"/>
      <w:r>
        <w:rPr>
          <w:b/>
          <w:bCs/>
        </w:rPr>
        <w:t>тратегические</w:t>
      </w:r>
      <w:proofErr w:type="spellEnd"/>
      <w:r>
        <w:rPr>
          <w:b/>
          <w:bCs/>
        </w:rPr>
        <w:t xml:space="preserve"> вопросы, связанные с разными видами</w:t>
      </w:r>
      <w:r>
        <w:rPr>
          <w:b/>
          <w:bCs/>
        </w:rPr>
        <w:br/>
        <w:t>транспорта и тематическими направлениями</w:t>
      </w:r>
    </w:p>
    <w:p w:rsidR="007714AA" w:rsidRPr="00775F3B" w:rsidRDefault="007714AA" w:rsidP="007714AA">
      <w:pPr>
        <w:pStyle w:val="HChG"/>
        <w:spacing w:before="280"/>
      </w:pPr>
      <w:r>
        <w:tab/>
      </w:r>
      <w:r>
        <w:tab/>
      </w:r>
      <w:r>
        <w:rPr>
          <w:bCs/>
        </w:rPr>
        <w:t xml:space="preserve">Активизация работы по </w:t>
      </w:r>
      <w:r w:rsidR="004437D3">
        <w:rPr>
          <w:bCs/>
        </w:rPr>
        <w:t>облегчению пересечения</w:t>
      </w:r>
      <w:r w:rsidR="004437D3">
        <w:rPr>
          <w:bCs/>
        </w:rPr>
        <w:br/>
      </w:r>
      <w:r>
        <w:rPr>
          <w:bCs/>
        </w:rPr>
        <w:t>границ (Конвенция</w:t>
      </w:r>
      <w:r w:rsidR="004437D3">
        <w:rPr>
          <w:bCs/>
        </w:rPr>
        <w:t xml:space="preserve"> о согласовании, Конвенция </w:t>
      </w:r>
      <w:proofErr w:type="spellStart"/>
      <w:r w:rsidR="004437D3">
        <w:rPr>
          <w:bCs/>
        </w:rPr>
        <w:t>МДП</w:t>
      </w:r>
      <w:proofErr w:type="spellEnd"/>
      <w:r w:rsidR="004437D3">
        <w:rPr>
          <w:bCs/>
        </w:rPr>
        <w:t>,</w:t>
      </w:r>
      <w:r w:rsidR="004437D3">
        <w:rPr>
          <w:bCs/>
        </w:rPr>
        <w:br/>
      </w:r>
      <w:r>
        <w:rPr>
          <w:bCs/>
        </w:rPr>
        <w:t xml:space="preserve">проект </w:t>
      </w:r>
      <w:proofErr w:type="spellStart"/>
      <w:r>
        <w:rPr>
          <w:bCs/>
        </w:rPr>
        <w:t>eTIR</w:t>
      </w:r>
      <w:proofErr w:type="spellEnd"/>
      <w:r>
        <w:rPr>
          <w:bCs/>
        </w:rPr>
        <w:t xml:space="preserve"> и другие меры по облегчению таможенного транзита)</w:t>
      </w:r>
    </w:p>
    <w:p w:rsidR="007714AA" w:rsidRPr="005D7D8E" w:rsidRDefault="007714AA" w:rsidP="007714AA">
      <w:pPr>
        <w:pStyle w:val="H1G"/>
        <w:spacing w:before="240"/>
      </w:pPr>
      <w:r>
        <w:tab/>
      </w:r>
      <w:r>
        <w:tab/>
      </w:r>
      <w:r>
        <w:rPr>
          <w:bCs/>
        </w:rPr>
        <w:t>Записка секретариата</w:t>
      </w:r>
    </w:p>
    <w:tbl>
      <w:tblPr>
        <w:tblStyle w:val="ac"/>
        <w:tblW w:w="0" w:type="auto"/>
        <w:jc w:val="center"/>
        <w:tblLook w:val="05E0" w:firstRow="1" w:lastRow="1" w:firstColumn="1" w:lastColumn="1" w:noHBand="0" w:noVBand="1"/>
      </w:tblPr>
      <w:tblGrid>
        <w:gridCol w:w="9628"/>
      </w:tblGrid>
      <w:tr w:rsidR="007714AA" w:rsidRPr="007714AA" w:rsidTr="007714AA">
        <w:trPr>
          <w:jc w:val="center"/>
        </w:trPr>
        <w:tc>
          <w:tcPr>
            <w:tcW w:w="9628" w:type="dxa"/>
            <w:tcBorders>
              <w:bottom w:val="nil"/>
            </w:tcBorders>
          </w:tcPr>
          <w:p w:rsidR="007714AA" w:rsidRPr="007714AA" w:rsidRDefault="007714AA" w:rsidP="00850215">
            <w:pPr>
              <w:tabs>
                <w:tab w:val="left" w:pos="255"/>
              </w:tabs>
              <w:spacing w:before="240" w:after="120"/>
              <w:rPr>
                <w:rFonts w:cs="Times New Roman"/>
                <w:sz w:val="24"/>
              </w:rPr>
            </w:pPr>
            <w:r w:rsidRPr="007714AA">
              <w:rPr>
                <w:rFonts w:cs="Times New Roman"/>
              </w:rPr>
              <w:tab/>
            </w:r>
            <w:r w:rsidRPr="007714AA">
              <w:rPr>
                <w:rFonts w:cs="Times New Roman"/>
                <w:i/>
                <w:sz w:val="24"/>
              </w:rPr>
              <w:t>Резюме</w:t>
            </w:r>
          </w:p>
        </w:tc>
      </w:tr>
      <w:tr w:rsidR="007714AA" w:rsidRPr="007714AA" w:rsidTr="007714AA">
        <w:trPr>
          <w:jc w:val="center"/>
        </w:trPr>
        <w:tc>
          <w:tcPr>
            <w:tcW w:w="9628" w:type="dxa"/>
            <w:tcBorders>
              <w:top w:val="nil"/>
              <w:bottom w:val="nil"/>
            </w:tcBorders>
            <w:shd w:val="clear" w:color="auto" w:fill="auto"/>
          </w:tcPr>
          <w:p w:rsidR="007714AA" w:rsidRPr="007714AA" w:rsidRDefault="007714AA" w:rsidP="007714AA">
            <w:pPr>
              <w:pStyle w:val="SingleTxtG"/>
              <w:spacing w:after="100" w:line="220" w:lineRule="atLeast"/>
            </w:pPr>
            <w:r>
              <w:tab/>
            </w:r>
            <w:r>
              <w:tab/>
              <w:t>В настоящем документе содержится краткая информация о деятельности Рабочей группы по таможенным вопросам, с</w:t>
            </w:r>
            <w:r w:rsidR="004437D3">
              <w:t>вязанным с транспортом (</w:t>
            </w:r>
            <w:proofErr w:type="spellStart"/>
            <w:r w:rsidR="004437D3">
              <w:t>WP.30</w:t>
            </w:r>
            <w:proofErr w:type="spellEnd"/>
            <w:r w:rsidR="004437D3">
              <w:t>),</w:t>
            </w:r>
            <w:r w:rsidR="004437D3">
              <w:br/>
            </w:r>
            <w:r>
              <w:t xml:space="preserve">ее вспомогательных групп экспертов и секретариата, направленной на активизацию усилий по облегчению пересечения границ и осуществлению соответствующих правовых документов, относящихся к ведению WP.30 (Конвенции о согласовании, Конвенции </w:t>
            </w:r>
            <w:proofErr w:type="spellStart"/>
            <w:r>
              <w:t>МДП</w:t>
            </w:r>
            <w:proofErr w:type="spellEnd"/>
            <w:r>
              <w:t xml:space="preserve"> и т.</w:t>
            </w:r>
            <w:r w:rsidR="00D079FF" w:rsidRPr="00D079FF">
              <w:t xml:space="preserve"> </w:t>
            </w:r>
            <w:r>
              <w:t>д.), включая аспекты компьютеризации системы МДП в рамках проекта eTIR.</w:t>
            </w:r>
          </w:p>
        </w:tc>
      </w:tr>
      <w:tr w:rsidR="007714AA" w:rsidRPr="007714AA" w:rsidTr="007714AA">
        <w:trPr>
          <w:jc w:val="center"/>
        </w:trPr>
        <w:tc>
          <w:tcPr>
            <w:tcW w:w="9628" w:type="dxa"/>
            <w:tcBorders>
              <w:top w:val="nil"/>
              <w:bottom w:val="nil"/>
            </w:tcBorders>
          </w:tcPr>
          <w:p w:rsidR="007714AA" w:rsidRPr="007714AA" w:rsidRDefault="007714AA" w:rsidP="007714AA">
            <w:pPr>
              <w:pStyle w:val="SingleTxtG"/>
              <w:spacing w:after="100" w:line="220" w:lineRule="atLeast"/>
            </w:pPr>
            <w:r>
              <w:tab/>
            </w:r>
            <w:r>
              <w:tab/>
              <w:t xml:space="preserve">Комитет, возможно, пожелает </w:t>
            </w:r>
            <w:r w:rsidRPr="003D7D49">
              <w:rPr>
                <w:b/>
                <w:bCs/>
              </w:rPr>
              <w:t>принять к сведению</w:t>
            </w:r>
            <w:r>
              <w:t xml:space="preserve"> информацию об указанных мероприятиях и </w:t>
            </w:r>
            <w:r w:rsidRPr="003D7D49">
              <w:rPr>
                <w:b/>
                <w:bCs/>
              </w:rPr>
              <w:t>одобрить</w:t>
            </w:r>
            <w:r>
              <w:t xml:space="preserve"> их. Комитету также предлагается продлить мандат Специальной группы экспертов по концептуальным и техническим аспектам компьютеризации процедуры МДП (WP.30/GE.1) на 2019 год.</w:t>
            </w:r>
          </w:p>
        </w:tc>
      </w:tr>
      <w:tr w:rsidR="007714AA" w:rsidRPr="007714AA" w:rsidTr="007714AA">
        <w:trPr>
          <w:jc w:val="center"/>
        </w:trPr>
        <w:tc>
          <w:tcPr>
            <w:tcW w:w="9628" w:type="dxa"/>
            <w:tcBorders>
              <w:top w:val="nil"/>
              <w:bottom w:val="nil"/>
            </w:tcBorders>
          </w:tcPr>
          <w:p w:rsidR="007714AA" w:rsidRPr="007714AA" w:rsidRDefault="007714AA" w:rsidP="007714AA">
            <w:pPr>
              <w:pStyle w:val="SingleTxtG"/>
              <w:spacing w:after="100" w:line="220" w:lineRule="atLeast"/>
            </w:pPr>
            <w:r>
              <w:tab/>
            </w:r>
            <w:r>
              <w:tab/>
              <w:t xml:space="preserve">Комитет, возможно, пожелает </w:t>
            </w:r>
            <w:r w:rsidRPr="003D7D49">
              <w:rPr>
                <w:b/>
                <w:bCs/>
              </w:rPr>
              <w:t>рекомендовать</w:t>
            </w:r>
            <w:r>
              <w:t xml:space="preserve"> странам выразить заинтересованность или принять участие в экспериментальных проектах eTIR, заложив тем самым основу для плавного перехода к полному осуществлению eTIR.</w:t>
            </w:r>
          </w:p>
        </w:tc>
      </w:tr>
      <w:tr w:rsidR="007714AA" w:rsidRPr="007714AA" w:rsidTr="007714AA">
        <w:trPr>
          <w:jc w:val="center"/>
        </w:trPr>
        <w:tc>
          <w:tcPr>
            <w:tcW w:w="9628" w:type="dxa"/>
            <w:tcBorders>
              <w:top w:val="nil"/>
              <w:bottom w:val="nil"/>
            </w:tcBorders>
          </w:tcPr>
          <w:p w:rsidR="007714AA" w:rsidRPr="007714AA" w:rsidRDefault="007714AA" w:rsidP="007714AA">
            <w:pPr>
              <w:pStyle w:val="SingleTxtG"/>
              <w:spacing w:after="100" w:line="220" w:lineRule="atLeast"/>
            </w:pPr>
            <w:r>
              <w:tab/>
            </w:r>
            <w:r>
              <w:tab/>
              <w:t xml:space="preserve">Комитету </w:t>
            </w:r>
            <w:r w:rsidRPr="003D7D49">
              <w:rPr>
                <w:b/>
                <w:bCs/>
              </w:rPr>
              <w:t>предлагается рекомендовать</w:t>
            </w:r>
            <w:r>
              <w:t xml:space="preserve"> Договаривающимся сторонам Конвенции МДП оперативно принять приложение 11 к Конвенции МДП, предполагающее включение eTIR в правовой текст Конвенции.</w:t>
            </w:r>
          </w:p>
        </w:tc>
      </w:tr>
      <w:tr w:rsidR="007714AA" w:rsidRPr="007714AA" w:rsidTr="007714AA">
        <w:trPr>
          <w:jc w:val="center"/>
        </w:trPr>
        <w:tc>
          <w:tcPr>
            <w:tcW w:w="9628" w:type="dxa"/>
            <w:tcBorders>
              <w:top w:val="nil"/>
              <w:bottom w:val="nil"/>
            </w:tcBorders>
          </w:tcPr>
          <w:p w:rsidR="007714AA" w:rsidRPr="007714AA" w:rsidRDefault="007714AA" w:rsidP="007714AA">
            <w:pPr>
              <w:pStyle w:val="SingleTxtG"/>
              <w:spacing w:after="100" w:line="220" w:lineRule="atLeast"/>
            </w:pPr>
            <w:r>
              <w:tab/>
            </w:r>
            <w:r>
              <w:tab/>
              <w:t xml:space="preserve">Комитету </w:t>
            </w:r>
            <w:r w:rsidRPr="003D7D49">
              <w:rPr>
                <w:b/>
                <w:bCs/>
              </w:rPr>
              <w:t>предлагается настоятельно призвать</w:t>
            </w:r>
            <w:r>
              <w:t xml:space="preserve"> Договаривающиеся стороны и соответствующие заинтересованные стороны предоставить средства, которые потребуются для реализации eTIR.</w:t>
            </w:r>
          </w:p>
        </w:tc>
      </w:tr>
      <w:tr w:rsidR="007714AA" w:rsidRPr="007714AA" w:rsidTr="007714AA">
        <w:trPr>
          <w:jc w:val="center"/>
        </w:trPr>
        <w:tc>
          <w:tcPr>
            <w:tcW w:w="9628" w:type="dxa"/>
            <w:tcBorders>
              <w:top w:val="nil"/>
              <w:bottom w:val="nil"/>
            </w:tcBorders>
          </w:tcPr>
          <w:p w:rsidR="007714AA" w:rsidRPr="007714AA" w:rsidRDefault="007714AA" w:rsidP="007714AA">
            <w:pPr>
              <w:pStyle w:val="SingleTxtG"/>
              <w:spacing w:after="100" w:line="220" w:lineRule="atLeast"/>
            </w:pPr>
            <w:r>
              <w:tab/>
            </w:r>
            <w:r>
              <w:tab/>
              <w:t xml:space="preserve">Комитет, возможно, пожелает </w:t>
            </w:r>
            <w:r w:rsidRPr="003D7D49">
              <w:rPr>
                <w:b/>
                <w:bCs/>
              </w:rPr>
              <w:t>рассмотреть</w:t>
            </w:r>
            <w:r>
              <w:t xml:space="preserve"> и </w:t>
            </w:r>
            <w:r w:rsidRPr="003D7D49">
              <w:rPr>
                <w:b/>
                <w:bCs/>
              </w:rPr>
              <w:t>одобрить</w:t>
            </w:r>
            <w:r>
              <w:t xml:space="preserve"> текст новой конвенции об облегчении условий пересечения государственных границ при международной железнодорожной перевозке пассажиров, багажа и товаробагажа.</w:t>
            </w:r>
          </w:p>
        </w:tc>
      </w:tr>
      <w:tr w:rsidR="007714AA" w:rsidRPr="007714AA" w:rsidTr="007714AA">
        <w:trPr>
          <w:jc w:val="center"/>
        </w:trPr>
        <w:tc>
          <w:tcPr>
            <w:tcW w:w="9628" w:type="dxa"/>
            <w:tcBorders>
              <w:top w:val="nil"/>
            </w:tcBorders>
          </w:tcPr>
          <w:p w:rsidR="007714AA" w:rsidRPr="007714AA" w:rsidRDefault="007714AA" w:rsidP="00850215">
            <w:pPr>
              <w:rPr>
                <w:rFonts w:cs="Times New Roman"/>
              </w:rPr>
            </w:pPr>
          </w:p>
        </w:tc>
      </w:tr>
    </w:tbl>
    <w:p w:rsidR="007714AA" w:rsidRPr="00775F3B" w:rsidRDefault="007714AA" w:rsidP="007714AA">
      <w:pPr>
        <w:pStyle w:val="HChG"/>
      </w:pPr>
      <w:r>
        <w:rPr>
          <w:bCs/>
        </w:rPr>
        <w:lastRenderedPageBreak/>
        <w:tab/>
        <w:t>I.</w:t>
      </w:r>
      <w:r>
        <w:rPr>
          <w:bCs/>
        </w:rPr>
        <w:tab/>
      </w:r>
      <w:r>
        <w:rPr>
          <w:bCs/>
        </w:rPr>
        <w:tab/>
        <w:t>Справочная информация и мандат</w:t>
      </w:r>
    </w:p>
    <w:p w:rsidR="007714AA" w:rsidRPr="00775F3B" w:rsidRDefault="007714AA" w:rsidP="007714AA">
      <w:pPr>
        <w:pStyle w:val="SingleTxtG"/>
      </w:pPr>
      <w:r>
        <w:t>1.</w:t>
      </w:r>
      <w:r>
        <w:tab/>
        <w:t xml:space="preserve">Настоящий документ подготовлен в соответствии с программой работы Комитета по внутреннему </w:t>
      </w:r>
      <w:r w:rsidR="004437D3">
        <w:t>транспорту (КВТ) на период 2016–</w:t>
      </w:r>
      <w:r>
        <w:t>2020 годов (</w:t>
      </w:r>
      <w:proofErr w:type="spellStart"/>
      <w:r>
        <w:t>ECE</w:t>
      </w:r>
      <w:proofErr w:type="spellEnd"/>
      <w:r>
        <w:t>/</w:t>
      </w:r>
      <w:r w:rsidR="004437D3" w:rsidRPr="004437D3">
        <w:t xml:space="preserve"> </w:t>
      </w:r>
      <w:proofErr w:type="spellStart"/>
      <w:r>
        <w:t>TRANS</w:t>
      </w:r>
      <w:proofErr w:type="spellEnd"/>
      <w:r>
        <w:t>/254, пункт 156, и ECE/TRANS/2016/31, подпрограмма 02.10: Таможенные вопросы, связанные с транспортом). В нем сообщается о прогрессе, достигнутом в 2018 году Договаривающимися сторонами, WP.30 и секретариатом в области облегчения процедур пересечения границ, включая, в частности:</w:t>
      </w:r>
    </w:p>
    <w:p w:rsidR="007714AA" w:rsidRPr="00775F3B" w:rsidDel="003D4299" w:rsidRDefault="007714AA" w:rsidP="007714AA">
      <w:pPr>
        <w:pStyle w:val="Bullet1G"/>
        <w:numPr>
          <w:ilvl w:val="0"/>
          <w:numId w:val="23"/>
        </w:numPr>
      </w:pPr>
      <w:r>
        <w:t>достижения в контексте Международной конвенции о согласовании условий проведения контроля грузов на границах 1982 года (Конвенции о согласовании), а также инициативы по мониторингу и укреплению потенциала в целях содействия надлежащему применению этой Конвенции на национальном уровне;</w:t>
      </w:r>
    </w:p>
    <w:p w:rsidR="007714AA" w:rsidRPr="00775F3B" w:rsidRDefault="007714AA" w:rsidP="007714AA">
      <w:pPr>
        <w:pStyle w:val="Bullet1G"/>
        <w:numPr>
          <w:ilvl w:val="0"/>
          <w:numId w:val="23"/>
        </w:numPr>
      </w:pPr>
      <w:r>
        <w:t xml:space="preserve"> деятельность и достижения в контексте Конвенции МДП и функционирования системы МДП;</w:t>
      </w:r>
    </w:p>
    <w:p w:rsidR="007714AA" w:rsidRPr="00775F3B" w:rsidRDefault="007714AA" w:rsidP="007714AA">
      <w:pPr>
        <w:pStyle w:val="Bullet1G"/>
        <w:numPr>
          <w:ilvl w:val="0"/>
          <w:numId w:val="23"/>
        </w:numPr>
      </w:pPr>
      <w:r>
        <w:t>прогресс, достигнутый в работе над осуществлением проекта eTIR, ход разработки проекта приложения 11 к Конвенции в целях создания правовой основы для практического применения компьютеризованной процедуры МДП и статус пятилетнего Меморандума о взаимопонимании (МоВ) по сотрудничеству между ЕЭК и МСАТ в области компьютеризации процедуры МДП и его последующих экспериментальных проектов;</w:t>
      </w:r>
    </w:p>
    <w:p w:rsidR="007714AA" w:rsidRPr="00775F3B" w:rsidRDefault="007714AA" w:rsidP="007714AA">
      <w:pPr>
        <w:pStyle w:val="Bullet1G"/>
        <w:numPr>
          <w:ilvl w:val="0"/>
          <w:numId w:val="23"/>
        </w:numPr>
      </w:pPr>
      <w:r>
        <w:t>достижения в связи с разработкой новой конвенции об облегчении условий пересечения государственных границ при международной железнодорожной перевозке пассажиров, багажа и товаробагажа;</w:t>
      </w:r>
    </w:p>
    <w:p w:rsidR="007714AA" w:rsidRPr="00775F3B" w:rsidRDefault="007714AA" w:rsidP="007714AA">
      <w:pPr>
        <w:pStyle w:val="Bullet1G"/>
        <w:numPr>
          <w:ilvl w:val="0"/>
          <w:numId w:val="23"/>
        </w:numPr>
      </w:pPr>
      <w:r>
        <w:t>текущие вопросы, связанные с применением Таможенной конвенции о временном ввозе частных дорожных перевозочных средств 1954 года в Египте и Иордании.</w:t>
      </w:r>
    </w:p>
    <w:p w:rsidR="007714AA" w:rsidRPr="00775F3B" w:rsidRDefault="007714AA" w:rsidP="007714AA">
      <w:pPr>
        <w:pStyle w:val="HChG"/>
      </w:pPr>
      <w:r>
        <w:rPr>
          <w:bCs/>
        </w:rPr>
        <w:tab/>
        <w:t>II.</w:t>
      </w:r>
      <w:r>
        <w:tab/>
      </w:r>
      <w:r>
        <w:tab/>
      </w:r>
      <w:r>
        <w:rPr>
          <w:bCs/>
        </w:rPr>
        <w:t>Конвенция о согласовании</w:t>
      </w:r>
      <w:r>
        <w:t xml:space="preserve"> </w:t>
      </w:r>
    </w:p>
    <w:p w:rsidR="007714AA" w:rsidRPr="00775F3B" w:rsidRDefault="007714AA" w:rsidP="007714AA">
      <w:pPr>
        <w:pStyle w:val="SingleTxtG"/>
      </w:pPr>
      <w:r>
        <w:t>2.</w:t>
      </w:r>
      <w:r>
        <w:tab/>
        <w:t>Комитет, возможно, пожелает отметить, что в 2018 году никакие новые страны к Международной конвенции о согласовании условий проведения контроля грузов на границах 1982 года («Конвенция о согласовании») не присоединились. Таким образом, с момента вступления в силу Конвенции о</w:t>
      </w:r>
      <w:r w:rsidR="004437D3">
        <w:t xml:space="preserve"> согласовании для Туркменистана</w:t>
      </w:r>
      <w:r w:rsidR="004437D3">
        <w:br/>
      </w:r>
      <w:r>
        <w:t xml:space="preserve">27 февраля 2017 года ее участниками по-прежнему являются 58 Договаривающихся сторон. </w:t>
      </w:r>
    </w:p>
    <w:p w:rsidR="007714AA" w:rsidRPr="00775F3B" w:rsidRDefault="007714AA" w:rsidP="007714AA">
      <w:pPr>
        <w:pStyle w:val="H1G"/>
      </w:pPr>
      <w:r>
        <w:rPr>
          <w:bCs/>
        </w:rPr>
        <w:tab/>
        <w:t>A.</w:t>
      </w:r>
      <w:r>
        <w:tab/>
      </w:r>
      <w:r>
        <w:tab/>
      </w:r>
      <w:r>
        <w:rPr>
          <w:bCs/>
        </w:rPr>
        <w:t>Двухгодичное обследование по вопросу осуществления приложения 8, касающегося пересечения границ в ходе международных автомобильных перевозок</w:t>
      </w:r>
    </w:p>
    <w:p w:rsidR="007714AA" w:rsidRPr="00775F3B" w:rsidRDefault="007714AA" w:rsidP="007714AA">
      <w:pPr>
        <w:pStyle w:val="SingleTxtG"/>
        <w:rPr>
          <w:color w:val="000000"/>
        </w:rPr>
      </w:pPr>
      <w:r>
        <w:t>3.</w:t>
      </w:r>
      <w:r>
        <w:tab/>
        <w:t>На своей 150-й сессии (октябрь 2018 года) Рабочая группа решила приступить к проведению среди Договаривающихся сторон двухгодичного обзора по вопросу о достигнутом прогрессе в ходе осуществления приложения 8 к Конвенции о согласовании, поручив секретариату обратиться к странам с просьбой представить ответы не позднее 15 января 2019 года (см. ECE/TRANS/WP.30/300, пункты 31 и 32).</w:t>
      </w:r>
    </w:p>
    <w:p w:rsidR="007714AA" w:rsidRPr="00775F3B" w:rsidRDefault="007714AA" w:rsidP="007714AA">
      <w:pPr>
        <w:pStyle w:val="H1G"/>
      </w:pPr>
      <w:r>
        <w:rPr>
          <w:bCs/>
        </w:rPr>
        <w:tab/>
        <w:t>B.</w:t>
      </w:r>
      <w:r>
        <w:tab/>
      </w:r>
      <w:r>
        <w:tab/>
      </w:r>
      <w:r>
        <w:rPr>
          <w:bCs/>
        </w:rPr>
        <w:t>Аспекты применения Конвенции</w:t>
      </w:r>
    </w:p>
    <w:p w:rsidR="007714AA" w:rsidRPr="00775F3B" w:rsidRDefault="007714AA" w:rsidP="007714AA">
      <w:pPr>
        <w:pStyle w:val="SingleTxtG"/>
        <w:spacing w:before="240"/>
      </w:pPr>
      <w:r>
        <w:t>4.</w:t>
      </w:r>
      <w:r>
        <w:tab/>
        <w:t>На своей 148-й сессии (февраль 2018 года) Рабочая группа решила, что следующую сессию Административного комитета Конвенции о согласовании (АС.3) следует созвать совместно с ее сессией в июне 2019 года, и поручила секретариату принять необходимые меры, включая подготовку предсессионной, сессионной и послесессионной документации. Договаривающимся сторонам было предложено передать в секретариат материалы по тем вопросам, которые они хотели бы рассмотреть на этой сессии (см. ECE/TRANS/WP.30/296, пункт 38). Это решение было одобрено КВТ на его восьмидесятой сессии (см ECE/TRANS/274, пункт 92).</w:t>
      </w:r>
    </w:p>
    <w:p w:rsidR="007714AA" w:rsidRPr="00775F3B" w:rsidRDefault="007714AA" w:rsidP="007714AA">
      <w:pPr>
        <w:pStyle w:val="HChG"/>
      </w:pPr>
      <w:r>
        <w:rPr>
          <w:bCs/>
        </w:rPr>
        <w:tab/>
        <w:t>III.</w:t>
      </w:r>
      <w:r>
        <w:tab/>
      </w:r>
      <w:r>
        <w:rPr>
          <w:bCs/>
        </w:rPr>
        <w:t>Конвенция МДП</w:t>
      </w:r>
      <w:r>
        <w:t xml:space="preserve"> </w:t>
      </w:r>
    </w:p>
    <w:p w:rsidR="007714AA" w:rsidRPr="00775F3B" w:rsidRDefault="007714AA" w:rsidP="007714AA">
      <w:pPr>
        <w:pStyle w:val="SingleTxtG"/>
      </w:pPr>
      <w:r>
        <w:t>5.</w:t>
      </w:r>
      <w:r>
        <w:tab/>
        <w:t xml:space="preserve">В 2018 году Катар, Саудовская Аравия и Аргентина сдали на хранение свои документы о присоединении к Конвенции МДП 1975 года. С учетом присоединения к Конвенции этих стран число ее Договаривающихся </w:t>
      </w:r>
      <w:r w:rsidR="00137EF6">
        <w:t>сторон достигло 75. Кроме того,</w:t>
      </w:r>
      <w:r w:rsidR="00137EF6">
        <w:br/>
      </w:r>
      <w:r>
        <w:t>в 2018 году система МДП начала</w:t>
      </w:r>
      <w:r w:rsidR="004437D3">
        <w:t xml:space="preserve"> функционировать в Индии, Китае</w:t>
      </w:r>
      <w:r>
        <w:t xml:space="preserve"> и Пакистане и в настоящее время действует в </w:t>
      </w:r>
      <w:r w:rsidR="004437D3">
        <w:t>62</w:t>
      </w:r>
      <w:r w:rsidR="00137EF6">
        <w:t xml:space="preserve"> странах.</w:t>
      </w:r>
    </w:p>
    <w:p w:rsidR="007714AA" w:rsidRPr="00775F3B" w:rsidRDefault="007714AA" w:rsidP="007714AA">
      <w:pPr>
        <w:pStyle w:val="SingleTxtG"/>
      </w:pPr>
      <w:r>
        <w:t>6.</w:t>
      </w:r>
      <w:r>
        <w:tab/>
        <w:t>В 2018 году WP.30 и Административный комитет МДП (АС.2) продолжили усилия по рассмотрению и завершению разработки набора предложений по поправкам к Конвенции МДП. В течение 2018 года АС.2 одобрил ряд предложений по следующим поправкам (пока не принятым официально):</w:t>
      </w:r>
    </w:p>
    <w:p w:rsidR="007714AA" w:rsidRPr="00775F3B" w:rsidRDefault="007714AA" w:rsidP="007714AA">
      <w:pPr>
        <w:pStyle w:val="Bullet1G"/>
        <w:numPr>
          <w:ilvl w:val="0"/>
          <w:numId w:val="23"/>
        </w:numPr>
      </w:pPr>
      <w:r>
        <w:t xml:space="preserve"> поправки к пункту 1 статьи 6, пояснительная записка 0.6.2, и к пункту I части I приложения 9, предусматривающие изменение существующей формулировки на «таможенные органы или другие компетентные органы»;</w:t>
      </w:r>
    </w:p>
    <w:p w:rsidR="007714AA" w:rsidRPr="00775F3B" w:rsidRDefault="007714AA" w:rsidP="007714AA">
      <w:pPr>
        <w:pStyle w:val="Bullet1G"/>
        <w:numPr>
          <w:ilvl w:val="0"/>
          <w:numId w:val="23"/>
        </w:numPr>
      </w:pPr>
      <w:r>
        <w:t>поправки к статье 18, предусматривающие увеличении общего числа таможен места отправления и назначения с четырех до восьми, с включением новой пояснительной записки 0.18.3, обязывающей Договаривающиеся стороны обеспечивать открытый доступ к информации о любых ограничениях в отношении применения этой статьи, а также предоставлять ее Исполнительному совету МДП (ИСМДП).</w:t>
      </w:r>
    </w:p>
    <w:p w:rsidR="007714AA" w:rsidRPr="00775F3B" w:rsidRDefault="007714AA" w:rsidP="007714AA">
      <w:pPr>
        <w:pStyle w:val="SingleTxtG"/>
      </w:pPr>
      <w:r>
        <w:t>7.</w:t>
      </w:r>
      <w:r>
        <w:tab/>
        <w:t>1 июля 2018 года вступили в силу различные предложения по поправкам к приложениям 6, 8 и 9; речь идет, в частности, о следующем:</w:t>
      </w:r>
    </w:p>
    <w:p w:rsidR="007714AA" w:rsidRPr="00EC5A73" w:rsidRDefault="007714AA" w:rsidP="007714AA">
      <w:pPr>
        <w:pStyle w:val="Bullet1G"/>
        <w:numPr>
          <w:ilvl w:val="0"/>
          <w:numId w:val="23"/>
        </w:numPr>
      </w:pPr>
      <w:r>
        <w:tab/>
        <w:t xml:space="preserve">увеличении максимальной суммы гарантии на книжку </w:t>
      </w:r>
      <w:proofErr w:type="spellStart"/>
      <w:r>
        <w:t>МДП</w:t>
      </w:r>
      <w:proofErr w:type="spellEnd"/>
      <w:r>
        <w:t xml:space="preserve"> c 5</w:t>
      </w:r>
      <w:r w:rsidR="00B402F1">
        <w:t>0</w:t>
      </w:r>
      <w:r w:rsidR="001913A4">
        <w:t> 000</w:t>
      </w:r>
      <w:r>
        <w:t xml:space="preserve"> долл. США до 100</w:t>
      </w:r>
      <w:r w:rsidR="004437D3">
        <w:rPr>
          <w:lang w:val="en-US"/>
        </w:rPr>
        <w:t> </w:t>
      </w:r>
      <w:r w:rsidR="004437D3" w:rsidRPr="001913A4">
        <w:t>000</w:t>
      </w:r>
      <w:r>
        <w:t xml:space="preserve"> евро;</w:t>
      </w:r>
    </w:p>
    <w:p w:rsidR="007714AA" w:rsidRPr="00775F3B" w:rsidRDefault="007714AA" w:rsidP="007714AA">
      <w:pPr>
        <w:pStyle w:val="Bullet1G"/>
        <w:numPr>
          <w:ilvl w:val="0"/>
          <w:numId w:val="23"/>
        </w:numPr>
      </w:pPr>
      <w:r>
        <w:tab/>
        <w:t>предоставлении Административному комитету (</w:t>
      </w:r>
      <w:proofErr w:type="spellStart"/>
      <w:r>
        <w:t>АС.2</w:t>
      </w:r>
      <w:proofErr w:type="spellEnd"/>
      <w:r>
        <w:t xml:space="preserve">) </w:t>
      </w:r>
      <w:proofErr w:type="spellStart"/>
      <w:r>
        <w:t>МДП</w:t>
      </w:r>
      <w:proofErr w:type="spellEnd"/>
      <w:r>
        <w:t xml:space="preserve"> возможно</w:t>
      </w:r>
      <w:r w:rsidR="004437D3">
        <w:t>сти –</w:t>
      </w:r>
      <w:r w:rsidR="00137EF6">
        <w:br/>
      </w:r>
      <w:r>
        <w:t>при анализе ежегодных проверенных финансовых отчетов и аудиторского(их) заключения(й) уполномоченной международной организации</w:t>
      </w:r>
      <w:r w:rsidR="00D079FF" w:rsidRPr="00D079FF">
        <w:t xml:space="preserve"> –</w:t>
      </w:r>
      <w:r>
        <w:t xml:space="preserve"> запрашивать дополнительную информацию, разъяснения или документы у этой организации или ее независимого внешнего аудитора и, в конечном итоге, принимать решения относительно задействования независимого внешнего аудитора (статья 1-бис приложения 8; новые пункты 4, 5 и 6 и новая пояснительная записка 8</w:t>
      </w:r>
      <w:r w:rsidR="00B1575F">
        <w:t>.1-</w:t>
      </w:r>
      <w:proofErr w:type="spellStart"/>
      <w:r w:rsidR="00B1575F">
        <w:t>бис.</w:t>
      </w:r>
      <w:r>
        <w:t>6</w:t>
      </w:r>
      <w:proofErr w:type="spellEnd"/>
      <w:r>
        <w:t>);</w:t>
      </w:r>
    </w:p>
    <w:p w:rsidR="007714AA" w:rsidRPr="00775F3B" w:rsidRDefault="007714AA" w:rsidP="007714AA">
      <w:pPr>
        <w:pStyle w:val="Bullet1G"/>
        <w:numPr>
          <w:ilvl w:val="0"/>
          <w:numId w:val="23"/>
        </w:numPr>
      </w:pPr>
      <w:r>
        <w:tab/>
        <w:t xml:space="preserve">внесении изменений в минимальные условия и требования к международной организации, которые должны быть ею выполнены для получения разрешения (часть </w:t>
      </w:r>
      <w:proofErr w:type="spellStart"/>
      <w:r>
        <w:t>III</w:t>
      </w:r>
      <w:proofErr w:type="spellEnd"/>
      <w:r>
        <w:t xml:space="preserve"> приложения 9), на основании новых п</w:t>
      </w:r>
      <w:r w:rsidR="004437D3">
        <w:t>одпунктов o), p) и q) статьи 2,</w:t>
      </w:r>
      <w:r w:rsidR="004437D3">
        <w:br/>
      </w:r>
      <w:r>
        <w:t>в которых предусмотрено требование о ведении отдельной отчетности и счетов, которые имеют отношение к организации и функционированию международной системы гарантий, предоставлении доступа к вышеупомянутой отчетности и счетам для компетентных служб Организации Объединенных Наций или любого другого должным образом уполномоченного органа и привлечении независимого внешнего аудитора для проведения ежегодных аудиторских проверок отчетности и счетов.</w:t>
      </w:r>
    </w:p>
    <w:p w:rsidR="007714AA" w:rsidRPr="00775F3B" w:rsidRDefault="007714AA" w:rsidP="007714AA">
      <w:pPr>
        <w:pStyle w:val="SingleTxtG"/>
      </w:pPr>
      <w:r>
        <w:t>8.</w:t>
      </w:r>
      <w:r>
        <w:tab/>
        <w:t>3 ноября 2018 года истек срок, установленный для формулирования возражений по различным предложениям о поправках. Это означает, что 3 февраля 2019 года для всех Договаривающихся сторон вступят в силу следующие поправки:</w:t>
      </w:r>
    </w:p>
    <w:p w:rsidR="007714AA" w:rsidRPr="00775F3B" w:rsidRDefault="007714AA" w:rsidP="007714AA">
      <w:pPr>
        <w:pStyle w:val="Bullet1G"/>
        <w:numPr>
          <w:ilvl w:val="0"/>
          <w:numId w:val="23"/>
        </w:numPr>
      </w:pPr>
      <w:r>
        <w:tab/>
        <w:t>поправка к статье 1 q), предусматривающая изменение существующей формулировки на «таможенные органы или другие компетентные органы»;</w:t>
      </w:r>
    </w:p>
    <w:p w:rsidR="007714AA" w:rsidRPr="00775F3B" w:rsidRDefault="007714AA" w:rsidP="007714AA">
      <w:pPr>
        <w:pStyle w:val="Bullet1G"/>
        <w:numPr>
          <w:ilvl w:val="0"/>
          <w:numId w:val="23"/>
        </w:numPr>
      </w:pPr>
      <w:r>
        <w:t xml:space="preserve">поправка к статьям 3 b) и </w:t>
      </w:r>
      <w:r w:rsidR="00137EF6">
        <w:t>6, пункт 2</w:t>
      </w:r>
      <w:r>
        <w:t>, предусматривающая замену термина «утвержденные» на «разрешенные»;</w:t>
      </w:r>
    </w:p>
    <w:p w:rsidR="007714AA" w:rsidRPr="00775F3B" w:rsidRDefault="007714AA" w:rsidP="007714AA">
      <w:pPr>
        <w:pStyle w:val="Bullet1G"/>
        <w:numPr>
          <w:ilvl w:val="0"/>
          <w:numId w:val="23"/>
        </w:numPr>
      </w:pPr>
      <w:r>
        <w:t>поправка к пункту 3 статьи 11, предусматривающая сокращение минимального промежутка времени между уведомлением национального объединения таможней о незавершении операции МДП и требованием об уплате с трех месяцев до одного месяца;</w:t>
      </w:r>
    </w:p>
    <w:p w:rsidR="007714AA" w:rsidRPr="00775F3B" w:rsidRDefault="007714AA" w:rsidP="007714AA">
      <w:pPr>
        <w:pStyle w:val="Bullet1G"/>
        <w:numPr>
          <w:ilvl w:val="0"/>
          <w:numId w:val="23"/>
        </w:numPr>
      </w:pPr>
      <w:r>
        <w:t>поправка к пункту 1 статьи 38, предусматривающая добавление ссылки на неоднократные правонарушения и включение формулировки, из которой следует, что критерии определения серьезности нарушения таможенных законов или правил устанавливаются национальным законодательством.</w:t>
      </w:r>
    </w:p>
    <w:p w:rsidR="007714AA" w:rsidRPr="00775F3B" w:rsidRDefault="007714AA" w:rsidP="007714AA">
      <w:pPr>
        <w:pStyle w:val="Bullet1G"/>
        <w:numPr>
          <w:ilvl w:val="0"/>
          <w:numId w:val="0"/>
        </w:numPr>
        <w:ind w:left="1080"/>
      </w:pPr>
      <w:r>
        <w:t>9.</w:t>
      </w:r>
      <w:r>
        <w:tab/>
      </w:r>
      <w:proofErr w:type="gramStart"/>
      <w:r>
        <w:t>В</w:t>
      </w:r>
      <w:proofErr w:type="gramEnd"/>
      <w:r>
        <w:t xml:space="preserve"> то же время Казахстан уведомил Генерального секретаря о том, что он не согласен с предложением о внесении поправки в статью 2, уточнив, что термин «граница» в этой статье следует понимать и толковать в качестве «таможенной границы». По этой причине согласно пункту 4 статьи 59 Конвенции данная поправка считается непринятой и в связи с этим не имеет силы. Более подробная информация по этому вопросу, а также о различных уведомлениях депозитария имеется на веб-сайте МДП</w:t>
      </w:r>
      <w:r w:rsidRPr="00616C40">
        <w:rPr>
          <w:rStyle w:val="aa"/>
        </w:rPr>
        <w:footnoteReference w:id="1"/>
      </w:r>
      <w:r>
        <w:t>.</w:t>
      </w:r>
    </w:p>
    <w:p w:rsidR="007714AA" w:rsidRPr="00775F3B" w:rsidRDefault="007714AA" w:rsidP="007714AA">
      <w:pPr>
        <w:pStyle w:val="H1G"/>
      </w:pPr>
      <w:r>
        <w:rPr>
          <w:bCs/>
        </w:rPr>
        <w:tab/>
        <w:t>A.</w:t>
      </w:r>
      <w:r>
        <w:rPr>
          <w:bCs/>
        </w:rPr>
        <w:tab/>
        <w:t>Международный банк данных МДП и электронные инструменты секретариата МДП</w:t>
      </w:r>
    </w:p>
    <w:p w:rsidR="007714AA" w:rsidRPr="00775F3B" w:rsidRDefault="007714AA" w:rsidP="007714AA">
      <w:pPr>
        <w:pStyle w:val="SingleTxtG"/>
      </w:pPr>
      <w:r>
        <w:t>10.</w:t>
      </w:r>
      <w:r>
        <w:tab/>
        <w:t xml:space="preserve">В 2015 году секретариат приступил к реализации проекта создания нового международного банка данных МДП (МБДМДП), призванного объединить все электронные приложения, находящиеся в настоящее время в ведении секретариата МДП. В 2016 году начался первый этап этого проекта, предусматривающий замену нынешних прикладных программ (МБДМДПонлайн+, веб-службы </w:t>
      </w:r>
      <w:proofErr w:type="spellStart"/>
      <w:r>
        <w:t>МБДМДП</w:t>
      </w:r>
      <w:proofErr w:type="spellEnd"/>
      <w:r>
        <w:t xml:space="preserve"> и Реестр</w:t>
      </w:r>
      <w:r w:rsidR="00137EF6">
        <w:t>а</w:t>
      </w:r>
      <w:r>
        <w:t xml:space="preserve"> устройств наложения таможенных пломб и таможенных печатей ЕЭК ООН).</w:t>
      </w:r>
      <w:r>
        <w:br/>
        <w:t>В 2017 году начали действовать новый МБДМДП и новая веб-служба МБДМДП.</w:t>
      </w:r>
      <w:r>
        <w:br/>
      </w:r>
      <w:proofErr w:type="gramStart"/>
      <w:r>
        <w:t>В</w:t>
      </w:r>
      <w:proofErr w:type="gramEnd"/>
      <w:r>
        <w:t xml:space="preserve"> течение нескольких месяцев число пользователей нового МБДМДП по сравнению с предыдущим вариантом возросло втрое. В настоящее время в </w:t>
      </w:r>
      <w:proofErr w:type="spellStart"/>
      <w:r>
        <w:t>МБДМДП</w:t>
      </w:r>
      <w:proofErr w:type="spellEnd"/>
      <w:r>
        <w:t xml:space="preserve"> содержатся данные примерно о 34</w:t>
      </w:r>
      <w:r w:rsidR="00122F6C">
        <w:rPr>
          <w:lang w:val="en-US"/>
        </w:rPr>
        <w:t> </w:t>
      </w:r>
      <w:r w:rsidR="00122F6C" w:rsidRPr="00122F6C">
        <w:t>000</w:t>
      </w:r>
      <w:r>
        <w:t xml:space="preserve"> уполномоченных держателей книжек МДП. В мае</w:t>
      </w:r>
      <w:r>
        <w:br/>
        <w:t>2018 года был введен в действие новый модуль с хранилищем имеющихся в таможнях данных для использования сотрудниками таможенных служб. Вопрос о предоставлении открытого доступа к модулю таможен МБДМДП находится на рассмотрении ИСМДП.</w:t>
      </w:r>
    </w:p>
    <w:p w:rsidR="007714AA" w:rsidRPr="00775F3B" w:rsidRDefault="007714AA" w:rsidP="007714AA">
      <w:pPr>
        <w:pStyle w:val="SingleTxtG"/>
      </w:pPr>
      <w:r>
        <w:t>11.</w:t>
      </w:r>
      <w:r>
        <w:tab/>
        <w:t>В соответствии с просьбой ИСМДП о повышении осведомленности об использовании МБДМДП, ЕЭК в сотрудничестве с ИСМДП провела семинар по МБДМДП (Женева, 14 июня 2018 года). На этом семинаре присутствовали представители компетентных органов и частного сектора. Участники совещания подчеркнули необходимость проведения дальнейших мероприятий по повышению осведомленности и предложили предусмотреть в рамках МБДМДП новые функции.</w:t>
      </w:r>
    </w:p>
    <w:p w:rsidR="007714AA" w:rsidRPr="00775F3B" w:rsidRDefault="007714AA" w:rsidP="007714AA">
      <w:pPr>
        <w:pStyle w:val="SingleTxtG"/>
      </w:pPr>
      <w:r>
        <w:t>12.</w:t>
      </w:r>
      <w:r>
        <w:tab/>
        <w:t>ИСМДП подготовил ряд предложений о внесении поправок в Конвенцию МДП, предусматривающих обязательную передачу данных через МБДМДП. Эти предложения нацелены на устранение бумажной документации при уведомлении ИСМДП с учетом требования об обязательной передаче данных через МБДМДП. Административный комитет МДП приступил к рассмотрению этих предложений на своей шестьдесят восьмой сессии в октябре 2018 года.</w:t>
      </w:r>
    </w:p>
    <w:p w:rsidR="007714AA" w:rsidRPr="00775F3B" w:rsidRDefault="007714AA" w:rsidP="007714AA">
      <w:pPr>
        <w:pStyle w:val="H1G"/>
      </w:pPr>
      <w:r>
        <w:rPr>
          <w:bCs/>
        </w:rPr>
        <w:tab/>
        <w:t>B.</w:t>
      </w:r>
      <w:r>
        <w:rPr>
          <w:bCs/>
        </w:rPr>
        <w:tab/>
        <w:t>Национальные и региональные рабочие совещания</w:t>
      </w:r>
      <w:r>
        <w:rPr>
          <w:bCs/>
        </w:rPr>
        <w:br/>
        <w:t>и семинары МДП</w:t>
      </w:r>
    </w:p>
    <w:p w:rsidR="007714AA" w:rsidRPr="00775F3B" w:rsidRDefault="007714AA" w:rsidP="007714AA">
      <w:pPr>
        <w:pStyle w:val="SingleTxtG"/>
      </w:pPr>
      <w:r>
        <w:t>13.</w:t>
      </w:r>
      <w:r>
        <w:tab/>
        <w:t>За время, прошедшее после предыдущей сессии Комитета, состоявшейся в феврале 2018 года, секретариат МДП принял участие в следующих мероприятиях:</w:t>
      </w:r>
      <w:r>
        <w:br/>
        <w:t>a) рабочем совещании eTIR-НКТС (Брюссель, 20 февраля 2018 года); b) четвертой Глобальной конференции уполномоченных экономических операторов Всемирной таможенной о</w:t>
      </w:r>
      <w:r w:rsidR="00122F6C">
        <w:t>рганизации (ВТамО) (Кампала, 14–</w:t>
      </w:r>
      <w:r>
        <w:t>16 марта 2018 года); c) совещании Координационной группы по электронным таможенным процеду</w:t>
      </w:r>
      <w:r w:rsidR="00137EF6">
        <w:t>рам (КГЭП) (Европейской комиссии</w:t>
      </w:r>
      <w:r>
        <w:t>) (Брюссель, 15 марта 2018 года); d) инаугурационном</w:t>
      </w:r>
      <w:r w:rsidRPr="007714AA">
        <w:t xml:space="preserve"> рабочем совещании, состоявшемся</w:t>
      </w:r>
      <w:r>
        <w:t xml:space="preserve"> по случаю присоединения к Конвенции МДП Катара (Доха, 10 апреля 2018 года); e) рабочей поездке делегации Украины в контексте eTIR в Турцию (Стамбул и Измир, 9 и 10 мая 2018 года); f) </w:t>
      </w:r>
      <w:r w:rsidRPr="00122F6C">
        <w:t>региональном рабочем совещании</w:t>
      </w:r>
      <w:r>
        <w:t xml:space="preserve"> ВТамО по транзитным перевозкам (Асунсьон, 21–23 мая 2018 года);</w:t>
      </w:r>
      <w:r>
        <w:br/>
        <w:t>g) профессиональной подготовке пограничников и таможенников, несущих службу в международных железнодорожных и автомобильных контрольно-пропускных пунктах, проведенной Организацией по безопасности и сотрудничеству в Европе (ОБСЕ) (Ашхабад, 28 мая – 2 июня 2018 года); h) конференции и выставке</w:t>
      </w:r>
      <w:r w:rsidR="00137EF6">
        <w:t xml:space="preserve"> ВТамО по ИТ 2018 года (Лима, 6–</w:t>
      </w:r>
      <w:r>
        <w:t xml:space="preserve">8 июня 2018 года); i) </w:t>
      </w:r>
      <w:r w:rsidRPr="00122F6C">
        <w:t>региональном рабочем совещани</w:t>
      </w:r>
      <w:r>
        <w:rPr>
          <w:color w:val="333333"/>
          <w:sz w:val="21"/>
          <w:szCs w:val="21"/>
          <w:shd w:val="clear" w:color="auto" w:fill="FFFFFF"/>
        </w:rPr>
        <w:t>и</w:t>
      </w:r>
      <w:r>
        <w:t xml:space="preserve"> ВТамО по упрощению и ускорению таможенных процедур (Баку, 20 и 21 июня</w:t>
      </w:r>
      <w:r>
        <w:br/>
        <w:t>2018 года); j) рабочем совещании еTIR-НКТС (Брюссель, 18 июля 2018 года);</w:t>
      </w:r>
      <w:r>
        <w:br/>
        <w:t>k) мероприятии на тему: «Развитие международной торговли и транспорта на основе перевода процедуры МДП в цифровой формат» (Баку, 4–6 сентября 2018 года); совещании Координационной группы по электронным таможенным процедурам (КГЭП) (Европейской комиссии) (Брюссель, 23 ноября 2018 года).</w:t>
      </w:r>
      <w:bookmarkStart w:id="0" w:name="_Hlk527658619"/>
      <w:bookmarkEnd w:id="0"/>
    </w:p>
    <w:p w:rsidR="007714AA" w:rsidRPr="00775F3B" w:rsidRDefault="007714AA" w:rsidP="007714AA">
      <w:pPr>
        <w:pStyle w:val="HChG"/>
      </w:pPr>
      <w:r>
        <w:rPr>
          <w:bCs/>
        </w:rPr>
        <w:tab/>
        <w:t>IV.</w:t>
      </w:r>
      <w:r>
        <w:tab/>
      </w:r>
      <w:r>
        <w:tab/>
      </w:r>
      <w:r>
        <w:rPr>
          <w:bCs/>
        </w:rPr>
        <w:t>Достижения в области осуществления Конвенции МДП</w:t>
      </w:r>
    </w:p>
    <w:p w:rsidR="007714AA" w:rsidRPr="00775F3B" w:rsidRDefault="007714AA" w:rsidP="007714AA">
      <w:pPr>
        <w:spacing w:after="120"/>
        <w:ind w:left="1134" w:right="1134"/>
        <w:jc w:val="both"/>
      </w:pPr>
      <w:r>
        <w:t>14.</w:t>
      </w:r>
      <w:r>
        <w:tab/>
        <w:t>На своих сессиях, состоявшихся в феврале 2018 года, руководящие органы Конвенции МДП приняли к сведению, что 8 января 2018 года таможенные органы Румынии уполномочили Национальный союз автомобильных перевозчиков Румынии (ЮНТРР) действовать в качестве гарантийного объединения МДП в Румынии в соответствии с положениями пункта 2 статьи 6 и части I приложения 9. Это позволит обеспечить бесперебойное и эффективное управление международной гарантийной системой МДП в Румынии. Это решение было принято в связи с тем, что 14 ноября 2017 года МСАТ проинформировал секретариат ЕЭК о том, что на совещании Президиума МСАТ, состоявшемся 8 ноября 2017, года Президиум решил исключить Румынскую ассоциацию международных автомобильных перевозчиков (Associatia Româna Pentru Transporturi Rutiere Internationale) (</w:t>
      </w:r>
      <w:r w:rsidRPr="00122F6C">
        <w:t>АРТРИ</w:t>
      </w:r>
      <w:r>
        <w:t xml:space="preserve">) из числа членов МСАТ. </w:t>
      </w:r>
      <w:r w:rsidRPr="00122F6C">
        <w:t>АРТРИ</w:t>
      </w:r>
      <w:r>
        <w:t xml:space="preserve"> подала апелляцию в Генеральную ассамблею МСАТ, которая должна была принять решение по этой апелляции на своем совещании 4 мая 2018 года. В июне</w:t>
      </w:r>
      <w:r>
        <w:br/>
        <w:t>2018 года МСАТ сообщил Рабочей группе, что 4 мая 2018 года Генеральная ассамблея МСАТ постановила поддержать решение Президиума МСАТ от 8 ноября 2017 года об исключении Румынской ассоциации международных автомобильных перевозчиков (</w:t>
      </w:r>
      <w:r w:rsidRPr="004D58C7">
        <w:rPr>
          <w:color w:val="333333"/>
          <w:sz w:val="21"/>
          <w:szCs w:val="21"/>
          <w:shd w:val="clear" w:color="auto" w:fill="FFFFFF"/>
        </w:rPr>
        <w:t>АРТРИ</w:t>
      </w:r>
      <w:r>
        <w:t xml:space="preserve">) из числа членов МСАТ. Следовательно, </w:t>
      </w:r>
      <w:proofErr w:type="spellStart"/>
      <w:r w:rsidRPr="00122F6C">
        <w:t>АРТРИ</w:t>
      </w:r>
      <w:proofErr w:type="spellEnd"/>
      <w:r>
        <w:t xml:space="preserve"> больше не является членом </w:t>
      </w:r>
      <w:proofErr w:type="spellStart"/>
      <w:r>
        <w:t>МСАТ</w:t>
      </w:r>
      <w:proofErr w:type="spellEnd"/>
      <w:r>
        <w:t xml:space="preserve"> и не имеет договорных отношений в силу договора об обязательствах, действие которых было </w:t>
      </w:r>
      <w:r w:rsidR="00D079FF">
        <w:t>прекращено 31 января 2018 года.</w:t>
      </w:r>
    </w:p>
    <w:p w:rsidR="007714AA" w:rsidRPr="00775F3B" w:rsidRDefault="007714AA" w:rsidP="007714AA">
      <w:pPr>
        <w:pStyle w:val="HChG"/>
      </w:pPr>
      <w:r>
        <w:rPr>
          <w:bCs/>
        </w:rPr>
        <w:tab/>
        <w:t>V.</w:t>
      </w:r>
      <w:r>
        <w:rPr>
          <w:bCs/>
        </w:rPr>
        <w:tab/>
        <w:t>eTIR</w:t>
      </w:r>
    </w:p>
    <w:p w:rsidR="007714AA" w:rsidRPr="00775F3B" w:rsidRDefault="007714AA" w:rsidP="007714AA">
      <w:pPr>
        <w:pStyle w:val="H1G"/>
      </w:pPr>
      <w:r>
        <w:rPr>
          <w:bCs/>
        </w:rPr>
        <w:tab/>
        <w:t>A.</w:t>
      </w:r>
      <w:r>
        <w:rPr>
          <w:bCs/>
        </w:rPr>
        <w:tab/>
        <w:t>Экспериментальные проекты eTIR и новые шаги на пути к полной компьютеризации процедуры МДП</w:t>
      </w:r>
    </w:p>
    <w:p w:rsidR="007714AA" w:rsidRPr="00775F3B" w:rsidRDefault="007714AA" w:rsidP="007714AA">
      <w:pPr>
        <w:pStyle w:val="SingleTxtG"/>
      </w:pPr>
      <w:r>
        <w:t>15.</w:t>
      </w:r>
      <w:r>
        <w:tab/>
        <w:t>В 2018 году ЕЭК и МСАТ продолжили тесное взаимодействие с таможенными администрациями с целью начала реализации нового экспериментального проекта eTIR в рамках пятилетнего м</w:t>
      </w:r>
      <w:r w:rsidR="00137EF6">
        <w:t>еморандума о взаимопонимании (</w:t>
      </w:r>
      <w:proofErr w:type="spellStart"/>
      <w:r w:rsidR="00137EF6">
        <w:t>Мо</w:t>
      </w:r>
      <w:r>
        <w:t>В</w:t>
      </w:r>
      <w:proofErr w:type="spellEnd"/>
      <w:r>
        <w:t>) в области компьютеризации процедуры МДП и сопровождающего его Соглашения</w:t>
      </w:r>
      <w:r>
        <w:br/>
        <w:t xml:space="preserve">о взносах (CВ), направленного на обеспечение полной компьютеризации процедуры МДП, которые были подписаны 6 октября 2017 года. Таможенные администрации Азербайджана, Грузии, Казахстана и Украины подтвердили готовность принять участие в интермодальном проекте eTIR в рамках перевозок между своими странами и согласились со стандартными условиями для проектов компьютеризации, которые </w:t>
      </w:r>
      <w:r w:rsidR="00137EF6">
        <w:t xml:space="preserve">будут осуществляться в рамках </w:t>
      </w:r>
      <w:proofErr w:type="spellStart"/>
      <w:r w:rsidR="00137EF6">
        <w:t>Мо</w:t>
      </w:r>
      <w:r>
        <w:t>В</w:t>
      </w:r>
      <w:proofErr w:type="spellEnd"/>
      <w:r>
        <w:t xml:space="preserve">. 2 и 3 июля 2018 года представители таможенных администраций Азербайджана, Индии и Ирана (Исламской Республики) провели встречу в Тегеране, выразив готовность работать над проектом eTIR в международном транспортном коридоре «Север–Юг» (МТКСЮ), причем Азербайджан и Иран (Исламская Республика) заявили о заинтересованности в том, чтобы приступить к разработке этих проектов в рамках своих национальных таможенных систем в сфере ИКТ, а также к перевозкам eTIR между двумя странами. Продолжилось осуществление перевозок </w:t>
      </w:r>
      <w:proofErr w:type="spellStart"/>
      <w:r>
        <w:t>eTIR</w:t>
      </w:r>
      <w:proofErr w:type="spellEnd"/>
      <w:r>
        <w:t xml:space="preserve"> между Ираном (И</w:t>
      </w:r>
      <w:r w:rsidR="00122F6C">
        <w:t>сламская Республика) и Турцией,</w:t>
      </w:r>
      <w:r w:rsidR="00122F6C">
        <w:br/>
      </w:r>
      <w:r>
        <w:t>а также были предприняты усилия по расширению сферы охвата проекта для включения в него дополнительных транспортных компаний и таможен. Поскольку для принятия приложения 11 может потребоваться некоторое время, таможенная администрация Турции направила в адрес таможенной администрации Ирана предложение о заключении двустороннего соглашения на основе положений проекта приложения 11, что позволит расширить сферу охвата проекта. Экспериментальный проект eTIR с участием Грузии и Турции был осуществлен успешно, и предпринимаются усилия для включения этого проекта в контекст общей деятельности, направленной на полную компьютеризацию процедуры МДП. Странам предлагается выразить заинтересованность или принять участие в экспериментальных проектах eTIR, заложив тем самым основу для плавного перехода к полному осуществлению eTIR.</w:t>
      </w:r>
    </w:p>
    <w:p w:rsidR="007714AA" w:rsidRPr="00775F3B" w:rsidRDefault="007714AA" w:rsidP="007714AA">
      <w:pPr>
        <w:pStyle w:val="H1G"/>
      </w:pPr>
      <w:r>
        <w:rPr>
          <w:bCs/>
        </w:rPr>
        <w:tab/>
        <w:t>B.</w:t>
      </w:r>
      <w:r>
        <w:tab/>
      </w:r>
      <w:r>
        <w:tab/>
      </w:r>
      <w:r>
        <w:rPr>
          <w:bCs/>
        </w:rPr>
        <w:t>Достижения в работе неофициальной специальной группы экспертов по концептуальным и техническим аспектам компьютеризации процедуры МДП</w:t>
      </w:r>
    </w:p>
    <w:p w:rsidR="007714AA" w:rsidRPr="00775F3B" w:rsidRDefault="007714AA" w:rsidP="007714AA">
      <w:pPr>
        <w:pStyle w:val="SingleTxtG"/>
      </w:pPr>
      <w:r>
        <w:t>16.</w:t>
      </w:r>
      <w:r>
        <w:tab/>
        <w:t>Двадцать восьмая и двадцать девятая сессии неофициальной специальной группы экспертов по концептуальным и техническим аспектам компьютеризации процедуры МДП (WP.30/GE.1) состоялись 28 и 29 июня 2018 года (Женева)</w:t>
      </w:r>
      <w:r>
        <w:br/>
        <w:t>и 14 и 15 ноября 2018 года (Роттердам, Нидерланды). На этих сессиях WP.30/GE.1 рассмотрела или приняла существенные поправки к концептуальным, функциональным и техническим спецификациям eTIR на основе результатов реализации экспериментальных проектов eTIR и работы WP.30 и WP.30/GE.2 над новым приложением 11 к Конвенции МДП.</w:t>
      </w:r>
    </w:p>
    <w:p w:rsidR="007714AA" w:rsidRPr="00775F3B" w:rsidRDefault="007714AA" w:rsidP="007714AA">
      <w:pPr>
        <w:pStyle w:val="SingleTxtG"/>
      </w:pPr>
      <w:r>
        <w:t>17.</w:t>
      </w:r>
      <w:r>
        <w:tab/>
        <w:t xml:space="preserve">На своей 150-й сессии WP.30 поручила секретариату обратиться к Комитету с просьбой о продлении мандата WP.30/GE.1 на 2019 год (см. ECE/TRANS/WP.30/300, пункт 16). </w:t>
      </w:r>
    </w:p>
    <w:p w:rsidR="007714AA" w:rsidRPr="00775F3B" w:rsidRDefault="007714AA" w:rsidP="007714AA">
      <w:pPr>
        <w:pStyle w:val="H1G"/>
      </w:pPr>
      <w:r>
        <w:rPr>
          <w:bCs/>
        </w:rPr>
        <w:tab/>
        <w:t>C.</w:t>
      </w:r>
      <w:r>
        <w:tab/>
      </w:r>
      <w:r>
        <w:tab/>
      </w:r>
      <w:r>
        <w:rPr>
          <w:bCs/>
        </w:rPr>
        <w:t>Приложение 11 к Конвенции МДП</w:t>
      </w:r>
    </w:p>
    <w:p w:rsidR="007714AA" w:rsidRPr="00775F3B" w:rsidRDefault="007714AA" w:rsidP="007714AA">
      <w:pPr>
        <w:pStyle w:val="SingleTxtG"/>
      </w:pPr>
      <w:r>
        <w:t>18.</w:t>
      </w:r>
      <w:r>
        <w:tab/>
        <w:t>На своих совещаниях, состоявшихся в 2018 году, Рабочая группа обстоятельно обсудила предложения по новому приложению 11. На своей сессии в феврале</w:t>
      </w:r>
      <w:r>
        <w:br/>
        <w:t>2018 года Рабочая группа приняла к сведению, что Договорная секция Управления по правовым вопросам (ДС УПВ) сообщила секретариату, что включить положение о возможности отказа от применения приложения 11 посредством оговорки, как это предложено в новом пункте 1-бис статьи 58, невозможно по той причине, что Венская конвенция о праве международных договоров (1969 года) допускает включение оговорки к правовым документам только в момент присоединения, а не на более позднем этапе. С учетом этого секретариат сообщил Рабочей группе о том, что он представит новое предложение, согласно которому приложение 11 вступит в силу к определенному сроку для всех Договаривающихся сторон, за исключением тех из них, которые уведомят Депозитария в письменной форме до истечения того же или другого срока о том, что они не принимают данное приложение. В этой связи делегация Европейского союза предложила пересмотреть механизм принятия решений, предусмотренный в статье 4 проекта приложения 11, возможно, в сочетании с введением переходного периода для Договаривающихся сторон, которые a) примут приложение 11, но b) не будут применять eTIR на первом этапе. По ее мнению, нет никаких оснований для исключения этой группы стран из процесса принятия решений, как это предлагается в указанной выше статье 4. В ответ на это секретариат предложил рассмотреть возможность включения положения, предусматривающего проведение четкого различия между тем моментом, когда Договаривающаяся сторона принимает приложение 11, и тем моментом, когда она начинает его применять.</w:t>
      </w:r>
    </w:p>
    <w:p w:rsidR="007714AA" w:rsidRPr="00775F3B" w:rsidRDefault="007714AA" w:rsidP="007714AA">
      <w:pPr>
        <w:pStyle w:val="SingleTxtG"/>
      </w:pPr>
      <w:r>
        <w:t>19.</w:t>
      </w:r>
      <w:r>
        <w:tab/>
        <w:t xml:space="preserve">Делегация Российской Федерации поставила под сомнение методы аутентификации, изложенные в приложении 11, поскольку они не соответствуют требованиям ее национального законодательства. Делегация Италии подчеркнула, что основной вопрос, по которому Рабочей группе было предложено высказать свое мнение, сводится к покрытию оперативных расходов на эксплуатацию международной системы </w:t>
      </w:r>
      <w:proofErr w:type="spellStart"/>
      <w:r>
        <w:t>eTIR</w:t>
      </w:r>
      <w:proofErr w:type="spellEnd"/>
      <w:r w:rsidR="00137EF6">
        <w:t>, и в частности</w:t>
      </w:r>
      <w:r>
        <w:t xml:space="preserve"> к целесообразности их покрытия за счет суммы, взимаемой за каждую перевозку МДП или, скорее, перевозку eTIR. Делегация Турции, сославшись на долгосрочную приверженность всех Договаривающихся сторон Конвенции МДП переходу к полной компьютеризации процедуры МДП, высказала мнение о том, что всем Договаривающимся сторонам следует нести расходы по эксплуатации международной системы eTIR и что поэтому эта сумма должна взиматься по всем перевозкам МДП и eTIR. Делегации Беларуси и Российской Федерации задались вопросом о том, не приведет ли выдача электронных гарантий к изменению роли международной организации или национальных объединений. Секретариат напомнил, что система eTIR разрабатывалась с учетом конкретных указаний Договаривающихся сторон о том, чтобы не затрагивать принципы и концепцию Конвенции МДП. Делегация Европейского союза заявила, что вначале требуется внести бóльшую ясность в вопрос о механизме финансирования и что только после этого Европейский союз и государства, являющиеся его членами, смогут принять приложение 11 (см. ECE/TRANS/WP.30/296, пункты 19–27).</w:t>
      </w:r>
    </w:p>
    <w:p w:rsidR="007714AA" w:rsidRPr="00775F3B" w:rsidRDefault="007714AA" w:rsidP="007714AA">
      <w:pPr>
        <w:pStyle w:val="SingleTxtG"/>
      </w:pPr>
      <w:r>
        <w:t>20.</w:t>
      </w:r>
      <w:r>
        <w:tab/>
        <w:t xml:space="preserve">На своей сессии, состоявшейся в июне 2018 года, Рабочая группа продолжила обсуждение нового приложения 11 на основе документа ECE/TRANS/WP.30/2018/16. В частности, Рабочая группа приняла к сведению </w:t>
      </w:r>
      <w:r w:rsidR="00122F6C">
        <w:t>недавно сформулированную статью </w:t>
      </w:r>
      <w:r>
        <w:t>60-бис, в которой по предложению ДС УПВ теперь предусматривается, что приложение 11 вступит в силу для всех Договаривающихся сторон, за исключением тех из них, которые в письменной форме уведомят Депозитария о непринятии этого приложения. Кроме того, Рабочая группа приняла к сведению, что в соответствии с предложением делегации Европейского союза в текст статьи 3 приложения 11 были внесены поправки, с тем чтобы проводить различие между Договаривающимися сторонами, принявшими приложение 11, и Договаривающимися сторонами, подключающими свои национальные таможенные системы к международной системе eTIR. Кроме того, секретариат представил соответствующие ответы на ряд вопросов, затронутых делегацией Российской Федерации (см. ECE/TRANS/WP.30/298,</w:t>
      </w:r>
      <w:r>
        <w:br/>
        <w:t>пункты 16–21).</w:t>
      </w:r>
    </w:p>
    <w:p w:rsidR="007714AA" w:rsidRPr="00775F3B" w:rsidRDefault="007714AA" w:rsidP="007714AA">
      <w:pPr>
        <w:pStyle w:val="SingleTxtG"/>
      </w:pPr>
      <w:r>
        <w:t>21.</w:t>
      </w:r>
      <w:r>
        <w:tab/>
        <w:t>На своей сессии, состоявшейся в октябре 2018 года, Рабочая группа рассмотрела предложения по поправкам к основному тексту Конвенции, а также положения проекта приложения 11 по отдельности, с тем чтобы четко закрепить позиции делегаций. В итоге секретариату было поручено подготовить новый документ для рассмотрения Рабочей группой на ее сессии в феврале 2019 года. Рабочая группа решила, что этот новый документ можно было бы также в предварительном порядке представить АС.2 при том понимании, что если Рабочей группе удастся завершить дискуссию в ходе ее 151-й сессии, то этот документ мог бы быть немедленно передан AC.2 для рассмотрения на его шестьдесят девятой сессии (см. ECE/TRANS/WP.30/300, пункты 20 и 21). Кроме того, секретариат представил соответствующие ответы на ряд новых вопросов, затронутых делегацией Российской Федерации (см. ECE/TRANS/</w:t>
      </w:r>
      <w:r w:rsidRPr="007714AA">
        <w:t xml:space="preserve"> </w:t>
      </w:r>
      <w:r>
        <w:t>WP.30/300, пункт 22).</w:t>
      </w:r>
    </w:p>
    <w:p w:rsidR="007714AA" w:rsidRPr="00775F3B" w:rsidRDefault="007714AA" w:rsidP="007714AA">
      <w:pPr>
        <w:pStyle w:val="HChG"/>
        <w:pageBreakBefore/>
      </w:pPr>
      <w:r>
        <w:rPr>
          <w:bCs/>
        </w:rPr>
        <w:tab/>
        <w:t>VI.</w:t>
      </w:r>
      <w:r>
        <w:tab/>
      </w:r>
      <w:r>
        <w:tab/>
      </w:r>
      <w:r>
        <w:rPr>
          <w:bCs/>
        </w:rPr>
        <w:t>Международная конвенция об облегчении условий железнодорожной перевозки пассажиров и багажа через границы от 10 января 1952 года</w:t>
      </w:r>
    </w:p>
    <w:p w:rsidR="007714AA" w:rsidRPr="00775F3B" w:rsidRDefault="007714AA" w:rsidP="007714AA">
      <w:pPr>
        <w:pStyle w:val="SingleTxtG"/>
      </w:pPr>
      <w:r>
        <w:t>22.</w:t>
      </w:r>
      <w:r>
        <w:tab/>
        <w:t>В 2018 году Рабочая группа продолжила обсуждение проекта текста новой конвенции об облегчении условий пересечения государственных границ при международной железнодорожной перевозке пас</w:t>
      </w:r>
      <w:r w:rsidR="00122F6C">
        <w:t xml:space="preserve">сажиров, багажа и </w:t>
      </w:r>
      <w:proofErr w:type="spellStart"/>
      <w:r w:rsidR="00122F6C">
        <w:t>товаробагажа</w:t>
      </w:r>
      <w:proofErr w:type="spellEnd"/>
      <w:r w:rsidR="00122F6C">
        <w:t>.</w:t>
      </w:r>
      <w:r w:rsidR="00122F6C">
        <w:br/>
      </w:r>
      <w:r>
        <w:t xml:space="preserve">На сессии Рабочей группы, состоявшейся в октябре 2018 года, делегация Европейского союза заявила, что она серьезно отнеслась к неоднократным просьбам о достижении договоренности по тексту и может принять решение на нынешнем совещании. Вместе с тем она не согласится с текстом, если в него не будет включено положение об участии региональных организаций экономической интеграции (РОЭИ) в качестве договаривающихся сторон новой конвенции. Делегация Российской Федерации могла бы согласиться с этим требованием при условии, что будет применена формулировка, аналогичная тексту статьи 52 Конвенции МДП. Далее делегация Российской Федерации сообщила Рабочей группе, что могла бы принять различные предложения Турции о внесении поправок в текст статьи 1 m), статьи 4 и пункт 1 статьи 25. Вместе с тем, по мнению делегации Российской Федерации, внесение предложенной Турцией поправки в статью 27 значительно усложнит правовую структуру и рамочные функции новой Конвенции. В качестве компромисса делегация Российской Федерации предложила внести в пункт 1 статьи 27 изменения, предусматривающие для принятия поправок принцип консенсуса, а не большинства в две трети голосов. Делегации Армении и Монголии заявили о полной поддержке проекта конвенции. Делегация Ирана (Исламской Республики), поддержав проект конвенции, призвала к всестороннему использованию более гибкого подхода, позволяющего обеспечить более широкое партнерство и сотрудничество для успешного осуществления конвенции. В заключение Рабочая группа поручила секретариату подготовить обновленный вариант проекта для обсуждения на ее предстоящей сессии. С учетом достигнутого прогресса и в соответствии с просьбой Комитета завершить рассмотрение в течение 2018 года текст, изложенный в документе </w:t>
      </w:r>
      <w:proofErr w:type="spellStart"/>
      <w:r>
        <w:t>ECE</w:t>
      </w:r>
      <w:proofErr w:type="spellEnd"/>
      <w:r>
        <w:t>/</w:t>
      </w:r>
      <w:r w:rsidR="00122F6C">
        <w:t xml:space="preserve"> </w:t>
      </w:r>
      <w:proofErr w:type="spellStart"/>
      <w:r>
        <w:t>TRANS</w:t>
      </w:r>
      <w:proofErr w:type="spellEnd"/>
      <w:r>
        <w:t>/2019/18, представлен также на утв</w:t>
      </w:r>
      <w:r w:rsidR="00122F6C">
        <w:t>ерждение Комитета на его сессии</w:t>
      </w:r>
      <w:r w:rsidR="00122F6C">
        <w:br/>
      </w:r>
      <w:r>
        <w:t>в 2019 году (см. также ECE/TRANS/WP.30/300, пункты 35–37).</w:t>
      </w:r>
    </w:p>
    <w:p w:rsidR="007714AA" w:rsidRPr="00775F3B" w:rsidRDefault="007714AA" w:rsidP="007714AA">
      <w:pPr>
        <w:pStyle w:val="HChG"/>
      </w:pPr>
      <w:r>
        <w:rPr>
          <w:bCs/>
        </w:rPr>
        <w:tab/>
        <w:t>VII.</w:t>
      </w:r>
      <w:r>
        <w:tab/>
      </w:r>
      <w:r>
        <w:tab/>
      </w:r>
      <w:r>
        <w:rPr>
          <w:bCs/>
        </w:rPr>
        <w:t>Таможенные конвенции о временном ввозе частных дорожных перевозочных средств (1954 года)</w:t>
      </w:r>
      <w:r>
        <w:rPr>
          <w:bCs/>
        </w:rPr>
        <w:br/>
        <w:t>и коммерческих дорожных перевозочных</w:t>
      </w:r>
      <w:r>
        <w:rPr>
          <w:bCs/>
        </w:rPr>
        <w:br/>
        <w:t>средств (1956 года)</w:t>
      </w:r>
    </w:p>
    <w:p w:rsidR="007714AA" w:rsidRPr="00775F3B" w:rsidRDefault="007714AA" w:rsidP="007714AA">
      <w:pPr>
        <w:pStyle w:val="SingleTxtG"/>
      </w:pPr>
      <w:r>
        <w:t>23.</w:t>
      </w:r>
      <w:r>
        <w:tab/>
        <w:t>Комитет, возможно, пожелает отметить, что в 2018 году не произошло никаких изменений в статусе таможенных конвенций о временном ввозе частных дорожных перевозочных средств (1954 года) и коммерческих дорожных перевозочных средств (1956 года) и что в настоящее время учас</w:t>
      </w:r>
      <w:r w:rsidR="00122F6C">
        <w:t>тниками этих конвенций являются</w:t>
      </w:r>
      <w:r w:rsidR="00122F6C">
        <w:br/>
      </w:r>
      <w:r>
        <w:t>80</w:t>
      </w:r>
      <w:r w:rsidR="00122F6C">
        <w:t xml:space="preserve"> </w:t>
      </w:r>
      <w:r>
        <w:t>и 26 Договаривающихся сторон соответственно.</w:t>
      </w:r>
    </w:p>
    <w:p w:rsidR="007714AA" w:rsidRPr="00775F3B" w:rsidRDefault="007714AA" w:rsidP="007714AA">
      <w:pPr>
        <w:pStyle w:val="SingleTxtG"/>
      </w:pPr>
      <w:r>
        <w:t>24.</w:t>
      </w:r>
      <w:r>
        <w:tab/>
        <w:t>В 2018 году Рабочая группа продолжила решение текущих вопросов применения Конвенции 1954 года в Египте и Иордании, в частности по причине того, что таможенные органы, как представляется, не соблюдают сроки и процедуры, установленные в Конвенции. Ряд попыток связаться по дипломатическим каналам с администрациями Египта и Иордании оста</w:t>
      </w:r>
      <w:r w:rsidR="00122F6C">
        <w:t>вались безрезультатными до июня</w:t>
      </w:r>
      <w:r w:rsidR="00122F6C">
        <w:br/>
      </w:r>
      <w:r>
        <w:t>2018 года, когда таможенные органы Египта дали оценку создавшейся ситуации в письме на арабском языке. На своей сессии, состоявшейся в октябре 2018 года, Рабочая группа вернулась к рассмотрению этого вопроса на основе документа ECE/TRANS/</w:t>
      </w:r>
      <w:r w:rsidRPr="007714AA">
        <w:t xml:space="preserve"> </w:t>
      </w:r>
      <w:r>
        <w:t xml:space="preserve">WP.30/2018/27, содержащего официальный перевод ответа от таможенной администрации Египта. В этом письме таможенные органы Египта фактически отклонили все жалобы и разъяснили, что все предпринимаемые действия соответствуют Конвенции или предусмотрены ею, а также национальным законодательством. Фактически таможенные органы Египта заявили, что продолжающееся бездействие Автомобильно-туристического клуба Египта серьезным образом ставит под угрозу усилия таможенных органов по сбору причитающихся платежей, в результате чего таможенные органы начали судебное разбирательство в отношении этого объединения на общую сумму 114 574 460 египетских фунтов (около 5,5 млн евро). Рабочая группа приняла эту информацию к сведению и решила дождаться указаний Международной автомобильной федерации (ФИА) относительно того, каким образом продолжать работу по этому вопросу (см. </w:t>
      </w:r>
      <w:proofErr w:type="spellStart"/>
      <w:r>
        <w:t>ECE</w:t>
      </w:r>
      <w:proofErr w:type="spellEnd"/>
      <w:r>
        <w:t>/</w:t>
      </w:r>
      <w:proofErr w:type="spellStart"/>
      <w:r>
        <w:t>TRANS</w:t>
      </w:r>
      <w:proofErr w:type="spellEnd"/>
      <w:r>
        <w:t>/</w:t>
      </w:r>
      <w:r w:rsidRPr="004437D3">
        <w:t xml:space="preserve"> </w:t>
      </w:r>
      <w:proofErr w:type="spellStart"/>
      <w:r>
        <w:t>WP.30</w:t>
      </w:r>
      <w:proofErr w:type="spellEnd"/>
      <w:r>
        <w:t>/300, пункт 39).</w:t>
      </w:r>
    </w:p>
    <w:p w:rsidR="007714AA" w:rsidRPr="00775F3B" w:rsidRDefault="007714AA" w:rsidP="007714AA">
      <w:pPr>
        <w:pStyle w:val="HChG"/>
      </w:pPr>
      <w:r>
        <w:tab/>
        <w:t>VIII.</w:t>
      </w:r>
      <w:r>
        <w:tab/>
      </w:r>
      <w:r>
        <w:tab/>
        <w:t>Рассмотрение Комитетом</w:t>
      </w:r>
    </w:p>
    <w:p w:rsidR="00E12C5F" w:rsidRDefault="007714AA" w:rsidP="007714AA">
      <w:pPr>
        <w:pStyle w:val="SingleTxtG"/>
      </w:pPr>
      <w:r>
        <w:t>25.</w:t>
      </w:r>
      <w:r>
        <w:tab/>
        <w:t xml:space="preserve">Комитет, возможно, пожелает принять к сведению и поддержать вышеуказанные мероприятия Договаривающихся сторон, </w:t>
      </w:r>
      <w:proofErr w:type="spellStart"/>
      <w:r>
        <w:t>WP.30</w:t>
      </w:r>
      <w:proofErr w:type="spellEnd"/>
      <w:r>
        <w:t xml:space="preserve"> и се</w:t>
      </w:r>
      <w:r w:rsidR="00122F6C">
        <w:t>кретариата.</w:t>
      </w:r>
      <w:r w:rsidR="00122F6C">
        <w:br/>
      </w:r>
      <w:r>
        <w:t>Ему также предлагается поддержать усилия по продолжению реализации проекта eTIR, продлить мандат WP.30/GE.1 на 2019 год, настоятельно призвать Договаривающиеся стороны и соответствующие заинтересованные стороны предоставить средства, необходимые для реализации проекта eTIR, настоятельно призвать Договаривающиеся стороны оперативно принять новое приложение 11 к Конвенции МДП, включив положения о компьютеризации процедуры МДП в правовой текст Конвенции, рекомендовать странам участвовать в экспериментальных проектах eTIR и принять текст новой конвенции об облегчении условий пересечения государственны</w:t>
      </w:r>
      <w:bookmarkStart w:id="1" w:name="_GoBack"/>
      <w:bookmarkEnd w:id="1"/>
      <w:r>
        <w:t>х границ при международной железнодорожной перевозке пассажиров, багажа и товаробагажа.</w:t>
      </w:r>
    </w:p>
    <w:p w:rsidR="007714AA" w:rsidRPr="007714AA" w:rsidRDefault="007714AA" w:rsidP="007714AA">
      <w:pPr>
        <w:pStyle w:val="SingleTxtG"/>
        <w:spacing w:before="240" w:after="0"/>
        <w:jc w:val="center"/>
        <w:rPr>
          <w:u w:val="single"/>
        </w:rPr>
      </w:pPr>
      <w:r>
        <w:tab/>
      </w:r>
      <w:r>
        <w:rPr>
          <w:u w:val="single"/>
        </w:rPr>
        <w:tab/>
      </w:r>
      <w:r>
        <w:rPr>
          <w:u w:val="single"/>
        </w:rPr>
        <w:tab/>
      </w:r>
      <w:r>
        <w:rPr>
          <w:u w:val="single"/>
        </w:rPr>
        <w:tab/>
      </w:r>
    </w:p>
    <w:sectPr w:rsidR="007714AA" w:rsidRPr="007714AA" w:rsidSect="007714AA">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6F4" w:rsidRPr="00A312BC" w:rsidRDefault="004E46F4" w:rsidP="00A312BC"/>
  </w:endnote>
  <w:endnote w:type="continuationSeparator" w:id="0">
    <w:p w:rsidR="004E46F4" w:rsidRPr="00A312BC" w:rsidRDefault="004E46F4"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4AA" w:rsidRPr="007714AA" w:rsidRDefault="007714AA">
    <w:pPr>
      <w:pStyle w:val="a8"/>
    </w:pPr>
    <w:r w:rsidRPr="007714AA">
      <w:rPr>
        <w:b/>
        <w:sz w:val="18"/>
      </w:rPr>
      <w:fldChar w:fldCharType="begin"/>
    </w:r>
    <w:r w:rsidRPr="007714AA">
      <w:rPr>
        <w:b/>
        <w:sz w:val="18"/>
      </w:rPr>
      <w:instrText xml:space="preserve"> PAGE  \* MERGEFORMAT </w:instrText>
    </w:r>
    <w:r w:rsidRPr="007714AA">
      <w:rPr>
        <w:b/>
        <w:sz w:val="18"/>
      </w:rPr>
      <w:fldChar w:fldCharType="separate"/>
    </w:r>
    <w:r w:rsidR="00175BC7">
      <w:rPr>
        <w:b/>
        <w:noProof/>
        <w:sz w:val="18"/>
      </w:rPr>
      <w:t>8</w:t>
    </w:r>
    <w:r w:rsidRPr="007714AA">
      <w:rPr>
        <w:b/>
        <w:sz w:val="18"/>
      </w:rPr>
      <w:fldChar w:fldCharType="end"/>
    </w:r>
    <w:r>
      <w:rPr>
        <w:b/>
        <w:sz w:val="18"/>
      </w:rPr>
      <w:tab/>
    </w:r>
    <w:proofErr w:type="spellStart"/>
    <w:r>
      <w:t>GE.18</w:t>
    </w:r>
    <w:proofErr w:type="spellEnd"/>
    <w:r>
      <w:t>-20572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4AA" w:rsidRPr="007714AA" w:rsidRDefault="007714AA" w:rsidP="007714AA">
    <w:pPr>
      <w:pStyle w:val="a8"/>
      <w:tabs>
        <w:tab w:val="clear" w:pos="9639"/>
        <w:tab w:val="right" w:pos="9638"/>
      </w:tabs>
      <w:rPr>
        <w:b/>
        <w:sz w:val="18"/>
      </w:rPr>
    </w:pPr>
    <w:proofErr w:type="spellStart"/>
    <w:r>
      <w:t>GE.18</w:t>
    </w:r>
    <w:proofErr w:type="spellEnd"/>
    <w:r>
      <w:t>-20572</w:t>
    </w:r>
    <w:r>
      <w:tab/>
    </w:r>
    <w:r w:rsidRPr="007714AA">
      <w:rPr>
        <w:b/>
        <w:sz w:val="18"/>
      </w:rPr>
      <w:fldChar w:fldCharType="begin"/>
    </w:r>
    <w:r w:rsidRPr="007714AA">
      <w:rPr>
        <w:b/>
        <w:sz w:val="18"/>
      </w:rPr>
      <w:instrText xml:space="preserve"> PAGE  \* MERGEFORMAT </w:instrText>
    </w:r>
    <w:r w:rsidRPr="007714AA">
      <w:rPr>
        <w:b/>
        <w:sz w:val="18"/>
      </w:rPr>
      <w:fldChar w:fldCharType="separate"/>
    </w:r>
    <w:r w:rsidR="00175BC7">
      <w:rPr>
        <w:b/>
        <w:noProof/>
        <w:sz w:val="18"/>
      </w:rPr>
      <w:t>7</w:t>
    </w:r>
    <w:r w:rsidRPr="007714A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7714AA" w:rsidRDefault="007714AA" w:rsidP="007714AA">
    <w:pPr>
      <w:spacing w:before="120" w:line="240" w:lineRule="auto"/>
    </w:pPr>
    <w:proofErr w:type="spellStart"/>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w:t>
    </w:r>
    <w:proofErr w:type="spellEnd"/>
    <w:r>
      <w:t>-</w:t>
    </w:r>
    <w:proofErr w:type="gramStart"/>
    <w:r>
      <w:t>20572  (</w:t>
    </w:r>
    <w:proofErr w:type="gramEnd"/>
    <w:r>
      <w:t>R)</w:t>
    </w:r>
    <w:r w:rsidR="00137EF6">
      <w:rPr>
        <w:lang w:val="en-US"/>
      </w:rPr>
      <w:t xml:space="preserve">  281218  030</w:t>
    </w:r>
    <w:r>
      <w:rPr>
        <w:lang w:val="en-US"/>
      </w:rPr>
      <w:t>1</w:t>
    </w:r>
    <w:r w:rsidR="00137EF6">
      <w:rPr>
        <w:lang w:val="en-US"/>
      </w:rPr>
      <w:t>19</w:t>
    </w:r>
    <w:r>
      <w:br/>
    </w:r>
    <w:r w:rsidRPr="007714AA">
      <w:rPr>
        <w:rFonts w:ascii="C39T30Lfz" w:hAnsi="C39T30Lfz"/>
        <w:kern w:val="14"/>
        <w:sz w:val="56"/>
      </w:rPr>
      <w:t></w:t>
    </w:r>
    <w:r w:rsidRPr="007714AA">
      <w:rPr>
        <w:rFonts w:ascii="C39T30Lfz" w:hAnsi="C39T30Lfz"/>
        <w:kern w:val="14"/>
        <w:sz w:val="56"/>
      </w:rPr>
      <w:t></w:t>
    </w:r>
    <w:r w:rsidRPr="007714AA">
      <w:rPr>
        <w:rFonts w:ascii="C39T30Lfz" w:hAnsi="C39T30Lfz"/>
        <w:kern w:val="14"/>
        <w:sz w:val="56"/>
      </w:rPr>
      <w:t></w:t>
    </w:r>
    <w:r w:rsidRPr="007714AA">
      <w:rPr>
        <w:rFonts w:ascii="C39T30Lfz" w:hAnsi="C39T30Lfz"/>
        <w:kern w:val="14"/>
        <w:sz w:val="56"/>
      </w:rPr>
      <w:t></w:t>
    </w:r>
    <w:r w:rsidRPr="007714AA">
      <w:rPr>
        <w:rFonts w:ascii="C39T30Lfz" w:hAnsi="C39T30Lfz"/>
        <w:kern w:val="14"/>
        <w:sz w:val="56"/>
      </w:rPr>
      <w:t></w:t>
    </w:r>
    <w:r w:rsidRPr="007714AA">
      <w:rPr>
        <w:rFonts w:ascii="C39T30Lfz" w:hAnsi="C39T30Lfz"/>
        <w:kern w:val="14"/>
        <w:sz w:val="56"/>
      </w:rPr>
      <w:t></w:t>
    </w:r>
    <w:r w:rsidRPr="007714AA">
      <w:rPr>
        <w:rFonts w:ascii="C39T30Lfz" w:hAnsi="C39T30Lfz"/>
        <w:kern w:val="14"/>
        <w:sz w:val="56"/>
      </w:rPr>
      <w:t></w:t>
    </w:r>
    <w:r w:rsidRPr="007714AA">
      <w:rPr>
        <w:rFonts w:ascii="C39T30Lfz" w:hAnsi="C39T30Lfz"/>
        <w:kern w:val="14"/>
        <w:sz w:val="56"/>
      </w:rPr>
      <w:t></w:t>
    </w:r>
    <w:r w:rsidRPr="007714AA">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2019/17&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2019/17&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6F4" w:rsidRPr="001075E9" w:rsidRDefault="004E46F4" w:rsidP="001075E9">
      <w:pPr>
        <w:tabs>
          <w:tab w:val="right" w:pos="2155"/>
        </w:tabs>
        <w:spacing w:after="80" w:line="240" w:lineRule="auto"/>
        <w:ind w:left="680"/>
        <w:rPr>
          <w:u w:val="single"/>
        </w:rPr>
      </w:pPr>
      <w:r>
        <w:rPr>
          <w:u w:val="single"/>
        </w:rPr>
        <w:tab/>
      </w:r>
    </w:p>
  </w:footnote>
  <w:footnote w:type="continuationSeparator" w:id="0">
    <w:p w:rsidR="004E46F4" w:rsidRDefault="004E46F4" w:rsidP="00407B78">
      <w:pPr>
        <w:tabs>
          <w:tab w:val="right" w:pos="2155"/>
        </w:tabs>
        <w:spacing w:after="80"/>
        <w:ind w:left="680"/>
        <w:rPr>
          <w:u w:val="single"/>
        </w:rPr>
      </w:pPr>
      <w:r>
        <w:rPr>
          <w:u w:val="single"/>
        </w:rPr>
        <w:tab/>
      </w:r>
    </w:p>
  </w:footnote>
  <w:footnote w:id="1">
    <w:p w:rsidR="007714AA" w:rsidRPr="00122F6C" w:rsidRDefault="007714AA" w:rsidP="007714AA">
      <w:pPr>
        <w:pStyle w:val="ad"/>
      </w:pPr>
      <w:r>
        <w:tab/>
      </w:r>
      <w:r>
        <w:rPr>
          <w:rStyle w:val="aa"/>
        </w:rPr>
        <w:footnoteRef/>
      </w:r>
      <w:r>
        <w:tab/>
      </w:r>
      <w:hyperlink r:id="rId1" w:history="1">
        <w:proofErr w:type="spellStart"/>
        <w:r w:rsidRPr="00122F6C">
          <w:rPr>
            <w:rStyle w:val="af1"/>
            <w:color w:val="auto"/>
          </w:rPr>
          <w:t>www.unece.org</w:t>
        </w:r>
        <w:proofErr w:type="spellEnd"/>
        <w:r w:rsidRPr="00122F6C">
          <w:rPr>
            <w:rStyle w:val="af1"/>
            <w:color w:val="auto"/>
          </w:rPr>
          <w:t>/</w:t>
        </w:r>
        <w:proofErr w:type="spellStart"/>
        <w:r w:rsidRPr="00122F6C">
          <w:rPr>
            <w:rStyle w:val="af1"/>
            <w:color w:val="auto"/>
          </w:rPr>
          <w:t>tir</w:t>
        </w:r>
        <w:proofErr w:type="spellEnd"/>
        <w:r w:rsidRPr="00122F6C">
          <w:rPr>
            <w:rStyle w:val="af1"/>
            <w:color w:val="auto"/>
          </w:rPr>
          <w:t>/</w:t>
        </w:r>
        <w:proofErr w:type="spellStart"/>
        <w:r w:rsidRPr="00122F6C">
          <w:rPr>
            <w:rStyle w:val="af1"/>
            <w:color w:val="auto"/>
          </w:rPr>
          <w:t>tir-depositary_notification.html</w:t>
        </w:r>
        <w:proofErr w:type="spellEnd"/>
      </w:hyperlink>
      <w:r w:rsidR="00122F6C" w:rsidRPr="00122F6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4AA" w:rsidRPr="007714AA" w:rsidRDefault="007714AA">
    <w:pPr>
      <w:pStyle w:val="a5"/>
    </w:pPr>
    <w:r>
      <w:fldChar w:fldCharType="begin"/>
    </w:r>
    <w:r>
      <w:instrText xml:space="preserve"> TITLE  \* MERGEFORMAT </w:instrText>
    </w:r>
    <w:r>
      <w:fldChar w:fldCharType="separate"/>
    </w:r>
    <w:proofErr w:type="spellStart"/>
    <w:r w:rsidR="00077919">
      <w:t>ECE</w:t>
    </w:r>
    <w:proofErr w:type="spellEnd"/>
    <w:r w:rsidR="00077919">
      <w:t>/TRANS/2019/17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4AA" w:rsidRPr="007714AA" w:rsidRDefault="007714AA" w:rsidP="007714AA">
    <w:pPr>
      <w:pStyle w:val="a5"/>
      <w:jc w:val="right"/>
    </w:pPr>
    <w:r>
      <w:fldChar w:fldCharType="begin"/>
    </w:r>
    <w:r>
      <w:instrText xml:space="preserve"> TITLE  \* MERGEFORMAT </w:instrText>
    </w:r>
    <w:r>
      <w:fldChar w:fldCharType="separate"/>
    </w:r>
    <w:proofErr w:type="spellStart"/>
    <w:r w:rsidR="00077919">
      <w:t>ECE</w:t>
    </w:r>
    <w:proofErr w:type="spellEnd"/>
    <w:r w:rsidR="00077919">
      <w:t>/TRANS/2019/17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6830F0"/>
    <w:multiLevelType w:val="hybridMultilevel"/>
    <w:tmpl w:val="4C8E5CC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12"/>
  </w:num>
  <w:num w:numId="3">
    <w:abstractNumId w:val="11"/>
  </w:num>
  <w:num w:numId="4">
    <w:abstractNumId w:val="19"/>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7"/>
  </w:num>
  <w:num w:numId="17">
    <w:abstractNumId w:val="13"/>
  </w:num>
  <w:num w:numId="18">
    <w:abstractNumId w:val="15"/>
  </w:num>
  <w:num w:numId="19">
    <w:abstractNumId w:val="17"/>
  </w:num>
  <w:num w:numId="20">
    <w:abstractNumId w:val="13"/>
  </w:num>
  <w:num w:numId="21">
    <w:abstractNumId w:val="15"/>
  </w:num>
  <w:num w:numId="22">
    <w:abstractNumId w:val="10"/>
  </w:num>
  <w:num w:numId="23">
    <w:abstractNumId w:val="16"/>
    <w:lvlOverride w:ilvl="0">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6F4"/>
    <w:rsid w:val="00033EE1"/>
    <w:rsid w:val="00042B72"/>
    <w:rsid w:val="000558BD"/>
    <w:rsid w:val="00077919"/>
    <w:rsid w:val="000B57E7"/>
    <w:rsid w:val="000B6373"/>
    <w:rsid w:val="000E4E5B"/>
    <w:rsid w:val="000F09DF"/>
    <w:rsid w:val="000F61B2"/>
    <w:rsid w:val="001075E9"/>
    <w:rsid w:val="00122F6C"/>
    <w:rsid w:val="00137EF6"/>
    <w:rsid w:val="0014152F"/>
    <w:rsid w:val="00175BC7"/>
    <w:rsid w:val="00180183"/>
    <w:rsid w:val="0018024D"/>
    <w:rsid w:val="0018649F"/>
    <w:rsid w:val="001913A4"/>
    <w:rsid w:val="00196389"/>
    <w:rsid w:val="001B3EF6"/>
    <w:rsid w:val="001B7DDC"/>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437D3"/>
    <w:rsid w:val="00452493"/>
    <w:rsid w:val="00453318"/>
    <w:rsid w:val="00454AF2"/>
    <w:rsid w:val="00454E07"/>
    <w:rsid w:val="00472C5C"/>
    <w:rsid w:val="004E05B7"/>
    <w:rsid w:val="004E46F4"/>
    <w:rsid w:val="0050108D"/>
    <w:rsid w:val="00513081"/>
    <w:rsid w:val="00517901"/>
    <w:rsid w:val="00526683"/>
    <w:rsid w:val="005339ED"/>
    <w:rsid w:val="005639C1"/>
    <w:rsid w:val="005709E0"/>
    <w:rsid w:val="00572E19"/>
    <w:rsid w:val="005961C8"/>
    <w:rsid w:val="005966F1"/>
    <w:rsid w:val="005D14D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714AA"/>
    <w:rsid w:val="007853ED"/>
    <w:rsid w:val="00792497"/>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14DA8"/>
    <w:rsid w:val="00A312BC"/>
    <w:rsid w:val="00A84021"/>
    <w:rsid w:val="00A84D35"/>
    <w:rsid w:val="00A917B3"/>
    <w:rsid w:val="00AB4B51"/>
    <w:rsid w:val="00B10CC7"/>
    <w:rsid w:val="00B1575F"/>
    <w:rsid w:val="00B36DF7"/>
    <w:rsid w:val="00B402F1"/>
    <w:rsid w:val="00B539E7"/>
    <w:rsid w:val="00B62458"/>
    <w:rsid w:val="00BC18B2"/>
    <w:rsid w:val="00BD33EE"/>
    <w:rsid w:val="00BE1CC7"/>
    <w:rsid w:val="00C106D6"/>
    <w:rsid w:val="00C119AE"/>
    <w:rsid w:val="00C60F0C"/>
    <w:rsid w:val="00C71E84"/>
    <w:rsid w:val="00C805C9"/>
    <w:rsid w:val="00C92939"/>
    <w:rsid w:val="00CA1679"/>
    <w:rsid w:val="00CB151C"/>
    <w:rsid w:val="00CE5A1A"/>
    <w:rsid w:val="00CF55F6"/>
    <w:rsid w:val="00D02AF5"/>
    <w:rsid w:val="00D079FF"/>
    <w:rsid w:val="00D33D63"/>
    <w:rsid w:val="00D5253A"/>
    <w:rsid w:val="00D55254"/>
    <w:rsid w:val="00D873A8"/>
    <w:rsid w:val="00D90028"/>
    <w:rsid w:val="00D90138"/>
    <w:rsid w:val="00D9145B"/>
    <w:rsid w:val="00DD78D1"/>
    <w:rsid w:val="00DE32CD"/>
    <w:rsid w:val="00DF5767"/>
    <w:rsid w:val="00DF71B9"/>
    <w:rsid w:val="00E12C5F"/>
    <w:rsid w:val="00E1695B"/>
    <w:rsid w:val="00E73F76"/>
    <w:rsid w:val="00E872C0"/>
    <w:rsid w:val="00EA2C9F"/>
    <w:rsid w:val="00EA420E"/>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93CFF7"/>
  <w15:docId w15:val="{C856C732-A35E-4A16-A4A1-4E7B6A460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H1GChar">
    <w:name w:val="_ H_1_G Char"/>
    <w:link w:val="H1G"/>
    <w:rsid w:val="007714AA"/>
    <w:rPr>
      <w:b/>
      <w:sz w:val="24"/>
      <w:lang w:val="ru-RU" w:eastAsia="ru-RU"/>
    </w:rPr>
  </w:style>
  <w:style w:type="character" w:customStyle="1" w:styleId="HChGChar">
    <w:name w:val="_ H _Ch_G Char"/>
    <w:link w:val="HChG"/>
    <w:rsid w:val="007714AA"/>
    <w:rPr>
      <w:b/>
      <w:sz w:val="28"/>
      <w:lang w:val="ru-RU" w:eastAsia="ru-RU"/>
    </w:rPr>
  </w:style>
  <w:style w:type="character" w:customStyle="1" w:styleId="SingleTxtGChar">
    <w:name w:val="_ Single Txt_G Char"/>
    <w:link w:val="SingleTxtG"/>
    <w:rsid w:val="007714AA"/>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undocs.org/ru/www.unece.org/tir/tir-depositary_notificatio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4</TotalTime>
  <Pages>9</Pages>
  <Words>3637</Words>
  <Characters>23963</Characters>
  <Application>Microsoft Office Word</Application>
  <DocSecurity>0</DocSecurity>
  <Lines>422</Lines>
  <Paragraphs>73</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ECE/TRANS/2019/17</vt:lpstr>
      <vt:lpstr>A/</vt:lpstr>
      <vt:lpstr>A/</vt:lpstr>
    </vt:vector>
  </TitlesOfParts>
  <Company>DCM</Company>
  <LinksUpToDate>false</LinksUpToDate>
  <CharactersWithSpaces>27591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ECE/TRANS/2019/17</dc:title>
  <dc:subject/>
  <dc:creator>Anna KISSELEVA</dc:creator>
  <cp:keywords/>
  <cp:lastModifiedBy>Anna Kisseleva</cp:lastModifiedBy>
  <cp:revision>4</cp:revision>
  <cp:lastPrinted>2019-01-03T08:38:00Z</cp:lastPrinted>
  <dcterms:created xsi:type="dcterms:W3CDTF">2019-01-03T08:38:00Z</dcterms:created>
  <dcterms:modified xsi:type="dcterms:W3CDTF">2019-01-03T08:42:00Z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