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4150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4150B" w:rsidP="00D4150B">
            <w:pPr>
              <w:jc w:val="right"/>
            </w:pPr>
            <w:r w:rsidRPr="00D4150B">
              <w:rPr>
                <w:sz w:val="40"/>
              </w:rPr>
              <w:t>ECE</w:t>
            </w:r>
            <w:r>
              <w:t>/TRANS/WP.15/AC.2/2019/10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4150B" w:rsidP="00C97039">
            <w:pPr>
              <w:spacing w:before="240"/>
            </w:pPr>
            <w:proofErr w:type="spellStart"/>
            <w:r>
              <w:t>Distr</w:t>
            </w:r>
            <w:proofErr w:type="spellEnd"/>
            <w:r>
              <w:t xml:space="preserve">. </w:t>
            </w:r>
            <w:proofErr w:type="gramStart"/>
            <w:r>
              <w:t>générale</w:t>
            </w:r>
            <w:proofErr w:type="gramEnd"/>
          </w:p>
          <w:p w:rsidR="00D4150B" w:rsidRDefault="00D4150B" w:rsidP="00D4150B">
            <w:pPr>
              <w:spacing w:line="240" w:lineRule="exact"/>
            </w:pPr>
            <w:r>
              <w:t>8 novembre 2018</w:t>
            </w:r>
          </w:p>
          <w:p w:rsidR="00D4150B" w:rsidRDefault="00D4150B" w:rsidP="00D4150B">
            <w:pPr>
              <w:spacing w:line="240" w:lineRule="exact"/>
            </w:pPr>
            <w:r>
              <w:t>Français</w:t>
            </w:r>
          </w:p>
          <w:p w:rsidR="00D4150B" w:rsidRPr="00DB58B5" w:rsidRDefault="00D4150B" w:rsidP="00D4150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4150B" w:rsidRPr="00A304FC" w:rsidRDefault="00D4150B" w:rsidP="00A304FC">
      <w:pPr>
        <w:spacing w:before="120"/>
        <w:rPr>
          <w:b/>
          <w:sz w:val="24"/>
          <w:szCs w:val="24"/>
        </w:rPr>
      </w:pPr>
      <w:r w:rsidRPr="00A304FC">
        <w:rPr>
          <w:b/>
          <w:sz w:val="24"/>
          <w:szCs w:val="24"/>
          <w:lang w:val="fr-FR"/>
        </w:rPr>
        <w:t>Groupe de travail des transports de marchandises dangereuses</w:t>
      </w:r>
    </w:p>
    <w:p w:rsidR="00D4150B" w:rsidRPr="00A304FC" w:rsidRDefault="00D4150B" w:rsidP="00A304FC">
      <w:pPr>
        <w:spacing w:before="120"/>
        <w:rPr>
          <w:b/>
        </w:rPr>
      </w:pPr>
      <w:r w:rsidRPr="00A304FC">
        <w:rPr>
          <w:b/>
          <w:lang w:val="fr-FR"/>
        </w:rPr>
        <w:t xml:space="preserve">Réunion commune d’experts sur le Règlement </w:t>
      </w:r>
      <w:r w:rsidR="00A304FC">
        <w:rPr>
          <w:b/>
          <w:lang w:val="fr-FR"/>
        </w:rPr>
        <w:br/>
      </w:r>
      <w:r w:rsidRPr="00A304FC">
        <w:rPr>
          <w:b/>
          <w:lang w:val="fr-FR"/>
        </w:rPr>
        <w:t xml:space="preserve">annexé à l’Accord européen relatif au transport </w:t>
      </w:r>
      <w:r w:rsidR="00A304FC">
        <w:rPr>
          <w:b/>
          <w:lang w:val="fr-FR"/>
        </w:rPr>
        <w:br/>
      </w:r>
      <w:r w:rsidRPr="00A304FC">
        <w:rPr>
          <w:b/>
          <w:lang w:val="fr-FR"/>
        </w:rPr>
        <w:t xml:space="preserve">international des marchandises dangereuses </w:t>
      </w:r>
      <w:r w:rsidR="00A304FC">
        <w:rPr>
          <w:b/>
          <w:lang w:val="fr-FR"/>
        </w:rPr>
        <w:br/>
      </w:r>
      <w:r w:rsidRPr="00A304FC">
        <w:rPr>
          <w:b/>
          <w:lang w:val="fr-FR"/>
        </w:rPr>
        <w:t xml:space="preserve">par voies de navigation intérieures (ADN) </w:t>
      </w:r>
      <w:r w:rsidR="00A304FC">
        <w:rPr>
          <w:b/>
          <w:lang w:val="fr-FR"/>
        </w:rPr>
        <w:br/>
      </w:r>
      <w:r w:rsidRPr="00A304FC">
        <w:rPr>
          <w:b/>
          <w:lang w:val="fr-FR"/>
        </w:rPr>
        <w:t>(Comité de sécurité de l’ADN)</w:t>
      </w:r>
    </w:p>
    <w:p w:rsidR="00D4150B" w:rsidRPr="00A304FC" w:rsidRDefault="00D4150B" w:rsidP="00A304FC">
      <w:pPr>
        <w:spacing w:before="120"/>
        <w:rPr>
          <w:b/>
        </w:rPr>
      </w:pPr>
      <w:r w:rsidRPr="00A304FC">
        <w:rPr>
          <w:b/>
          <w:lang w:val="fr-FR"/>
        </w:rPr>
        <w:t>Trente-quatrième session</w:t>
      </w:r>
    </w:p>
    <w:p w:rsidR="00D4150B" w:rsidRPr="00A304FC" w:rsidRDefault="00D4150B" w:rsidP="00D4150B">
      <w:pPr>
        <w:rPr>
          <w:lang w:val="fr-FR"/>
        </w:rPr>
      </w:pPr>
      <w:r w:rsidRPr="00A304FC">
        <w:rPr>
          <w:lang w:val="fr-FR"/>
        </w:rPr>
        <w:t>Genève, 21-25</w:t>
      </w:r>
      <w:r w:rsidR="00A304FC">
        <w:rPr>
          <w:lang w:val="fr-FR"/>
        </w:rPr>
        <w:t> </w:t>
      </w:r>
      <w:r w:rsidRPr="00A304FC">
        <w:rPr>
          <w:lang w:val="fr-FR"/>
        </w:rPr>
        <w:t xml:space="preserve">janvier 2019 </w:t>
      </w:r>
    </w:p>
    <w:p w:rsidR="00D4150B" w:rsidRPr="00A304FC" w:rsidRDefault="00D4150B" w:rsidP="00D4150B">
      <w:r w:rsidRPr="00A304FC">
        <w:rPr>
          <w:lang w:val="fr-FR"/>
        </w:rPr>
        <w:t>Point</w:t>
      </w:r>
      <w:r w:rsidR="00A304FC">
        <w:rPr>
          <w:lang w:val="fr-FR"/>
        </w:rPr>
        <w:t> </w:t>
      </w:r>
      <w:r w:rsidRPr="00A304FC">
        <w:rPr>
          <w:lang w:val="fr-FR"/>
        </w:rPr>
        <w:t>5</w:t>
      </w:r>
      <w:r w:rsidR="00A304FC">
        <w:rPr>
          <w:lang w:val="fr-FR"/>
        </w:rPr>
        <w:t> </w:t>
      </w:r>
      <w:r w:rsidRPr="00A304FC">
        <w:rPr>
          <w:lang w:val="fr-FR"/>
        </w:rPr>
        <w:t>b) de l’ordre du jour provisoire</w:t>
      </w:r>
    </w:p>
    <w:p w:rsidR="00D4150B" w:rsidRPr="00A304FC" w:rsidRDefault="00D4150B" w:rsidP="00D4150B">
      <w:pPr>
        <w:rPr>
          <w:b/>
        </w:rPr>
      </w:pPr>
      <w:r w:rsidRPr="00A304FC">
        <w:rPr>
          <w:b/>
          <w:lang w:val="fr-FR"/>
        </w:rPr>
        <w:t>Propositions d’amendements au Règlement annexé à l’ADN</w:t>
      </w:r>
      <w:r w:rsidR="00A304FC" w:rsidRPr="00A304FC">
        <w:rPr>
          <w:b/>
          <w:lang w:val="fr-FR"/>
        </w:rPr>
        <w:t> </w:t>
      </w:r>
      <w:r w:rsidRPr="00A304FC">
        <w:rPr>
          <w:b/>
          <w:lang w:val="fr-FR"/>
        </w:rPr>
        <w:t>:</w:t>
      </w:r>
    </w:p>
    <w:p w:rsidR="00D4150B" w:rsidRPr="00A304FC" w:rsidRDefault="00D4150B" w:rsidP="00D4150B">
      <w:pPr>
        <w:rPr>
          <w:b/>
        </w:rPr>
      </w:pPr>
      <w:proofErr w:type="gramStart"/>
      <w:r w:rsidRPr="00A304FC">
        <w:rPr>
          <w:b/>
          <w:lang w:val="fr-FR"/>
        </w:rPr>
        <w:t>autres</w:t>
      </w:r>
      <w:proofErr w:type="gramEnd"/>
      <w:r w:rsidRPr="00A304FC">
        <w:rPr>
          <w:b/>
          <w:lang w:val="fr-FR"/>
        </w:rPr>
        <w:t xml:space="preserve"> propositions</w:t>
      </w:r>
    </w:p>
    <w:p w:rsidR="00D4150B" w:rsidRPr="003134DF" w:rsidRDefault="00D4150B" w:rsidP="00A304FC">
      <w:pPr>
        <w:pStyle w:val="HChG"/>
      </w:pPr>
      <w:r>
        <w:rPr>
          <w:lang w:val="fr-FR"/>
        </w:rPr>
        <w:tab/>
      </w:r>
      <w:r>
        <w:rPr>
          <w:lang w:val="fr-FR"/>
        </w:rPr>
        <w:tab/>
        <w:t>Clarification du paragraphe</w:t>
      </w:r>
      <w:r w:rsidR="00A304FC">
        <w:rPr>
          <w:lang w:val="fr-FR"/>
        </w:rPr>
        <w:t> </w:t>
      </w:r>
      <w:r>
        <w:rPr>
          <w:lang w:val="fr-FR"/>
        </w:rPr>
        <w:t>1.1.3.6.1</w:t>
      </w:r>
    </w:p>
    <w:p w:rsidR="00D4150B" w:rsidRDefault="00D4150B" w:rsidP="00A304FC">
      <w:pPr>
        <w:pStyle w:val="H1G"/>
        <w:rPr>
          <w:b w:val="0"/>
          <w:sz w:val="20"/>
        </w:rPr>
      </w:pPr>
      <w:r>
        <w:rPr>
          <w:lang w:val="fr-FR"/>
        </w:rPr>
        <w:tab/>
      </w:r>
      <w:r>
        <w:rPr>
          <w:lang w:val="fr-FR"/>
        </w:rPr>
        <w:tab/>
        <w:t xml:space="preserve">Communication de l’Union européenne de la navigation </w:t>
      </w:r>
      <w:r w:rsidR="00A304FC">
        <w:rPr>
          <w:lang w:val="fr-FR"/>
        </w:rPr>
        <w:br/>
      </w:r>
      <w:r>
        <w:rPr>
          <w:lang w:val="fr-FR"/>
        </w:rPr>
        <w:t xml:space="preserve">fluviale (UENF) et de l’Organisation européenne </w:t>
      </w:r>
      <w:r w:rsidR="00A304FC">
        <w:rPr>
          <w:lang w:val="fr-FR"/>
        </w:rPr>
        <w:br/>
      </w:r>
      <w:r>
        <w:rPr>
          <w:lang w:val="fr-FR"/>
        </w:rPr>
        <w:t>des bateliers (OEB)</w:t>
      </w:r>
      <w:r w:rsidR="00A304FC" w:rsidRPr="00A304FC">
        <w:rPr>
          <w:rStyle w:val="FootnoteReference"/>
          <w:b w:val="0"/>
          <w:sz w:val="20"/>
          <w:vertAlign w:val="baseline"/>
        </w:rPr>
        <w:footnoteReference w:customMarkFollows="1" w:id="2"/>
        <w:t>*</w:t>
      </w:r>
      <w:r w:rsidR="00A304FC" w:rsidRPr="00A304FC">
        <w:rPr>
          <w:rStyle w:val="FootnoteReference"/>
          <w:b w:val="0"/>
          <w:sz w:val="20"/>
        </w:rPr>
        <w:t>,</w:t>
      </w:r>
      <w:r w:rsidR="00A304FC" w:rsidRPr="00A304FC">
        <w:rPr>
          <w:rStyle w:val="FootnoteReference"/>
          <w:b w:val="0"/>
          <w:sz w:val="20"/>
          <w:vertAlign w:val="baseline"/>
        </w:rPr>
        <w:t xml:space="preserve"> </w:t>
      </w:r>
      <w:r w:rsidR="00A304FC" w:rsidRPr="00A304FC">
        <w:rPr>
          <w:rStyle w:val="FootnoteReference"/>
          <w:b w:val="0"/>
          <w:sz w:val="20"/>
          <w:vertAlign w:val="baseline"/>
        </w:rPr>
        <w:footnoteReference w:customMarkFollows="1" w:id="3"/>
        <w:t>**</w:t>
      </w:r>
    </w:p>
    <w:tbl>
      <w:tblPr>
        <w:tblW w:w="7371" w:type="dxa"/>
        <w:tblInd w:w="113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94"/>
        <w:gridCol w:w="4977"/>
      </w:tblGrid>
      <w:tr w:rsidR="00D4150B" w:rsidRPr="003134DF" w:rsidTr="00A304FC">
        <w:tc>
          <w:tcPr>
            <w:tcW w:w="2394" w:type="dxa"/>
            <w:tcBorders>
              <w:bottom w:val="single" w:sz="4" w:space="0" w:color="auto"/>
            </w:tcBorders>
          </w:tcPr>
          <w:p w:rsidR="00D4150B" w:rsidRPr="003134DF" w:rsidRDefault="00D4150B" w:rsidP="00A304FC">
            <w:pPr>
              <w:spacing w:after="120"/>
            </w:pPr>
            <w:r w:rsidRPr="00A304FC">
              <w:rPr>
                <w:i/>
                <w:lang w:val="fr-FR"/>
              </w:rPr>
              <w:t>Documents de référence</w:t>
            </w:r>
            <w:r w:rsidR="00A304FC">
              <w:rPr>
                <w:lang w:val="fr-FR"/>
              </w:rPr>
              <w:t> </w:t>
            </w:r>
            <w:r>
              <w:rPr>
                <w:lang w:val="fr-FR"/>
              </w:rPr>
              <w:t>:</w:t>
            </w:r>
          </w:p>
        </w:tc>
        <w:tc>
          <w:tcPr>
            <w:tcW w:w="4977" w:type="dxa"/>
            <w:tcBorders>
              <w:bottom w:val="single" w:sz="4" w:space="0" w:color="auto"/>
            </w:tcBorders>
          </w:tcPr>
          <w:p w:rsidR="00D4150B" w:rsidRPr="000111D1" w:rsidRDefault="00D4150B" w:rsidP="00A304FC">
            <w:pPr>
              <w:rPr>
                <w:lang w:val="en-US"/>
              </w:rPr>
            </w:pPr>
            <w:r w:rsidRPr="000111D1">
              <w:rPr>
                <w:lang w:val="en-US"/>
              </w:rPr>
              <w:t>ECE/TRANS/WP.15/AC.2/2018/</w:t>
            </w:r>
            <w:proofErr w:type="gramStart"/>
            <w:r w:rsidRPr="000111D1">
              <w:rPr>
                <w:lang w:val="en-US"/>
              </w:rPr>
              <w:t>47</w:t>
            </w:r>
            <w:r w:rsidR="00A304FC">
              <w:rPr>
                <w:lang w:val="en-US"/>
              </w:rPr>
              <w:t> ;</w:t>
            </w:r>
            <w:proofErr w:type="gramEnd"/>
          </w:p>
          <w:p w:rsidR="00D4150B" w:rsidRPr="000111D1" w:rsidRDefault="00D4150B" w:rsidP="00A304FC">
            <w:pPr>
              <w:rPr>
                <w:lang w:val="en-US"/>
              </w:rPr>
            </w:pPr>
            <w:r w:rsidRPr="000111D1">
              <w:rPr>
                <w:lang w:val="en-US"/>
              </w:rPr>
              <w:t>ECE/TRANS/WP.15/AC.2/</w:t>
            </w:r>
            <w:proofErr w:type="gramStart"/>
            <w:r w:rsidRPr="000111D1">
              <w:rPr>
                <w:lang w:val="en-US"/>
              </w:rPr>
              <w:t>66</w:t>
            </w:r>
            <w:r w:rsidR="00A304FC">
              <w:rPr>
                <w:lang w:val="en-US"/>
              </w:rPr>
              <w:t> ;</w:t>
            </w:r>
            <w:proofErr w:type="gramEnd"/>
          </w:p>
          <w:p w:rsidR="00D4150B" w:rsidRPr="008B342C" w:rsidRDefault="00D4150B" w:rsidP="00A304FC">
            <w:pPr>
              <w:spacing w:after="120"/>
            </w:pPr>
            <w:r>
              <w:rPr>
                <w:lang w:val="fr-FR"/>
              </w:rPr>
              <w:t>Document informel INF.20 de la trente-deuxième session (sous-section A)</w:t>
            </w:r>
            <w:r w:rsidR="00A304FC">
              <w:rPr>
                <w:lang w:val="fr-FR"/>
              </w:rPr>
              <w:t>.</w:t>
            </w:r>
          </w:p>
        </w:tc>
      </w:tr>
    </w:tbl>
    <w:p w:rsidR="00D4150B" w:rsidRPr="000532C7" w:rsidRDefault="00D4150B" w:rsidP="00A304FC">
      <w:pPr>
        <w:pStyle w:val="HChG"/>
      </w:pPr>
      <w:r>
        <w:rPr>
          <w:lang w:val="fr-FR"/>
        </w:rPr>
        <w:tab/>
      </w:r>
      <w:r>
        <w:rPr>
          <w:lang w:val="fr-FR"/>
        </w:rPr>
        <w:tab/>
        <w:t>Introduction</w:t>
      </w:r>
    </w:p>
    <w:p w:rsidR="00D4150B" w:rsidRPr="00794692" w:rsidRDefault="00D4150B" w:rsidP="00A304FC">
      <w:pPr>
        <w:pStyle w:val="SingleTxtG"/>
      </w:pPr>
      <w:r>
        <w:rPr>
          <w:lang w:val="fr-FR"/>
        </w:rPr>
        <w:t>1.</w:t>
      </w:r>
      <w:r>
        <w:rPr>
          <w:lang w:val="fr-FR"/>
        </w:rPr>
        <w:tab/>
      </w:r>
      <w:r>
        <w:t>L</w:t>
      </w:r>
      <w:r>
        <w:rPr>
          <w:lang w:val="fr-FR"/>
        </w:rPr>
        <w:t xml:space="preserve">’UENF et l’OEB ont reçu plusieurs propositions d’amélioration émanant des réunions de leurs membres sur les marchandises dangereuses et des formateurs ADN </w:t>
      </w:r>
      <w:proofErr w:type="gramStart"/>
      <w:r>
        <w:rPr>
          <w:lang w:val="fr-FR"/>
        </w:rPr>
        <w:t>participant</w:t>
      </w:r>
      <w:proofErr w:type="gramEnd"/>
      <w:r>
        <w:rPr>
          <w:lang w:val="fr-FR"/>
        </w:rPr>
        <w:t xml:space="preserve"> au groupe de travail informel sur la formation des experts (AIG</w:t>
      </w:r>
      <w:r w:rsidR="00A304FC">
        <w:rPr>
          <w:lang w:val="fr-FR"/>
        </w:rPr>
        <w:t> </w:t>
      </w:r>
      <w:proofErr w:type="spellStart"/>
      <w:r>
        <w:rPr>
          <w:lang w:val="fr-FR"/>
        </w:rPr>
        <w:t>Sachkundigenausbildung</w:t>
      </w:r>
      <w:proofErr w:type="spellEnd"/>
      <w:r>
        <w:rPr>
          <w:lang w:val="fr-FR"/>
        </w:rPr>
        <w:t xml:space="preserve">). Ces propositions sont essentiellement </w:t>
      </w:r>
      <w:r w:rsidRPr="008017B0">
        <w:rPr>
          <w:lang w:val="fr-FR"/>
        </w:rPr>
        <w:t>d</w:t>
      </w:r>
      <w:r>
        <w:rPr>
          <w:lang w:val="fr-FR"/>
        </w:rPr>
        <w:t>’</w:t>
      </w:r>
      <w:r w:rsidRPr="008017B0">
        <w:rPr>
          <w:lang w:val="fr-FR"/>
        </w:rPr>
        <w:t>ordre rédactionnel</w:t>
      </w:r>
      <w:r>
        <w:rPr>
          <w:lang w:val="fr-FR"/>
        </w:rPr>
        <w:t xml:space="preserve"> et visent à améliorer la lisibilité et la facilité d’utilisation de l’ADN en général et pour les équipages des barges en particulier, </w:t>
      </w:r>
      <w:r w:rsidRPr="008017B0">
        <w:rPr>
          <w:lang w:val="fr-FR"/>
        </w:rPr>
        <w:t>en tant qu</w:t>
      </w:r>
      <w:r>
        <w:rPr>
          <w:lang w:val="fr-FR"/>
        </w:rPr>
        <w:t>’</w:t>
      </w:r>
      <w:r w:rsidRPr="008017B0">
        <w:rPr>
          <w:lang w:val="fr-FR"/>
        </w:rPr>
        <w:t>utilisateurs</w:t>
      </w:r>
      <w:r>
        <w:rPr>
          <w:lang w:val="fr-FR"/>
        </w:rPr>
        <w:t xml:space="preserve"> </w:t>
      </w:r>
      <w:r w:rsidRPr="008017B0">
        <w:rPr>
          <w:lang w:val="fr-FR"/>
        </w:rPr>
        <w:t>professionnels de l</w:t>
      </w:r>
      <w:r>
        <w:rPr>
          <w:lang w:val="fr-FR"/>
        </w:rPr>
        <w:t>’</w:t>
      </w:r>
      <w:r w:rsidRPr="008017B0">
        <w:rPr>
          <w:lang w:val="fr-FR"/>
        </w:rPr>
        <w:t>ADN, c</w:t>
      </w:r>
      <w:r>
        <w:rPr>
          <w:lang w:val="fr-FR"/>
        </w:rPr>
        <w:t>’</w:t>
      </w:r>
      <w:r w:rsidRPr="008017B0">
        <w:rPr>
          <w:lang w:val="fr-FR"/>
        </w:rPr>
        <w:t>est</w:t>
      </w:r>
      <w:r w:rsidR="00A304FC">
        <w:rPr>
          <w:lang w:val="fr-FR"/>
        </w:rPr>
        <w:noBreakHyphen/>
      </w:r>
      <w:r w:rsidRPr="008017B0">
        <w:rPr>
          <w:lang w:val="fr-FR"/>
        </w:rPr>
        <w:t>à</w:t>
      </w:r>
      <w:r w:rsidR="00A304FC">
        <w:rPr>
          <w:lang w:val="fr-FR"/>
        </w:rPr>
        <w:noBreakHyphen/>
      </w:r>
      <w:r w:rsidRPr="008017B0">
        <w:rPr>
          <w:lang w:val="fr-FR"/>
        </w:rPr>
        <w:t xml:space="preserve">dire </w:t>
      </w:r>
      <w:r>
        <w:rPr>
          <w:lang w:val="fr-FR"/>
        </w:rPr>
        <w:t>en tant qu’</w:t>
      </w:r>
      <w:r w:rsidRPr="008017B0">
        <w:rPr>
          <w:lang w:val="fr-FR"/>
        </w:rPr>
        <w:t>experts de l</w:t>
      </w:r>
      <w:r>
        <w:rPr>
          <w:lang w:val="fr-FR"/>
        </w:rPr>
        <w:t>’</w:t>
      </w:r>
      <w:r w:rsidRPr="008017B0">
        <w:rPr>
          <w:lang w:val="fr-FR"/>
        </w:rPr>
        <w:t>ADN à bord des barges</w:t>
      </w:r>
      <w:r>
        <w:rPr>
          <w:lang w:val="fr-FR"/>
        </w:rPr>
        <w:t xml:space="preserve">. </w:t>
      </w:r>
    </w:p>
    <w:p w:rsidR="00D4150B" w:rsidRPr="00725CE8" w:rsidRDefault="00D4150B" w:rsidP="00A304FC">
      <w:pPr>
        <w:pStyle w:val="SingleTxtG"/>
      </w:pPr>
      <w:r>
        <w:rPr>
          <w:lang w:val="fr-FR"/>
        </w:rPr>
        <w:lastRenderedPageBreak/>
        <w:t>2.</w:t>
      </w:r>
      <w:r>
        <w:rPr>
          <w:lang w:val="fr-FR"/>
        </w:rPr>
        <w:tab/>
        <w:t>L’UENF et l’OEB ont soumis cette propositio</w:t>
      </w:r>
      <w:r w:rsidR="00A304FC">
        <w:rPr>
          <w:lang w:val="fr-FR"/>
        </w:rPr>
        <w:t>n aux trente-deuxième et trente</w:t>
      </w:r>
      <w:r w:rsidR="00A304FC">
        <w:rPr>
          <w:lang w:val="fr-FR"/>
        </w:rPr>
        <w:noBreakHyphen/>
      </w:r>
      <w:proofErr w:type="gramStart"/>
      <w:r>
        <w:rPr>
          <w:lang w:val="fr-FR"/>
        </w:rPr>
        <w:t>troisième sessions</w:t>
      </w:r>
      <w:proofErr w:type="gramEnd"/>
      <w:r>
        <w:rPr>
          <w:lang w:val="fr-FR"/>
        </w:rPr>
        <w:t xml:space="preserve"> du Comité de sécurité de l’ADN (voir document informel INF.20 et document ECE/TRANS/WP.15/AC.2/2018/47). Le </w:t>
      </w:r>
      <w:r w:rsidRPr="0022722F">
        <w:rPr>
          <w:lang w:val="fr-FR"/>
        </w:rPr>
        <w:t>Comité de sécurité</w:t>
      </w:r>
      <w:r>
        <w:rPr>
          <w:lang w:val="fr-FR"/>
        </w:rPr>
        <w:t xml:space="preserve"> a invité les représentants de l’UENF et de l’OEB à tenir compte des observations formulées et à soumettre une proposition révisée, sous une cote officielle, à la trente-quatrième session. La</w:t>
      </w:r>
      <w:r w:rsidR="00A304FC">
        <w:rPr>
          <w:lang w:val="fr-FR"/>
        </w:rPr>
        <w:t> </w:t>
      </w:r>
      <w:r>
        <w:rPr>
          <w:lang w:val="fr-FR"/>
        </w:rPr>
        <w:t>proposition figurant dans le présent document tient compte de cette requête.</w:t>
      </w:r>
    </w:p>
    <w:p w:rsidR="00D4150B" w:rsidRPr="00776291" w:rsidRDefault="00D4150B" w:rsidP="00A304FC">
      <w:pPr>
        <w:pStyle w:val="SingleTxtG"/>
      </w:pPr>
      <w:r>
        <w:rPr>
          <w:lang w:val="fr-FR"/>
        </w:rPr>
        <w:t>3.</w:t>
      </w:r>
      <w:r>
        <w:rPr>
          <w:lang w:val="fr-FR"/>
        </w:rPr>
        <w:tab/>
        <w:t>L’UENF et l’OEB invitent le Comité de sécurité à examiner l’amendement au paragraphe</w:t>
      </w:r>
      <w:r w:rsidR="00A304FC">
        <w:rPr>
          <w:lang w:val="fr-FR"/>
        </w:rPr>
        <w:t> </w:t>
      </w:r>
      <w:r>
        <w:rPr>
          <w:lang w:val="fr-FR"/>
        </w:rPr>
        <w:t>1.1.3.6.1.</w:t>
      </w:r>
    </w:p>
    <w:p w:rsidR="00D4150B" w:rsidRPr="000532C7" w:rsidRDefault="00D4150B" w:rsidP="00A304FC">
      <w:pPr>
        <w:pStyle w:val="HChG"/>
      </w:pPr>
      <w:r>
        <w:rPr>
          <w:lang w:val="fr-FR"/>
        </w:rPr>
        <w:tab/>
      </w:r>
      <w:r>
        <w:rPr>
          <w:lang w:val="fr-FR"/>
        </w:rPr>
        <w:tab/>
        <w:t>Proposition</w:t>
      </w:r>
    </w:p>
    <w:p w:rsidR="00D4150B" w:rsidRPr="003C0906" w:rsidRDefault="00D4150B" w:rsidP="00A304FC">
      <w:pPr>
        <w:pStyle w:val="SingleTxtG"/>
      </w:pPr>
      <w:r>
        <w:rPr>
          <w:lang w:val="fr-FR"/>
        </w:rPr>
        <w:t>4.</w:t>
      </w:r>
      <w:r>
        <w:rPr>
          <w:lang w:val="fr-FR"/>
        </w:rPr>
        <w:tab/>
        <w:t>Le problème : le texte du paragraphe</w:t>
      </w:r>
      <w:r w:rsidR="00A304FC">
        <w:rPr>
          <w:lang w:val="fr-FR"/>
        </w:rPr>
        <w:t> </w:t>
      </w:r>
      <w:r>
        <w:rPr>
          <w:lang w:val="fr-FR"/>
        </w:rPr>
        <w:t xml:space="preserve">1.1.3.6.1 de l’ADN prévoit des exemptions liées aux quantités </w:t>
      </w:r>
      <w:r w:rsidR="00A304FC">
        <w:rPr>
          <w:lang w:val="fr-FR"/>
        </w:rPr>
        <w:t>transportées à bord des bateaux</w:t>
      </w:r>
      <w:r>
        <w:rPr>
          <w:lang w:val="fr-FR"/>
        </w:rPr>
        <w:t>, exemptions qui sont elles-mêmes susceptibles de faire l’objet de</w:t>
      </w:r>
      <w:r w:rsidR="00A304FC">
        <w:rPr>
          <w:lang w:val="fr-FR"/>
        </w:rPr>
        <w:t xml:space="preserve"> dérogations</w:t>
      </w:r>
      <w:r>
        <w:rPr>
          <w:lang w:val="fr-FR"/>
        </w:rPr>
        <w:t xml:space="preserve">. </w:t>
      </w:r>
    </w:p>
    <w:p w:rsidR="00D4150B" w:rsidRPr="003C0906" w:rsidRDefault="00D4150B" w:rsidP="00A304FC">
      <w:pPr>
        <w:pStyle w:val="SingleTxtG"/>
      </w:pPr>
      <w:r>
        <w:rPr>
          <w:lang w:val="fr-FR"/>
        </w:rPr>
        <w:t>5.</w:t>
      </w:r>
      <w:r>
        <w:rPr>
          <w:lang w:val="fr-FR"/>
        </w:rPr>
        <w:tab/>
        <w:t>Proposition de clarification : regrouper le texte des paragraphes</w:t>
      </w:r>
      <w:r w:rsidR="00A304FC">
        <w:rPr>
          <w:lang w:val="fr-FR"/>
        </w:rPr>
        <w:t> </w:t>
      </w:r>
      <w:r>
        <w:rPr>
          <w:lang w:val="fr-FR"/>
        </w:rPr>
        <w:t>a) et b) du 1.1.3.6.1 dans un tableau pour en améliorer la lisibilité et la compréhension, comme suit</w:t>
      </w:r>
      <w:r w:rsidR="00A304FC">
        <w:rPr>
          <w:lang w:val="fr-FR"/>
        </w:rPr>
        <w:t> </w:t>
      </w:r>
      <w:r>
        <w:rPr>
          <w:lang w:val="fr-FR"/>
        </w:rPr>
        <w:t>:</w:t>
      </w:r>
    </w:p>
    <w:p w:rsidR="00D4150B" w:rsidRPr="00286AC5" w:rsidRDefault="00D4150B" w:rsidP="00A304FC">
      <w:pPr>
        <w:pStyle w:val="SingleTxtG"/>
      </w:pPr>
      <w:r>
        <w:rPr>
          <w:lang w:val="fr-FR"/>
        </w:rPr>
        <w:t>«</w:t>
      </w:r>
      <w:r w:rsidR="00A304FC">
        <w:rPr>
          <w:lang w:val="fr-FR"/>
        </w:rPr>
        <w:t> </w:t>
      </w:r>
      <w:r w:rsidRPr="00A304FC">
        <w:rPr>
          <w:b/>
          <w:lang w:val="fr-FR"/>
        </w:rPr>
        <w:t>1.1.3.6</w:t>
      </w:r>
      <w:r w:rsidRPr="00A304FC">
        <w:rPr>
          <w:b/>
          <w:lang w:val="fr-FR"/>
        </w:rPr>
        <w:tab/>
      </w:r>
      <w:r w:rsidRPr="00A304FC">
        <w:rPr>
          <w:b/>
          <w:i/>
          <w:lang w:val="fr-FR"/>
        </w:rPr>
        <w:t>Exemptions liées aux quantités transportées à bord des bateaux</w:t>
      </w:r>
    </w:p>
    <w:p w:rsidR="00D4150B" w:rsidRPr="00286AC5" w:rsidRDefault="00D4150B" w:rsidP="00A304FC">
      <w:pPr>
        <w:pStyle w:val="SingleTxtG"/>
      </w:pPr>
      <w:r>
        <w:rPr>
          <w:lang w:val="fr-FR"/>
        </w:rPr>
        <w:t>1.1.3.6.1</w:t>
      </w:r>
      <w:r>
        <w:rPr>
          <w:lang w:val="fr-FR"/>
        </w:rPr>
        <w:tab/>
        <w:t>En cas de transport de marchandises dangereuses en colis, les dispositions de l’ADN autres que celles du paragraphe</w:t>
      </w:r>
      <w:r w:rsidR="00A304FC">
        <w:rPr>
          <w:lang w:val="fr-FR"/>
        </w:rPr>
        <w:t> </w:t>
      </w:r>
      <w:r>
        <w:rPr>
          <w:lang w:val="fr-FR"/>
        </w:rPr>
        <w:t>1.1.3.6.2 ne sont pas applicables lorsque la masse brute de toutes les marchandises dangereuses transportées ne dépasse pas 3</w:t>
      </w:r>
      <w:r w:rsidR="00A304FC">
        <w:rPr>
          <w:lang w:val="fr-FR"/>
        </w:rPr>
        <w:t> </w:t>
      </w:r>
      <w:r>
        <w:rPr>
          <w:lang w:val="fr-FR"/>
        </w:rPr>
        <w:t>000</w:t>
      </w:r>
      <w:r w:rsidR="00A304FC">
        <w:rPr>
          <w:lang w:val="fr-FR"/>
        </w:rPr>
        <w:t> </w:t>
      </w:r>
      <w:r>
        <w:rPr>
          <w:lang w:val="fr-FR"/>
        </w:rPr>
        <w:t xml:space="preserve">kg et, pour les différentes classes, ne dépasse pas la quantité indiquée dans le tableau ci-dessous. </w:t>
      </w:r>
    </w:p>
    <w:p w:rsidR="00D4150B" w:rsidRPr="008017B0" w:rsidRDefault="00D4150B" w:rsidP="00A304FC">
      <w:pPr>
        <w:pStyle w:val="SingleTxtG"/>
      </w:pPr>
      <w:r w:rsidRPr="00F84CAF">
        <w:rPr>
          <w:strike/>
          <w:lang w:val="fr-FR"/>
        </w:rPr>
        <w:t>Cette disposition ne s</w:t>
      </w:r>
      <w:r>
        <w:rPr>
          <w:strike/>
          <w:lang w:val="fr-FR"/>
        </w:rPr>
        <w:t>’</w:t>
      </w:r>
      <w:r w:rsidRPr="00F84CAF">
        <w:rPr>
          <w:strike/>
          <w:lang w:val="fr-FR"/>
        </w:rPr>
        <w:t>applique pas au transport</w:t>
      </w:r>
      <w:r w:rsidR="004B56CD">
        <w:rPr>
          <w:strike/>
          <w:lang w:val="fr-FR"/>
        </w:rPr>
        <w:t> </w:t>
      </w:r>
      <w:r w:rsidRPr="00F84CAF">
        <w:rPr>
          <w:strike/>
          <w:lang w:val="fr-FR"/>
        </w:rPr>
        <w:t>:</w:t>
      </w:r>
      <w:r w:rsidRPr="008017B0">
        <w:rPr>
          <w:lang w:val="fr-FR"/>
        </w:rPr>
        <w:t xml:space="preserve"> </w:t>
      </w:r>
    </w:p>
    <w:p w:rsidR="00D4150B" w:rsidRPr="00F84CAF" w:rsidRDefault="00A304FC" w:rsidP="00A304FC">
      <w:pPr>
        <w:pStyle w:val="SingleTxtG"/>
        <w:rPr>
          <w:strike/>
        </w:rPr>
      </w:pPr>
      <w:r>
        <w:rPr>
          <w:strike/>
          <w:lang w:val="fr-FR"/>
        </w:rPr>
        <w:t>i)</w:t>
      </w:r>
      <w:r w:rsidR="00D4150B" w:rsidRPr="00F84CAF">
        <w:rPr>
          <w:strike/>
          <w:lang w:val="fr-FR"/>
        </w:rPr>
        <w:tab/>
        <w:t>des matières et objets de la classe 1 ;</w:t>
      </w:r>
    </w:p>
    <w:p w:rsidR="00D4150B" w:rsidRPr="00F84CAF" w:rsidRDefault="00A304FC" w:rsidP="00A304FC">
      <w:pPr>
        <w:pStyle w:val="SingleTxtG"/>
        <w:rPr>
          <w:strike/>
        </w:rPr>
      </w:pPr>
      <w:r>
        <w:rPr>
          <w:strike/>
          <w:lang w:val="fr-FR"/>
        </w:rPr>
        <w:t>ii)</w:t>
      </w:r>
      <w:r w:rsidR="00D4150B" w:rsidRPr="00F84CAF">
        <w:rPr>
          <w:strike/>
          <w:lang w:val="fr-FR"/>
        </w:rPr>
        <w:tab/>
        <w:t>des matières de la classe 2, groupes T, F, TF, TC, TO, TFC ou TOC selon 2.2.2.1.3 et les aérosols des groupes C, CO, F, FC, T, TF, TC, TO, TFC et TOC selon 2.2.2.1.6 ;</w:t>
      </w:r>
    </w:p>
    <w:p w:rsidR="00D4150B" w:rsidRPr="00F84CAF" w:rsidRDefault="00A304FC" w:rsidP="00A304FC">
      <w:pPr>
        <w:pStyle w:val="SingleTxtG"/>
        <w:rPr>
          <w:strike/>
        </w:rPr>
      </w:pPr>
      <w:r>
        <w:rPr>
          <w:strike/>
          <w:lang w:val="fr-FR"/>
        </w:rPr>
        <w:t>iii)</w:t>
      </w:r>
      <w:r w:rsidR="00D4150B" w:rsidRPr="00F84CAF">
        <w:rPr>
          <w:strike/>
          <w:lang w:val="fr-FR"/>
        </w:rPr>
        <w:tab/>
        <w:t>des matières des classes 4.1 ou 5.2 pour lesquelles une étiquette de danger du modèle No 1 est requise à la colonne (5) du tableau A du chapitre 3.2 ;</w:t>
      </w:r>
    </w:p>
    <w:p w:rsidR="00D4150B" w:rsidRPr="00F84CAF" w:rsidRDefault="00A304FC" w:rsidP="00A304FC">
      <w:pPr>
        <w:pStyle w:val="SingleTxtG"/>
        <w:rPr>
          <w:strike/>
        </w:rPr>
      </w:pPr>
      <w:r>
        <w:rPr>
          <w:strike/>
          <w:lang w:val="fr-FR"/>
        </w:rPr>
        <w:t>iv)</w:t>
      </w:r>
      <w:r w:rsidR="00D4150B" w:rsidRPr="00F84CAF">
        <w:rPr>
          <w:strike/>
          <w:lang w:val="fr-FR"/>
        </w:rPr>
        <w:tab/>
        <w:t>des matières de la classe 6.2 de la catégorie A ;</w:t>
      </w:r>
    </w:p>
    <w:p w:rsidR="00D4150B" w:rsidRPr="00F84CAF" w:rsidRDefault="00A304FC" w:rsidP="00A304FC">
      <w:pPr>
        <w:pStyle w:val="SingleTxtG"/>
        <w:rPr>
          <w:strike/>
        </w:rPr>
      </w:pPr>
      <w:r>
        <w:rPr>
          <w:strike/>
          <w:lang w:val="fr-FR"/>
        </w:rPr>
        <w:t>v)</w:t>
      </w:r>
      <w:r w:rsidR="00D4150B" w:rsidRPr="00F84CAF">
        <w:rPr>
          <w:strike/>
          <w:lang w:val="fr-FR"/>
        </w:rPr>
        <w:tab/>
        <w:t>des matières de la classe 7 autres que les Nos ONU 2908, 2909, 2910 et 2911 ;</w:t>
      </w:r>
    </w:p>
    <w:p w:rsidR="00D4150B" w:rsidRPr="00F84CAF" w:rsidRDefault="00A304FC" w:rsidP="00A304FC">
      <w:pPr>
        <w:pStyle w:val="SingleTxtG"/>
        <w:rPr>
          <w:strike/>
        </w:rPr>
      </w:pPr>
      <w:r>
        <w:rPr>
          <w:strike/>
          <w:lang w:val="fr-FR"/>
        </w:rPr>
        <w:t>vi)</w:t>
      </w:r>
      <w:r w:rsidR="00D4150B" w:rsidRPr="00F84CAF">
        <w:rPr>
          <w:strike/>
          <w:lang w:val="fr-FR"/>
        </w:rPr>
        <w:tab/>
        <w:t>des matières affectées au groupe d</w:t>
      </w:r>
      <w:r w:rsidR="00D4150B">
        <w:rPr>
          <w:strike/>
          <w:lang w:val="fr-FR"/>
        </w:rPr>
        <w:t>’</w:t>
      </w:r>
      <w:r w:rsidR="00D4150B" w:rsidRPr="00F84CAF">
        <w:rPr>
          <w:strike/>
          <w:lang w:val="fr-FR"/>
        </w:rPr>
        <w:t>emballage I ;</w:t>
      </w:r>
    </w:p>
    <w:p w:rsidR="00D4150B" w:rsidRPr="00F84CAF" w:rsidRDefault="00A304FC" w:rsidP="00A304FC">
      <w:pPr>
        <w:pStyle w:val="SingleTxtG"/>
        <w:rPr>
          <w:strike/>
        </w:rPr>
      </w:pPr>
      <w:r>
        <w:rPr>
          <w:strike/>
          <w:lang w:val="fr-FR"/>
        </w:rPr>
        <w:t>vii)</w:t>
      </w:r>
      <w:r w:rsidR="00D4150B" w:rsidRPr="00F84CAF">
        <w:rPr>
          <w:strike/>
          <w:lang w:val="fr-FR"/>
        </w:rPr>
        <w:tab/>
        <w:t>des matières en citernes ;</w:t>
      </w:r>
    </w:p>
    <w:p w:rsidR="00D4150B" w:rsidRPr="00F84CAF" w:rsidRDefault="00A304FC" w:rsidP="00A304FC">
      <w:pPr>
        <w:pStyle w:val="SingleTxtG"/>
        <w:rPr>
          <w:strike/>
          <w:lang w:val="fr-FR"/>
        </w:rPr>
      </w:pPr>
      <w:r>
        <w:rPr>
          <w:strike/>
          <w:lang w:val="fr-FR"/>
        </w:rPr>
        <w:t>b)</w:t>
      </w:r>
      <w:r w:rsidR="00D4150B" w:rsidRPr="00F84CAF">
        <w:rPr>
          <w:strike/>
          <w:lang w:val="fr-FR"/>
        </w:rPr>
        <w:tab/>
        <w:t>En cas de transport de marchandises dangereuses en colis autres que des citernes, les dispositions de l</w:t>
      </w:r>
      <w:r w:rsidR="00D4150B">
        <w:rPr>
          <w:strike/>
          <w:lang w:val="fr-FR"/>
        </w:rPr>
        <w:t>’</w:t>
      </w:r>
      <w:r w:rsidR="00D4150B" w:rsidRPr="00F84CAF">
        <w:rPr>
          <w:strike/>
          <w:lang w:val="fr-FR"/>
        </w:rPr>
        <w:t xml:space="preserve">ADN autres que celles du 1.1.3.6.2 ne sont pas applicables au transport : </w:t>
      </w:r>
    </w:p>
    <w:p w:rsidR="00D4150B" w:rsidRPr="00F84CAF" w:rsidRDefault="00D4150B" w:rsidP="00A304FC">
      <w:pPr>
        <w:pStyle w:val="SingleTxtG"/>
        <w:ind w:firstLine="567"/>
        <w:rPr>
          <w:strike/>
        </w:rPr>
      </w:pPr>
      <w:proofErr w:type="gramStart"/>
      <w:r w:rsidRPr="00F84CAF">
        <w:rPr>
          <w:strike/>
          <w:lang w:val="fr-FR"/>
        </w:rPr>
        <w:t>de</w:t>
      </w:r>
      <w:proofErr w:type="gramEnd"/>
      <w:r w:rsidRPr="00F84CAF">
        <w:rPr>
          <w:strike/>
          <w:lang w:val="fr-FR"/>
        </w:rPr>
        <w:t xml:space="preserve"> matières de la classe 2 du groupe F selon 2.2.2.1.3 ou des aérosols du groupe F selon 2.2.2.1.6 ;</w:t>
      </w:r>
      <w:r w:rsidRPr="00F84CAF">
        <w:rPr>
          <w:strike/>
        </w:rPr>
        <w:t xml:space="preserve"> </w:t>
      </w:r>
    </w:p>
    <w:p w:rsidR="00D4150B" w:rsidRPr="00F84CAF" w:rsidRDefault="00D4150B" w:rsidP="00A304FC">
      <w:pPr>
        <w:pStyle w:val="SingleTxtG"/>
        <w:ind w:firstLine="567"/>
        <w:rPr>
          <w:strike/>
        </w:rPr>
      </w:pPr>
      <w:proofErr w:type="gramStart"/>
      <w:r w:rsidRPr="00F84CAF">
        <w:rPr>
          <w:strike/>
          <w:lang w:val="fr-FR"/>
        </w:rPr>
        <w:t>ni</w:t>
      </w:r>
      <w:proofErr w:type="gramEnd"/>
      <w:r w:rsidRPr="00F84CAF">
        <w:rPr>
          <w:strike/>
          <w:lang w:val="fr-FR"/>
        </w:rPr>
        <w:t xml:space="preserve"> des matières affectées au groupe d</w:t>
      </w:r>
      <w:r>
        <w:rPr>
          <w:strike/>
          <w:lang w:val="fr-FR"/>
        </w:rPr>
        <w:t>’</w:t>
      </w:r>
      <w:r w:rsidRPr="00F84CAF">
        <w:rPr>
          <w:strike/>
          <w:lang w:val="fr-FR"/>
        </w:rPr>
        <w:t>emballage I à l</w:t>
      </w:r>
      <w:r>
        <w:rPr>
          <w:strike/>
          <w:lang w:val="fr-FR"/>
        </w:rPr>
        <w:t>’</w:t>
      </w:r>
      <w:r w:rsidRPr="00F84CAF">
        <w:rPr>
          <w:strike/>
          <w:lang w:val="fr-FR"/>
        </w:rPr>
        <w:t>exception des matières de la classe 6.1 ;</w:t>
      </w:r>
    </w:p>
    <w:p w:rsidR="00D4150B" w:rsidRDefault="00D4150B" w:rsidP="0088423E">
      <w:pPr>
        <w:pStyle w:val="SingleTxtG"/>
        <w:spacing w:after="240"/>
        <w:ind w:firstLine="567"/>
        <w:rPr>
          <w:strike/>
          <w:lang w:val="fr-FR"/>
        </w:rPr>
      </w:pPr>
      <w:proofErr w:type="gramStart"/>
      <w:r w:rsidRPr="00F84CAF">
        <w:rPr>
          <w:strike/>
          <w:lang w:val="fr-FR"/>
        </w:rPr>
        <w:t>lorsque</w:t>
      </w:r>
      <w:proofErr w:type="gramEnd"/>
      <w:r w:rsidRPr="00F84CAF">
        <w:rPr>
          <w:strike/>
          <w:lang w:val="fr-FR"/>
        </w:rPr>
        <w:t xml:space="preserve"> la masse brute totale de ces marchandises ne dépasse pas 300 kg.</w:t>
      </w:r>
    </w:p>
    <w:tbl>
      <w:tblPr>
        <w:tblW w:w="7370" w:type="dxa"/>
        <w:tblInd w:w="1134" w:type="dxa"/>
        <w:tblLayout w:type="fixed"/>
        <w:tblCellMar>
          <w:left w:w="0" w:type="dxa"/>
          <w:right w:w="0" w:type="dxa"/>
        </w:tblCellMar>
        <w:tblLook w:val="0000" w:firstRow="0" w:lastRow="0" w:firstColumn="0" w:lastColumn="0" w:noHBand="0" w:noVBand="0"/>
      </w:tblPr>
      <w:tblGrid>
        <w:gridCol w:w="735"/>
        <w:gridCol w:w="8"/>
        <w:gridCol w:w="4156"/>
        <w:gridCol w:w="823"/>
        <w:gridCol w:w="824"/>
        <w:gridCol w:w="824"/>
      </w:tblGrid>
      <w:tr w:rsidR="006A6F1C" w:rsidRPr="006A6F1C" w:rsidTr="0088423E">
        <w:trPr>
          <w:tblHeader/>
        </w:trPr>
        <w:tc>
          <w:tcPr>
            <w:tcW w:w="743" w:type="dxa"/>
            <w:gridSpan w:val="2"/>
            <w:tcBorders>
              <w:top w:val="single" w:sz="4" w:space="0" w:color="auto"/>
              <w:bottom w:val="single" w:sz="12" w:space="0" w:color="auto"/>
            </w:tcBorders>
            <w:shd w:val="clear" w:color="auto" w:fill="auto"/>
            <w:vAlign w:val="bottom"/>
          </w:tcPr>
          <w:p w:rsidR="00D4150B" w:rsidRPr="006A6F1C" w:rsidRDefault="00D4150B" w:rsidP="006A6F1C">
            <w:pPr>
              <w:suppressAutoHyphens w:val="0"/>
              <w:spacing w:before="80" w:after="80" w:line="200" w:lineRule="exact"/>
              <w:rPr>
                <w:i/>
                <w:sz w:val="16"/>
                <w:lang w:val="nl-NL"/>
              </w:rPr>
            </w:pPr>
            <w:r w:rsidRPr="006A6F1C">
              <w:rPr>
                <w:i/>
                <w:sz w:val="16"/>
                <w:lang w:val="fr-FR"/>
              </w:rPr>
              <w:t>Classe</w:t>
            </w:r>
          </w:p>
        </w:tc>
        <w:tc>
          <w:tcPr>
            <w:tcW w:w="4156" w:type="dxa"/>
            <w:tcBorders>
              <w:top w:val="single" w:sz="4" w:space="0" w:color="auto"/>
              <w:bottom w:val="single" w:sz="12" w:space="0" w:color="auto"/>
            </w:tcBorders>
            <w:shd w:val="clear" w:color="auto" w:fill="auto"/>
            <w:vAlign w:val="bottom"/>
          </w:tcPr>
          <w:p w:rsidR="00D4150B" w:rsidRPr="006A6F1C" w:rsidRDefault="00D4150B" w:rsidP="006A6F1C">
            <w:pPr>
              <w:suppressAutoHyphens w:val="0"/>
              <w:spacing w:before="80" w:after="80" w:line="200" w:lineRule="exact"/>
              <w:rPr>
                <w:i/>
                <w:sz w:val="16"/>
              </w:rPr>
            </w:pPr>
            <w:r w:rsidRPr="006A6F1C">
              <w:rPr>
                <w:i/>
                <w:sz w:val="16"/>
                <w:lang w:val="fr-FR"/>
              </w:rPr>
              <w:t xml:space="preserve">Matières ou objets en colis </w:t>
            </w:r>
          </w:p>
        </w:tc>
        <w:tc>
          <w:tcPr>
            <w:tcW w:w="2471" w:type="dxa"/>
            <w:gridSpan w:val="3"/>
            <w:tcBorders>
              <w:top w:val="single" w:sz="4" w:space="0" w:color="auto"/>
              <w:bottom w:val="single" w:sz="12" w:space="0" w:color="auto"/>
            </w:tcBorders>
            <w:shd w:val="clear" w:color="auto" w:fill="auto"/>
            <w:vAlign w:val="bottom"/>
          </w:tcPr>
          <w:p w:rsidR="00D4150B" w:rsidRPr="006A6F1C" w:rsidRDefault="00D4150B" w:rsidP="002316AC">
            <w:pPr>
              <w:suppressAutoHyphens w:val="0"/>
              <w:spacing w:before="80" w:after="80" w:line="200" w:lineRule="exact"/>
              <w:jc w:val="right"/>
              <w:rPr>
                <w:i/>
                <w:sz w:val="16"/>
              </w:rPr>
            </w:pPr>
            <w:r w:rsidRPr="006A6F1C">
              <w:rPr>
                <w:i/>
                <w:sz w:val="16"/>
                <w:lang w:val="fr-FR"/>
              </w:rPr>
              <w:t>Quantités exemptées (en kg)</w:t>
            </w:r>
          </w:p>
        </w:tc>
      </w:tr>
      <w:tr w:rsidR="006A6F1C" w:rsidRPr="0088423E" w:rsidTr="0088423E">
        <w:tc>
          <w:tcPr>
            <w:tcW w:w="735" w:type="dxa"/>
            <w:tcBorders>
              <w:top w:val="single" w:sz="12" w:space="0" w:color="auto"/>
              <w:bottom w:val="single" w:sz="4" w:space="0" w:color="auto"/>
            </w:tcBorders>
            <w:shd w:val="clear" w:color="auto" w:fill="auto"/>
          </w:tcPr>
          <w:p w:rsidR="00D4150B" w:rsidRPr="006A6F1C" w:rsidRDefault="00D4150B" w:rsidP="006A6F1C">
            <w:pPr>
              <w:suppressAutoHyphens w:val="0"/>
              <w:spacing w:before="40" w:after="40" w:line="220" w:lineRule="exact"/>
              <w:rPr>
                <w:b/>
                <w:i/>
                <w:sz w:val="18"/>
              </w:rPr>
            </w:pPr>
            <w:r w:rsidRPr="006A6F1C">
              <w:rPr>
                <w:b/>
                <w:i/>
                <w:sz w:val="18"/>
                <w:lang w:val="fr-FR"/>
              </w:rPr>
              <w:t>Toutes</w:t>
            </w:r>
          </w:p>
        </w:tc>
        <w:tc>
          <w:tcPr>
            <w:tcW w:w="4164" w:type="dxa"/>
            <w:gridSpan w:val="2"/>
            <w:tcBorders>
              <w:top w:val="single" w:sz="12" w:space="0" w:color="auto"/>
              <w:bottom w:val="single" w:sz="4" w:space="0" w:color="auto"/>
            </w:tcBorders>
            <w:shd w:val="clear" w:color="auto" w:fill="auto"/>
          </w:tcPr>
          <w:p w:rsidR="00D4150B" w:rsidRPr="006A6F1C" w:rsidRDefault="00D4150B" w:rsidP="006A6F1C">
            <w:pPr>
              <w:suppressAutoHyphens w:val="0"/>
              <w:spacing w:before="40" w:after="40" w:line="220" w:lineRule="exact"/>
              <w:rPr>
                <w:b/>
                <w:i/>
                <w:sz w:val="18"/>
              </w:rPr>
            </w:pPr>
            <w:r w:rsidRPr="006A6F1C">
              <w:rPr>
                <w:b/>
                <w:i/>
                <w:sz w:val="18"/>
                <w:lang w:val="fr-FR"/>
              </w:rPr>
              <w:t>Transport en citernes de toute classe</w:t>
            </w:r>
          </w:p>
        </w:tc>
        <w:tc>
          <w:tcPr>
            <w:tcW w:w="823" w:type="dxa"/>
            <w:tcBorders>
              <w:top w:val="single" w:sz="12"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b/>
                <w:i/>
                <w:sz w:val="18"/>
                <w:lang w:val="nl-NL"/>
              </w:rPr>
            </w:pPr>
          </w:p>
        </w:tc>
        <w:tc>
          <w:tcPr>
            <w:tcW w:w="824" w:type="dxa"/>
            <w:tcBorders>
              <w:top w:val="single" w:sz="12"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b/>
                <w:i/>
                <w:sz w:val="18"/>
                <w:lang w:val="nl-NL"/>
              </w:rPr>
            </w:pPr>
          </w:p>
        </w:tc>
        <w:tc>
          <w:tcPr>
            <w:tcW w:w="824" w:type="dxa"/>
            <w:tcBorders>
              <w:top w:val="single" w:sz="12" w:space="0" w:color="auto"/>
              <w:bottom w:val="single" w:sz="4" w:space="0" w:color="auto"/>
            </w:tcBorders>
            <w:shd w:val="clear" w:color="auto" w:fill="auto"/>
            <w:vAlign w:val="bottom"/>
          </w:tcPr>
          <w:p w:rsidR="00D4150B" w:rsidRPr="0088423E" w:rsidRDefault="00D4150B" w:rsidP="006A6F1C">
            <w:pPr>
              <w:suppressAutoHyphens w:val="0"/>
              <w:spacing w:before="40" w:after="40" w:line="220" w:lineRule="exact"/>
              <w:jc w:val="right"/>
              <w:rPr>
                <w:b/>
                <w:sz w:val="18"/>
              </w:rPr>
            </w:pPr>
            <w:r w:rsidRPr="0088423E">
              <w:rPr>
                <w:b/>
                <w:sz w:val="18"/>
                <w:lang w:val="fr-FR"/>
              </w:rPr>
              <w:t>0</w:t>
            </w:r>
          </w:p>
        </w:tc>
      </w:tr>
      <w:tr w:rsidR="006A6F1C" w:rsidRPr="006A6F1C" w:rsidTr="0088423E">
        <w:tc>
          <w:tcPr>
            <w:tcW w:w="735" w:type="dxa"/>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rPr>
            </w:pPr>
            <w:r w:rsidRPr="0088423E">
              <w:rPr>
                <w:b/>
                <w:sz w:val="18"/>
                <w:lang w:val="fr-FR"/>
              </w:rPr>
              <w:t>1</w:t>
            </w: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Matières et objets de la classe 1</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0</w:t>
            </w:r>
          </w:p>
        </w:tc>
      </w:tr>
      <w:tr w:rsidR="006A6F1C" w:rsidRPr="006A6F1C" w:rsidTr="0088423E">
        <w:tc>
          <w:tcPr>
            <w:tcW w:w="735" w:type="dxa"/>
            <w:vMerge w:val="restart"/>
            <w:tcBorders>
              <w:top w:val="single" w:sz="4" w:space="0" w:color="auto"/>
            </w:tcBorders>
            <w:shd w:val="clear" w:color="auto" w:fill="auto"/>
          </w:tcPr>
          <w:p w:rsidR="00D4150B" w:rsidRPr="0088423E" w:rsidRDefault="00D4150B" w:rsidP="006A6F1C">
            <w:pPr>
              <w:suppressAutoHyphens w:val="0"/>
              <w:spacing w:before="40" w:after="40" w:line="220" w:lineRule="exact"/>
              <w:rPr>
                <w:b/>
                <w:sz w:val="18"/>
              </w:rPr>
            </w:pPr>
            <w:r w:rsidRPr="0088423E">
              <w:rPr>
                <w:b/>
                <w:sz w:val="18"/>
                <w:lang w:val="fr-FR"/>
              </w:rPr>
              <w:t>2</w:t>
            </w:r>
          </w:p>
        </w:tc>
        <w:tc>
          <w:tcPr>
            <w:tcW w:w="4164" w:type="dxa"/>
            <w:gridSpan w:val="2"/>
            <w:tcBorders>
              <w:top w:val="single" w:sz="4" w:space="0" w:color="auto"/>
              <w:bottom w:val="single" w:sz="4" w:space="0" w:color="auto"/>
            </w:tcBorders>
            <w:shd w:val="clear" w:color="auto" w:fill="auto"/>
          </w:tcPr>
          <w:p w:rsidR="00D4150B" w:rsidRPr="006A6F1C" w:rsidRDefault="0088423E" w:rsidP="0088423E">
            <w:pPr>
              <w:tabs>
                <w:tab w:val="left" w:pos="252"/>
              </w:tabs>
              <w:suppressAutoHyphens w:val="0"/>
              <w:spacing w:before="40" w:after="40" w:line="220" w:lineRule="exact"/>
              <w:rPr>
                <w:sz w:val="18"/>
                <w:szCs w:val="18"/>
              </w:rPr>
            </w:pPr>
            <w:r>
              <w:rPr>
                <w:sz w:val="18"/>
                <w:szCs w:val="18"/>
                <w:lang w:val="fr-FR"/>
              </w:rPr>
              <w:t>-</w:t>
            </w:r>
            <w:r>
              <w:rPr>
                <w:sz w:val="18"/>
                <w:szCs w:val="18"/>
                <w:lang w:val="fr-FR"/>
              </w:rPr>
              <w:tab/>
            </w:r>
            <w:r w:rsidR="00D4150B" w:rsidRPr="006A6F1C">
              <w:rPr>
                <w:sz w:val="18"/>
                <w:szCs w:val="18"/>
                <w:lang w:val="fr-FR"/>
              </w:rPr>
              <w:t xml:space="preserve">Matières et objets de la classe 2, groupes T, F, TF, TC, TO, TFC ou TOC selon le paragraphe 2.2.2.1.3 et </w:t>
            </w:r>
          </w:p>
          <w:p w:rsidR="00D4150B" w:rsidRPr="006A6F1C" w:rsidRDefault="0088423E" w:rsidP="0088423E">
            <w:pPr>
              <w:tabs>
                <w:tab w:val="left" w:pos="252"/>
              </w:tabs>
              <w:suppressAutoHyphens w:val="0"/>
              <w:spacing w:before="40" w:after="40" w:line="220" w:lineRule="exact"/>
              <w:rPr>
                <w:sz w:val="18"/>
              </w:rPr>
            </w:pPr>
            <w:r>
              <w:rPr>
                <w:sz w:val="18"/>
                <w:lang w:val="fr-FR"/>
              </w:rPr>
              <w:t>-</w:t>
            </w:r>
            <w:r>
              <w:rPr>
                <w:sz w:val="18"/>
                <w:lang w:val="fr-FR"/>
              </w:rPr>
              <w:tab/>
            </w:r>
            <w:r w:rsidR="00D4150B" w:rsidRPr="006A6F1C">
              <w:rPr>
                <w:sz w:val="18"/>
                <w:lang w:val="fr-FR"/>
              </w:rPr>
              <w:t>Aérosols des groupes C, CO, F, FC, T, TF, TC, TO, TFC et TOC selon le paragraphe 2.2.2.1.6</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p w:rsidR="00D4150B" w:rsidRPr="006A6F1C" w:rsidRDefault="00D4150B" w:rsidP="006A6F1C">
            <w:pPr>
              <w:suppressAutoHyphens w:val="0"/>
              <w:spacing w:before="40" w:after="40" w:line="220" w:lineRule="exact"/>
              <w:jc w:val="right"/>
              <w:rPr>
                <w:sz w:val="18"/>
              </w:rPr>
            </w:pPr>
            <w:r w:rsidRPr="006A6F1C">
              <w:rPr>
                <w:sz w:val="18"/>
                <w:lang w:val="fr-FR"/>
              </w:rPr>
              <w:t>0</w:t>
            </w:r>
          </w:p>
        </w:tc>
      </w:tr>
      <w:tr w:rsidR="006A6F1C" w:rsidRPr="006A6F1C" w:rsidTr="0088423E">
        <w:tc>
          <w:tcPr>
            <w:tcW w:w="735" w:type="dxa"/>
            <w:vMerge/>
            <w:shd w:val="clear" w:color="auto" w:fill="auto"/>
          </w:tcPr>
          <w:p w:rsidR="00D4150B" w:rsidRPr="006A6F1C" w:rsidRDefault="00D4150B" w:rsidP="006A6F1C">
            <w:pPr>
              <w:suppressAutoHyphens w:val="0"/>
              <w:spacing w:before="40" w:after="40" w:line="220" w:lineRule="exact"/>
              <w:rPr>
                <w:sz w:val="18"/>
                <w:lang w:val="nl-NL"/>
              </w:rPr>
            </w:pPr>
          </w:p>
        </w:tc>
        <w:tc>
          <w:tcPr>
            <w:tcW w:w="4164" w:type="dxa"/>
            <w:gridSpan w:val="2"/>
            <w:tcBorders>
              <w:top w:val="single" w:sz="4" w:space="0" w:color="auto"/>
              <w:bottom w:val="single" w:sz="4" w:space="0" w:color="auto"/>
            </w:tcBorders>
            <w:shd w:val="clear" w:color="auto" w:fill="auto"/>
          </w:tcPr>
          <w:p w:rsidR="00D4150B" w:rsidRPr="006A6F1C" w:rsidRDefault="0088423E" w:rsidP="0088423E">
            <w:pPr>
              <w:tabs>
                <w:tab w:val="left" w:pos="252"/>
              </w:tabs>
              <w:suppressAutoHyphens w:val="0"/>
              <w:spacing w:before="40" w:after="40" w:line="220" w:lineRule="exact"/>
              <w:rPr>
                <w:sz w:val="18"/>
              </w:rPr>
            </w:pPr>
            <w:r>
              <w:rPr>
                <w:sz w:val="18"/>
                <w:lang w:val="fr-FR"/>
              </w:rPr>
              <w:t>-</w:t>
            </w:r>
            <w:r>
              <w:rPr>
                <w:sz w:val="18"/>
                <w:lang w:val="fr-FR"/>
              </w:rPr>
              <w:tab/>
            </w:r>
            <w:r w:rsidR="00D4150B" w:rsidRPr="006A6F1C">
              <w:rPr>
                <w:sz w:val="18"/>
                <w:lang w:val="fr-FR"/>
              </w:rPr>
              <w:t>Matières et objets de la classe 2 du groupe F selon le</w:t>
            </w:r>
            <w:r>
              <w:rPr>
                <w:sz w:val="18"/>
                <w:lang w:val="fr-FR"/>
              </w:rPr>
              <w:t> </w:t>
            </w:r>
            <w:r w:rsidR="00D4150B" w:rsidRPr="006A6F1C">
              <w:rPr>
                <w:sz w:val="18"/>
                <w:lang w:val="fr-FR"/>
              </w:rPr>
              <w:t xml:space="preserve">paragraphe 2.2.2.1.3 </w:t>
            </w:r>
            <w:proofErr w:type="gramStart"/>
            <w:r w:rsidR="00D4150B" w:rsidRPr="006A6F1C">
              <w:rPr>
                <w:sz w:val="18"/>
                <w:lang w:val="fr-FR"/>
              </w:rPr>
              <w:t>ou</w:t>
            </w:r>
            <w:proofErr w:type="gramEnd"/>
          </w:p>
          <w:p w:rsidR="00D4150B" w:rsidRPr="006A6F1C" w:rsidRDefault="0088423E" w:rsidP="0088423E">
            <w:pPr>
              <w:tabs>
                <w:tab w:val="left" w:pos="252"/>
              </w:tabs>
              <w:suppressAutoHyphens w:val="0"/>
              <w:spacing w:before="40" w:after="40" w:line="220" w:lineRule="exact"/>
              <w:rPr>
                <w:sz w:val="18"/>
              </w:rPr>
            </w:pPr>
            <w:r>
              <w:rPr>
                <w:sz w:val="18"/>
              </w:rPr>
              <w:t>-</w:t>
            </w:r>
            <w:r>
              <w:rPr>
                <w:sz w:val="18"/>
              </w:rPr>
              <w:tab/>
            </w:r>
            <w:r w:rsidR="00D4150B" w:rsidRPr="006A6F1C">
              <w:rPr>
                <w:sz w:val="18"/>
              </w:rPr>
              <w:t>A</w:t>
            </w:r>
            <w:proofErr w:type="spellStart"/>
            <w:r w:rsidR="00D4150B" w:rsidRPr="006A6F1C">
              <w:rPr>
                <w:sz w:val="18"/>
                <w:lang w:val="fr-FR"/>
              </w:rPr>
              <w:t>érosols</w:t>
            </w:r>
            <w:proofErr w:type="spellEnd"/>
            <w:r w:rsidR="00D4150B" w:rsidRPr="006A6F1C">
              <w:rPr>
                <w:sz w:val="18"/>
                <w:lang w:val="fr-FR"/>
              </w:rPr>
              <w:t xml:space="preserve"> du groupe F selon le paragraphe 2.2.2.1.6</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p w:rsidR="00D4150B" w:rsidRPr="006A6F1C" w:rsidRDefault="00D4150B" w:rsidP="006A6F1C">
            <w:pPr>
              <w:suppressAutoHyphens w:val="0"/>
              <w:spacing w:before="40" w:after="40" w:line="220" w:lineRule="exact"/>
              <w:jc w:val="right"/>
              <w:rPr>
                <w:sz w:val="18"/>
              </w:rPr>
            </w:pPr>
            <w:r w:rsidRPr="006A6F1C">
              <w:rPr>
                <w:sz w:val="18"/>
                <w:lang w:val="fr-FR"/>
              </w:rPr>
              <w:t>300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tcBorders>
              <w:bottom w:val="single" w:sz="4" w:space="0" w:color="auto"/>
            </w:tcBorders>
            <w:shd w:val="clear" w:color="auto" w:fill="auto"/>
          </w:tcPr>
          <w:p w:rsidR="00D4150B" w:rsidRPr="006A6F1C" w:rsidRDefault="00D4150B" w:rsidP="006A6F1C">
            <w:pPr>
              <w:suppressAutoHyphens w:val="0"/>
              <w:spacing w:before="40" w:after="40" w:line="220" w:lineRule="exact"/>
              <w:rPr>
                <w:sz w:val="18"/>
                <w:lang w:val="nl-NL"/>
              </w:rPr>
            </w:pP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Toute autre matière de la classe 2</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3 000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val="restart"/>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rPr>
            </w:pPr>
            <w:r w:rsidRPr="0088423E">
              <w:rPr>
                <w:b/>
                <w:sz w:val="18"/>
                <w:lang w:val="fr-FR"/>
              </w:rPr>
              <w:t>3</w:t>
            </w: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Matières et objets de la classe 3, groupe d’emballage I</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lang w:val="nl-NL"/>
              </w:rPr>
            </w:pP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Toute autre matière de la classe 3</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3 000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val="restart"/>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rPr>
            </w:pPr>
            <w:r w:rsidRPr="0088423E">
              <w:rPr>
                <w:b/>
                <w:sz w:val="18"/>
                <w:lang w:val="fr-FR"/>
              </w:rPr>
              <w:t>4.1</w:t>
            </w:r>
          </w:p>
        </w:tc>
        <w:tc>
          <w:tcPr>
            <w:tcW w:w="4164" w:type="dxa"/>
            <w:gridSpan w:val="2"/>
            <w:tcBorders>
              <w:top w:val="single" w:sz="4" w:space="0" w:color="auto"/>
              <w:bottom w:val="single" w:sz="4" w:space="0" w:color="auto"/>
            </w:tcBorders>
            <w:shd w:val="clear" w:color="auto" w:fill="auto"/>
          </w:tcPr>
          <w:p w:rsidR="00D4150B" w:rsidRPr="006A6F1C" w:rsidRDefault="00D4150B" w:rsidP="0088423E">
            <w:pPr>
              <w:suppressAutoHyphens w:val="0"/>
              <w:spacing w:before="40" w:after="40" w:line="220" w:lineRule="exact"/>
              <w:rPr>
                <w:sz w:val="18"/>
              </w:rPr>
            </w:pPr>
            <w:r w:rsidRPr="006A6F1C">
              <w:rPr>
                <w:sz w:val="18"/>
                <w:lang w:val="fr-FR"/>
              </w:rPr>
              <w:t>Matières et objets de la classe 4.1 pour lesquelles une</w:t>
            </w:r>
            <w:r w:rsidR="0088423E">
              <w:rPr>
                <w:sz w:val="18"/>
                <w:lang w:val="fr-FR"/>
              </w:rPr>
              <w:t> </w:t>
            </w:r>
            <w:r w:rsidRPr="006A6F1C">
              <w:rPr>
                <w:sz w:val="18"/>
                <w:lang w:val="fr-FR"/>
              </w:rPr>
              <w:t xml:space="preserve">étiquette de danger du modèle </w:t>
            </w:r>
            <w:r w:rsidRPr="006A6F1C">
              <w:rPr>
                <w:rFonts w:eastAsia="MS Mincho"/>
                <w:sz w:val="18"/>
                <w:szCs w:val="22"/>
                <w:lang w:val="fr-FR"/>
              </w:rPr>
              <w:t>n</w:t>
            </w:r>
            <w:r w:rsidRPr="006A6F1C">
              <w:rPr>
                <w:rFonts w:eastAsia="MS Mincho"/>
                <w:sz w:val="18"/>
                <w:szCs w:val="22"/>
                <w:vertAlign w:val="superscript"/>
                <w:lang w:val="fr-FR"/>
              </w:rPr>
              <w:t>o</w:t>
            </w:r>
            <w:r w:rsidRPr="006A6F1C">
              <w:rPr>
                <w:sz w:val="18"/>
                <w:lang w:val="fr-FR"/>
              </w:rPr>
              <w:t xml:space="preserve"> 1 est requise </w:t>
            </w:r>
            <w:r w:rsidR="0088423E">
              <w:rPr>
                <w:sz w:val="18"/>
                <w:lang w:val="fr-FR"/>
              </w:rPr>
              <w:br/>
            </w:r>
            <w:r w:rsidRPr="006A6F1C">
              <w:rPr>
                <w:sz w:val="18"/>
                <w:lang w:val="fr-FR"/>
              </w:rPr>
              <w:t>à la colonne (5) du tableau A du chapitre 3.2</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0</w:t>
            </w:r>
          </w:p>
        </w:tc>
      </w:tr>
      <w:tr w:rsidR="006A6F1C" w:rsidRPr="006A6F1C" w:rsidTr="0088423E">
        <w:tc>
          <w:tcPr>
            <w:tcW w:w="735" w:type="dxa"/>
            <w:vMerge/>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lang w:val="nl-NL"/>
              </w:rPr>
            </w:pP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Toute autre matière et objet de la classe 4.1, groupe d’emballage I</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lang w:val="nl-NL"/>
              </w:rPr>
            </w:pP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Toute autre matière et objet de la classe 4.1</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3 000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val="restart"/>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rPr>
            </w:pPr>
            <w:r w:rsidRPr="0088423E">
              <w:rPr>
                <w:b/>
                <w:sz w:val="18"/>
                <w:lang w:val="fr-FR"/>
              </w:rPr>
              <w:t>4.2</w:t>
            </w: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Matières et objets de la classe 4.2, groupe d’emballage I</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lang w:val="nl-NL"/>
              </w:rPr>
            </w:pP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Toute autre matière et objet de la classe 4.2</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3 000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val="restart"/>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rPr>
            </w:pPr>
            <w:r w:rsidRPr="0088423E">
              <w:rPr>
                <w:b/>
                <w:sz w:val="18"/>
                <w:lang w:val="fr-FR"/>
              </w:rPr>
              <w:t>4.3</w:t>
            </w:r>
          </w:p>
        </w:tc>
        <w:tc>
          <w:tcPr>
            <w:tcW w:w="4164" w:type="dxa"/>
            <w:gridSpan w:val="2"/>
            <w:tcBorders>
              <w:top w:val="single" w:sz="4" w:space="0" w:color="auto"/>
              <w:bottom w:val="single" w:sz="4" w:space="0" w:color="auto"/>
            </w:tcBorders>
            <w:shd w:val="clear" w:color="auto" w:fill="auto"/>
          </w:tcPr>
          <w:p w:rsidR="00D4150B" w:rsidRPr="006A6F1C" w:rsidRDefault="00D4150B" w:rsidP="0088423E">
            <w:pPr>
              <w:suppressAutoHyphens w:val="0"/>
              <w:spacing w:before="40" w:after="40" w:line="220" w:lineRule="exact"/>
              <w:rPr>
                <w:sz w:val="18"/>
              </w:rPr>
            </w:pPr>
            <w:r w:rsidRPr="006A6F1C">
              <w:rPr>
                <w:sz w:val="18"/>
                <w:lang w:val="fr-FR"/>
              </w:rPr>
              <w:t>Matières et objets de la classe 4.3, groupe d’emballage</w:t>
            </w:r>
            <w:r w:rsidR="0088423E">
              <w:rPr>
                <w:sz w:val="18"/>
                <w:lang w:val="fr-FR"/>
              </w:rPr>
              <w:t> </w:t>
            </w:r>
            <w:r w:rsidRPr="006A6F1C">
              <w:rPr>
                <w:sz w:val="18"/>
                <w:lang w:val="fr-FR"/>
              </w:rPr>
              <w:t>I</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lang w:val="nl-NL"/>
              </w:rPr>
            </w:pP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Toute autre matière et objet de la classe 4.3</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3 000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val="restart"/>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rPr>
            </w:pPr>
            <w:r w:rsidRPr="0088423E">
              <w:rPr>
                <w:b/>
                <w:sz w:val="18"/>
                <w:lang w:val="fr-FR"/>
              </w:rPr>
              <w:t>5.1</w:t>
            </w:r>
          </w:p>
        </w:tc>
        <w:tc>
          <w:tcPr>
            <w:tcW w:w="4164" w:type="dxa"/>
            <w:gridSpan w:val="2"/>
            <w:tcBorders>
              <w:top w:val="single" w:sz="4" w:space="0" w:color="auto"/>
              <w:bottom w:val="single" w:sz="4" w:space="0" w:color="auto"/>
            </w:tcBorders>
            <w:shd w:val="clear" w:color="auto" w:fill="auto"/>
          </w:tcPr>
          <w:p w:rsidR="00D4150B" w:rsidRPr="006A6F1C" w:rsidRDefault="00D4150B" w:rsidP="0088423E">
            <w:pPr>
              <w:suppressAutoHyphens w:val="0"/>
              <w:spacing w:before="40" w:after="40" w:line="220" w:lineRule="exact"/>
              <w:rPr>
                <w:sz w:val="18"/>
              </w:rPr>
            </w:pPr>
            <w:r w:rsidRPr="006A6F1C">
              <w:rPr>
                <w:sz w:val="18"/>
                <w:lang w:val="fr-FR"/>
              </w:rPr>
              <w:t>Matières et objets de la classe 5.1, groupe d’emballage</w:t>
            </w:r>
            <w:r w:rsidR="0088423E">
              <w:rPr>
                <w:sz w:val="18"/>
                <w:lang w:val="fr-FR"/>
              </w:rPr>
              <w:t> </w:t>
            </w:r>
            <w:r w:rsidRPr="006A6F1C">
              <w:rPr>
                <w:sz w:val="18"/>
                <w:lang w:val="fr-FR"/>
              </w:rPr>
              <w:t>I</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lang w:val="nl-NL"/>
              </w:rPr>
            </w:pP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 xml:space="preserve">Toute autre matière et objet de la classe 5.1 </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3 000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val="restart"/>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rPr>
            </w:pPr>
            <w:r w:rsidRPr="0088423E">
              <w:rPr>
                <w:b/>
                <w:sz w:val="18"/>
                <w:lang w:val="fr-FR"/>
              </w:rPr>
              <w:t>5.2</w:t>
            </w:r>
          </w:p>
        </w:tc>
        <w:tc>
          <w:tcPr>
            <w:tcW w:w="4164" w:type="dxa"/>
            <w:gridSpan w:val="2"/>
            <w:tcBorders>
              <w:top w:val="single" w:sz="4" w:space="0" w:color="auto"/>
              <w:bottom w:val="single" w:sz="4" w:space="0" w:color="auto"/>
            </w:tcBorders>
            <w:shd w:val="clear" w:color="auto" w:fill="auto"/>
          </w:tcPr>
          <w:p w:rsidR="00D4150B" w:rsidRPr="006A6F1C" w:rsidRDefault="00D4150B" w:rsidP="0088423E">
            <w:pPr>
              <w:suppressAutoHyphens w:val="0"/>
              <w:spacing w:before="40" w:after="40" w:line="220" w:lineRule="exact"/>
              <w:rPr>
                <w:sz w:val="18"/>
              </w:rPr>
            </w:pPr>
            <w:r w:rsidRPr="006A6F1C">
              <w:rPr>
                <w:sz w:val="18"/>
              </w:rPr>
              <w:t>M</w:t>
            </w:r>
            <w:proofErr w:type="spellStart"/>
            <w:r w:rsidRPr="006A6F1C">
              <w:rPr>
                <w:sz w:val="18"/>
                <w:lang w:val="fr-FR"/>
              </w:rPr>
              <w:t>atières</w:t>
            </w:r>
            <w:proofErr w:type="spellEnd"/>
            <w:r w:rsidRPr="006A6F1C">
              <w:rPr>
                <w:sz w:val="18"/>
                <w:lang w:val="fr-FR"/>
              </w:rPr>
              <w:t xml:space="preserve"> et objets de la classe 5.2 pour lesquelles une</w:t>
            </w:r>
            <w:r w:rsidR="0088423E">
              <w:rPr>
                <w:sz w:val="18"/>
                <w:lang w:val="fr-FR"/>
              </w:rPr>
              <w:t> </w:t>
            </w:r>
            <w:r w:rsidRPr="006A6F1C">
              <w:rPr>
                <w:sz w:val="18"/>
                <w:lang w:val="fr-FR"/>
              </w:rPr>
              <w:t xml:space="preserve">étiquette de danger du modèle </w:t>
            </w:r>
            <w:r w:rsidRPr="006A6F1C">
              <w:rPr>
                <w:rFonts w:eastAsia="MS Mincho"/>
                <w:sz w:val="18"/>
                <w:szCs w:val="22"/>
                <w:lang w:val="fr-FR"/>
              </w:rPr>
              <w:t>n</w:t>
            </w:r>
            <w:r w:rsidRPr="006A6F1C">
              <w:rPr>
                <w:rFonts w:eastAsia="MS Mincho"/>
                <w:sz w:val="18"/>
                <w:szCs w:val="22"/>
                <w:vertAlign w:val="superscript"/>
                <w:lang w:val="fr-FR"/>
              </w:rPr>
              <w:t>o</w:t>
            </w:r>
            <w:r w:rsidRPr="006A6F1C">
              <w:rPr>
                <w:sz w:val="18"/>
                <w:lang w:val="fr-FR"/>
              </w:rPr>
              <w:t xml:space="preserve"> 1 est requise </w:t>
            </w:r>
            <w:r w:rsidR="0088423E">
              <w:rPr>
                <w:sz w:val="18"/>
                <w:lang w:val="fr-FR"/>
              </w:rPr>
              <w:br/>
            </w:r>
            <w:r w:rsidRPr="006A6F1C">
              <w:rPr>
                <w:sz w:val="18"/>
                <w:lang w:val="fr-FR"/>
              </w:rPr>
              <w:t>à la colonne (5) du tableau A du chapitre 3.2 </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p w:rsidR="00D4150B" w:rsidRPr="006A6F1C" w:rsidRDefault="00D4150B" w:rsidP="006A6F1C">
            <w:pPr>
              <w:suppressAutoHyphens w:val="0"/>
              <w:spacing w:before="40" w:after="40" w:line="220" w:lineRule="exact"/>
              <w:jc w:val="right"/>
              <w:rPr>
                <w:sz w:val="18"/>
              </w:rPr>
            </w:pPr>
            <w:r w:rsidRPr="006A6F1C">
              <w:rPr>
                <w:sz w:val="18"/>
                <w:lang w:val="fr-FR"/>
              </w:rPr>
              <w:t>0</w:t>
            </w:r>
          </w:p>
        </w:tc>
      </w:tr>
      <w:tr w:rsidR="006A6F1C" w:rsidRPr="006A6F1C" w:rsidTr="0088423E">
        <w:tc>
          <w:tcPr>
            <w:tcW w:w="735" w:type="dxa"/>
            <w:vMerge/>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lang w:val="nl-NL"/>
              </w:rPr>
            </w:pP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Toute autre matière et objet de la classe 5.2</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3 000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val="restart"/>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rPr>
            </w:pPr>
            <w:r w:rsidRPr="0088423E">
              <w:rPr>
                <w:b/>
                <w:sz w:val="18"/>
                <w:lang w:val="fr-FR"/>
              </w:rPr>
              <w:t>6.1</w:t>
            </w:r>
          </w:p>
        </w:tc>
        <w:tc>
          <w:tcPr>
            <w:tcW w:w="4164" w:type="dxa"/>
            <w:gridSpan w:val="2"/>
            <w:tcBorders>
              <w:top w:val="single" w:sz="4" w:space="0" w:color="auto"/>
              <w:bottom w:val="single" w:sz="4" w:space="0" w:color="auto"/>
            </w:tcBorders>
            <w:shd w:val="clear" w:color="auto" w:fill="auto"/>
          </w:tcPr>
          <w:p w:rsidR="00D4150B" w:rsidRPr="006A6F1C" w:rsidRDefault="00D4150B" w:rsidP="0088423E">
            <w:pPr>
              <w:suppressAutoHyphens w:val="0"/>
              <w:spacing w:before="40" w:after="40" w:line="220" w:lineRule="exact"/>
              <w:rPr>
                <w:sz w:val="18"/>
              </w:rPr>
            </w:pPr>
            <w:r w:rsidRPr="006A6F1C">
              <w:rPr>
                <w:sz w:val="18"/>
                <w:lang w:val="fr-FR"/>
              </w:rPr>
              <w:t>Matières et objets de la classe 6.1, groupe d’emballage</w:t>
            </w:r>
            <w:r w:rsidR="0088423E">
              <w:rPr>
                <w:sz w:val="18"/>
                <w:lang w:val="fr-FR"/>
              </w:rPr>
              <w:t> </w:t>
            </w:r>
            <w:r w:rsidRPr="006A6F1C">
              <w:rPr>
                <w:sz w:val="18"/>
                <w:lang w:val="fr-FR"/>
              </w:rPr>
              <w:t>I</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0</w:t>
            </w:r>
          </w:p>
        </w:tc>
      </w:tr>
      <w:tr w:rsidR="006A6F1C" w:rsidRPr="006A6F1C" w:rsidTr="0088423E">
        <w:tc>
          <w:tcPr>
            <w:tcW w:w="735" w:type="dxa"/>
            <w:vMerge/>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lang w:val="nl-NL"/>
              </w:rPr>
            </w:pP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Toute autre matière et objet de la classe 6.1</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3 000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rPr>
            </w:pPr>
            <w:r w:rsidRPr="0088423E">
              <w:rPr>
                <w:b/>
                <w:sz w:val="18"/>
                <w:lang w:val="fr-FR"/>
              </w:rPr>
              <w:t>6.2</w:t>
            </w:r>
          </w:p>
        </w:tc>
        <w:tc>
          <w:tcPr>
            <w:tcW w:w="4164" w:type="dxa"/>
            <w:gridSpan w:val="2"/>
            <w:tcBorders>
              <w:top w:val="single" w:sz="4" w:space="0" w:color="auto"/>
              <w:bottom w:val="single" w:sz="4" w:space="0" w:color="auto"/>
            </w:tcBorders>
            <w:shd w:val="clear" w:color="auto" w:fill="auto"/>
          </w:tcPr>
          <w:p w:rsidR="00D4150B" w:rsidRPr="006A6F1C" w:rsidRDefault="00D4150B" w:rsidP="002316AC">
            <w:pPr>
              <w:suppressAutoHyphens w:val="0"/>
              <w:spacing w:before="40" w:after="40" w:line="220" w:lineRule="exact"/>
              <w:rPr>
                <w:sz w:val="18"/>
              </w:rPr>
            </w:pPr>
            <w:r w:rsidRPr="006A6F1C">
              <w:rPr>
                <w:sz w:val="18"/>
              </w:rPr>
              <w:t>M</w:t>
            </w:r>
            <w:proofErr w:type="spellStart"/>
            <w:r w:rsidRPr="006A6F1C">
              <w:rPr>
                <w:sz w:val="18"/>
                <w:lang w:val="fr-FR"/>
              </w:rPr>
              <w:t>atières</w:t>
            </w:r>
            <w:proofErr w:type="spellEnd"/>
            <w:r w:rsidRPr="006A6F1C">
              <w:rPr>
                <w:sz w:val="18"/>
                <w:lang w:val="fr-FR"/>
              </w:rPr>
              <w:t xml:space="preserve"> et objets de la classe 6.2, catégorie A </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0</w:t>
            </w:r>
          </w:p>
        </w:tc>
      </w:tr>
      <w:tr w:rsidR="006A6F1C" w:rsidRPr="006A6F1C" w:rsidTr="0088423E">
        <w:tc>
          <w:tcPr>
            <w:tcW w:w="735" w:type="dxa"/>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lang w:val="nl-NL"/>
              </w:rPr>
            </w:pP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Toute autre matière et objet de la classe 6.2</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3 000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val="restart"/>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rPr>
            </w:pPr>
            <w:r w:rsidRPr="0088423E">
              <w:rPr>
                <w:b/>
                <w:sz w:val="18"/>
                <w:lang w:val="fr-FR"/>
              </w:rPr>
              <w:t>7</w:t>
            </w: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Matières et objets de la classe 7 pour les numéros ONU 2908, 2909, 2910 et 2911</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0</w:t>
            </w:r>
          </w:p>
        </w:tc>
      </w:tr>
      <w:tr w:rsidR="006A6F1C" w:rsidRPr="006A6F1C" w:rsidTr="0088423E">
        <w:tc>
          <w:tcPr>
            <w:tcW w:w="735" w:type="dxa"/>
            <w:vMerge/>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lang w:val="nl-NL"/>
              </w:rPr>
            </w:pP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Toute autre matière et objet de la classe 7</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3 000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val="restart"/>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rPr>
            </w:pPr>
            <w:r w:rsidRPr="0088423E">
              <w:rPr>
                <w:b/>
                <w:sz w:val="18"/>
                <w:lang w:val="fr-FR"/>
              </w:rPr>
              <w:t>8</w:t>
            </w:r>
          </w:p>
        </w:tc>
        <w:tc>
          <w:tcPr>
            <w:tcW w:w="4164" w:type="dxa"/>
            <w:gridSpan w:val="2"/>
            <w:tcBorders>
              <w:top w:val="single" w:sz="4" w:space="0" w:color="auto"/>
              <w:bottom w:val="single" w:sz="4" w:space="0" w:color="auto"/>
            </w:tcBorders>
            <w:shd w:val="clear" w:color="auto" w:fill="auto"/>
          </w:tcPr>
          <w:p w:rsidR="00D4150B" w:rsidRPr="006A6F1C" w:rsidRDefault="00D4150B" w:rsidP="0088423E">
            <w:pPr>
              <w:suppressAutoHyphens w:val="0"/>
              <w:spacing w:before="40" w:after="40" w:line="220" w:lineRule="exact"/>
              <w:rPr>
                <w:sz w:val="18"/>
              </w:rPr>
            </w:pPr>
            <w:r w:rsidRPr="006A6F1C">
              <w:rPr>
                <w:sz w:val="18"/>
                <w:lang w:val="fr-FR"/>
              </w:rPr>
              <w:t>Matières et objets de la classe 8, groupe d’emballage</w:t>
            </w:r>
            <w:r w:rsidR="0088423E">
              <w:rPr>
                <w:sz w:val="18"/>
                <w:lang w:val="fr-FR"/>
              </w:rPr>
              <w:t> </w:t>
            </w:r>
            <w:r w:rsidRPr="006A6F1C">
              <w:rPr>
                <w:sz w:val="18"/>
                <w:lang w:val="fr-FR"/>
              </w:rPr>
              <w:t xml:space="preserve">I </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vMerge/>
            <w:tcBorders>
              <w:top w:val="single" w:sz="4" w:space="0" w:color="auto"/>
              <w:bottom w:val="single" w:sz="4" w:space="0" w:color="auto"/>
            </w:tcBorders>
            <w:shd w:val="clear" w:color="auto" w:fill="auto"/>
          </w:tcPr>
          <w:p w:rsidR="00D4150B" w:rsidRPr="0088423E" w:rsidRDefault="00D4150B" w:rsidP="006A6F1C">
            <w:pPr>
              <w:suppressAutoHyphens w:val="0"/>
              <w:spacing w:before="40" w:after="40" w:line="220" w:lineRule="exact"/>
              <w:rPr>
                <w:b/>
                <w:sz w:val="18"/>
                <w:lang w:val="nl-NL"/>
              </w:rPr>
            </w:pPr>
          </w:p>
        </w:tc>
        <w:tc>
          <w:tcPr>
            <w:tcW w:w="4164" w:type="dxa"/>
            <w:gridSpan w:val="2"/>
            <w:tcBorders>
              <w:top w:val="single" w:sz="4" w:space="0" w:color="auto"/>
              <w:bottom w:val="single" w:sz="4"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Toute autre matière et objet de la classe 8</w:t>
            </w:r>
          </w:p>
        </w:tc>
        <w:tc>
          <w:tcPr>
            <w:tcW w:w="823"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3 000</w:t>
            </w: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4"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r w:rsidR="006A6F1C" w:rsidRPr="006A6F1C" w:rsidTr="0088423E">
        <w:tc>
          <w:tcPr>
            <w:tcW w:w="735" w:type="dxa"/>
            <w:tcBorders>
              <w:top w:val="single" w:sz="4" w:space="0" w:color="auto"/>
              <w:bottom w:val="single" w:sz="12" w:space="0" w:color="auto"/>
            </w:tcBorders>
            <w:shd w:val="clear" w:color="auto" w:fill="auto"/>
          </w:tcPr>
          <w:p w:rsidR="00D4150B" w:rsidRPr="0088423E" w:rsidRDefault="00D4150B" w:rsidP="006A6F1C">
            <w:pPr>
              <w:suppressAutoHyphens w:val="0"/>
              <w:spacing w:before="40" w:after="40" w:line="220" w:lineRule="exact"/>
              <w:rPr>
                <w:b/>
                <w:sz w:val="18"/>
              </w:rPr>
            </w:pPr>
            <w:r w:rsidRPr="0088423E">
              <w:rPr>
                <w:b/>
                <w:sz w:val="18"/>
                <w:lang w:val="fr-FR"/>
              </w:rPr>
              <w:t>9</w:t>
            </w:r>
          </w:p>
        </w:tc>
        <w:tc>
          <w:tcPr>
            <w:tcW w:w="4164" w:type="dxa"/>
            <w:gridSpan w:val="2"/>
            <w:tcBorders>
              <w:top w:val="single" w:sz="4" w:space="0" w:color="auto"/>
              <w:bottom w:val="single" w:sz="12" w:space="0" w:color="auto"/>
            </w:tcBorders>
            <w:shd w:val="clear" w:color="auto" w:fill="auto"/>
          </w:tcPr>
          <w:p w:rsidR="00D4150B" w:rsidRPr="006A6F1C" w:rsidRDefault="00D4150B" w:rsidP="006A6F1C">
            <w:pPr>
              <w:suppressAutoHyphens w:val="0"/>
              <w:spacing w:before="40" w:after="40" w:line="220" w:lineRule="exact"/>
              <w:rPr>
                <w:sz w:val="18"/>
              </w:rPr>
            </w:pPr>
            <w:r w:rsidRPr="006A6F1C">
              <w:rPr>
                <w:sz w:val="18"/>
                <w:lang w:val="fr-FR"/>
              </w:rPr>
              <w:t>Toutes les matières et tous les objets de la classe 9</w:t>
            </w:r>
          </w:p>
        </w:tc>
        <w:tc>
          <w:tcPr>
            <w:tcW w:w="823" w:type="dxa"/>
            <w:tcBorders>
              <w:top w:val="single" w:sz="4" w:space="0" w:color="auto"/>
              <w:bottom w:val="single" w:sz="12" w:space="0" w:color="auto"/>
            </w:tcBorders>
            <w:shd w:val="clear" w:color="auto" w:fill="auto"/>
            <w:vAlign w:val="bottom"/>
          </w:tcPr>
          <w:p w:rsidR="00D4150B" w:rsidRPr="006A6F1C" w:rsidRDefault="00D4150B" w:rsidP="006A6F1C">
            <w:pPr>
              <w:suppressAutoHyphens w:val="0"/>
              <w:spacing w:before="40" w:after="40" w:line="220" w:lineRule="exact"/>
              <w:jc w:val="right"/>
              <w:rPr>
                <w:sz w:val="18"/>
              </w:rPr>
            </w:pPr>
            <w:r w:rsidRPr="006A6F1C">
              <w:rPr>
                <w:sz w:val="18"/>
                <w:lang w:val="fr-FR"/>
              </w:rPr>
              <w:t>3 000</w:t>
            </w:r>
          </w:p>
        </w:tc>
        <w:tc>
          <w:tcPr>
            <w:tcW w:w="824" w:type="dxa"/>
            <w:tcBorders>
              <w:top w:val="single" w:sz="4" w:space="0" w:color="auto"/>
              <w:bottom w:val="single" w:sz="12"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c>
          <w:tcPr>
            <w:tcW w:w="824" w:type="dxa"/>
            <w:tcBorders>
              <w:top w:val="single" w:sz="4" w:space="0" w:color="auto"/>
              <w:bottom w:val="single" w:sz="12" w:space="0" w:color="auto"/>
            </w:tcBorders>
            <w:shd w:val="clear" w:color="auto" w:fill="auto"/>
            <w:vAlign w:val="bottom"/>
          </w:tcPr>
          <w:p w:rsidR="00D4150B" w:rsidRPr="006A6F1C" w:rsidRDefault="00D4150B" w:rsidP="006A6F1C">
            <w:pPr>
              <w:suppressAutoHyphens w:val="0"/>
              <w:spacing w:before="40" w:after="40" w:line="220" w:lineRule="exact"/>
              <w:jc w:val="right"/>
              <w:rPr>
                <w:sz w:val="18"/>
                <w:lang w:val="nl-NL"/>
              </w:rPr>
            </w:pPr>
          </w:p>
        </w:tc>
      </w:tr>
    </w:tbl>
    <w:p w:rsidR="00D4150B" w:rsidRPr="00145251" w:rsidRDefault="00D4150B" w:rsidP="00C30A9C">
      <w:pPr>
        <w:pStyle w:val="HChG"/>
      </w:pPr>
      <w:r>
        <w:rPr>
          <w:lang w:val="fr-FR"/>
        </w:rPr>
        <w:tab/>
      </w:r>
      <w:r>
        <w:rPr>
          <w:lang w:val="fr-FR"/>
        </w:rPr>
        <w:tab/>
        <w:t>Incidences sur la sécurité</w:t>
      </w:r>
    </w:p>
    <w:p w:rsidR="00D4150B" w:rsidRDefault="00D4150B" w:rsidP="00C30A9C">
      <w:pPr>
        <w:pStyle w:val="SingleTxtG"/>
        <w:rPr>
          <w:lang w:val="fr-FR"/>
        </w:rPr>
      </w:pPr>
      <w:r>
        <w:rPr>
          <w:lang w:val="fr-FR"/>
        </w:rPr>
        <w:t>6.</w:t>
      </w:r>
      <w:r>
        <w:rPr>
          <w:lang w:val="fr-FR"/>
        </w:rPr>
        <w:tab/>
        <w:t>Pour l’essentiel, cette proposition ne change rien à l’objet des paragraphes concernés. On espère que le paragraphe ainsi modifié, sera mieux compris par les personnes à bord, ce qui aura un impact positif en matière de sécurité.</w:t>
      </w:r>
    </w:p>
    <w:p w:rsidR="00C30A9C" w:rsidRPr="00C30A9C" w:rsidRDefault="00C30A9C" w:rsidP="00C30A9C">
      <w:pPr>
        <w:pStyle w:val="SingleTxtG"/>
        <w:spacing w:before="240" w:after="0"/>
        <w:jc w:val="center"/>
        <w:rPr>
          <w:u w:val="single"/>
        </w:rPr>
      </w:pPr>
      <w:r>
        <w:rPr>
          <w:u w:val="single"/>
        </w:rPr>
        <w:tab/>
      </w:r>
      <w:r>
        <w:rPr>
          <w:u w:val="single"/>
        </w:rPr>
        <w:tab/>
      </w:r>
      <w:r>
        <w:rPr>
          <w:u w:val="single"/>
        </w:rPr>
        <w:tab/>
      </w:r>
    </w:p>
    <w:sectPr w:rsidR="00C30A9C" w:rsidRPr="00C30A9C" w:rsidSect="00D415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CD8" w:rsidRDefault="00161CD8" w:rsidP="00F95C08">
      <w:pPr>
        <w:spacing w:line="240" w:lineRule="auto"/>
      </w:pPr>
    </w:p>
  </w:endnote>
  <w:endnote w:type="continuationSeparator" w:id="0">
    <w:p w:rsidR="00161CD8" w:rsidRPr="00AC3823" w:rsidRDefault="00161CD8" w:rsidP="00AC3823">
      <w:pPr>
        <w:pStyle w:val="Footer"/>
      </w:pPr>
    </w:p>
  </w:endnote>
  <w:endnote w:type="continuationNotice" w:id="1">
    <w:p w:rsidR="00161CD8" w:rsidRDefault="00161C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0B" w:rsidRPr="00D4150B" w:rsidRDefault="00D4150B" w:rsidP="00D4150B">
    <w:pPr>
      <w:pStyle w:val="Footer"/>
      <w:tabs>
        <w:tab w:val="right" w:pos="9638"/>
      </w:tabs>
    </w:pPr>
    <w:r w:rsidRPr="00D4150B">
      <w:rPr>
        <w:b/>
        <w:sz w:val="18"/>
      </w:rPr>
      <w:fldChar w:fldCharType="begin"/>
    </w:r>
    <w:r w:rsidRPr="00D4150B">
      <w:rPr>
        <w:b/>
        <w:sz w:val="18"/>
      </w:rPr>
      <w:instrText xml:space="preserve"> PAGE  \* MERGEFORMAT </w:instrText>
    </w:r>
    <w:r w:rsidRPr="00D4150B">
      <w:rPr>
        <w:b/>
        <w:sz w:val="18"/>
      </w:rPr>
      <w:fldChar w:fldCharType="separate"/>
    </w:r>
    <w:r w:rsidR="00AA7AE5">
      <w:rPr>
        <w:b/>
        <w:noProof/>
        <w:sz w:val="18"/>
      </w:rPr>
      <w:t>2</w:t>
    </w:r>
    <w:r w:rsidRPr="00D4150B">
      <w:rPr>
        <w:b/>
        <w:sz w:val="18"/>
      </w:rPr>
      <w:fldChar w:fldCharType="end"/>
    </w:r>
    <w:r>
      <w:rPr>
        <w:b/>
        <w:sz w:val="18"/>
      </w:rPr>
      <w:tab/>
    </w:r>
    <w:r>
      <w:t>GE.18-18869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0B" w:rsidRPr="00D4150B" w:rsidRDefault="00D4150B" w:rsidP="00D4150B">
    <w:pPr>
      <w:pStyle w:val="Footer"/>
      <w:tabs>
        <w:tab w:val="right" w:pos="9638"/>
      </w:tabs>
      <w:rPr>
        <w:b/>
        <w:sz w:val="18"/>
      </w:rPr>
    </w:pPr>
    <w:r>
      <w:t>GE.18-18869</w:t>
    </w:r>
    <w:r>
      <w:tab/>
    </w:r>
    <w:r w:rsidRPr="00D4150B">
      <w:rPr>
        <w:b/>
        <w:sz w:val="18"/>
      </w:rPr>
      <w:fldChar w:fldCharType="begin"/>
    </w:r>
    <w:r w:rsidRPr="00D4150B">
      <w:rPr>
        <w:b/>
        <w:sz w:val="18"/>
      </w:rPr>
      <w:instrText xml:space="preserve"> PAGE  \* MERGEFORMAT </w:instrText>
    </w:r>
    <w:r w:rsidRPr="00D4150B">
      <w:rPr>
        <w:b/>
        <w:sz w:val="18"/>
      </w:rPr>
      <w:fldChar w:fldCharType="separate"/>
    </w:r>
    <w:r w:rsidR="00AA7AE5">
      <w:rPr>
        <w:b/>
        <w:noProof/>
        <w:sz w:val="18"/>
      </w:rPr>
      <w:t>3</w:t>
    </w:r>
    <w:r w:rsidRPr="00D415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4150B" w:rsidRDefault="00D4150B" w:rsidP="00D4150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18869  (</w:t>
    </w:r>
    <w:proofErr w:type="gramEnd"/>
    <w:r>
      <w:rPr>
        <w:sz w:val="20"/>
      </w:rPr>
      <w:t>F)</w:t>
    </w:r>
    <w:r w:rsidR="00F176DA">
      <w:rPr>
        <w:sz w:val="20"/>
      </w:rPr>
      <w:t xml:space="preserve">    271118    301118</w:t>
    </w:r>
    <w:r>
      <w:rPr>
        <w:sz w:val="20"/>
      </w:rPr>
      <w:br/>
    </w:r>
    <w:r w:rsidRPr="00D4150B">
      <w:rPr>
        <w:rFonts w:ascii="C39T30Lfz" w:hAnsi="C39T30Lfz"/>
        <w:sz w:val="56"/>
      </w:rPr>
      <w:t></w:t>
    </w:r>
    <w:r w:rsidRPr="00D4150B">
      <w:rPr>
        <w:rFonts w:ascii="C39T30Lfz" w:hAnsi="C39T30Lfz"/>
        <w:sz w:val="56"/>
      </w:rPr>
      <w:t></w:t>
    </w:r>
    <w:r w:rsidRPr="00D4150B">
      <w:rPr>
        <w:rFonts w:ascii="C39T30Lfz" w:hAnsi="C39T30Lfz"/>
        <w:sz w:val="56"/>
      </w:rPr>
      <w:t></w:t>
    </w:r>
    <w:r w:rsidRPr="00D4150B">
      <w:rPr>
        <w:rFonts w:ascii="C39T30Lfz" w:hAnsi="C39T30Lfz"/>
        <w:sz w:val="56"/>
      </w:rPr>
      <w:t></w:t>
    </w:r>
    <w:r w:rsidRPr="00D4150B">
      <w:rPr>
        <w:rFonts w:ascii="C39T30Lfz" w:hAnsi="C39T30Lfz"/>
        <w:sz w:val="56"/>
      </w:rPr>
      <w:t></w:t>
    </w:r>
    <w:r w:rsidRPr="00D4150B">
      <w:rPr>
        <w:rFonts w:ascii="C39T30Lfz" w:hAnsi="C39T30Lfz"/>
        <w:sz w:val="56"/>
      </w:rPr>
      <w:t></w:t>
    </w:r>
    <w:r w:rsidRPr="00D4150B">
      <w:rPr>
        <w:rFonts w:ascii="C39T30Lfz" w:hAnsi="C39T30Lfz"/>
        <w:sz w:val="56"/>
      </w:rPr>
      <w:t></w:t>
    </w:r>
    <w:r w:rsidRPr="00D4150B">
      <w:rPr>
        <w:rFonts w:ascii="C39T30Lfz" w:hAnsi="C39T30Lfz"/>
        <w:sz w:val="56"/>
      </w:rPr>
      <w:t></w:t>
    </w:r>
    <w:r w:rsidRPr="00D4150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9/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CD8" w:rsidRPr="00AC3823" w:rsidRDefault="00161CD8" w:rsidP="00AC3823">
      <w:pPr>
        <w:pStyle w:val="Footer"/>
        <w:tabs>
          <w:tab w:val="right" w:pos="2155"/>
        </w:tabs>
        <w:spacing w:after="80" w:line="240" w:lineRule="atLeast"/>
        <w:ind w:left="680"/>
        <w:rPr>
          <w:u w:val="single"/>
        </w:rPr>
      </w:pPr>
      <w:r>
        <w:rPr>
          <w:u w:val="single"/>
        </w:rPr>
        <w:tab/>
      </w:r>
    </w:p>
  </w:footnote>
  <w:footnote w:type="continuationSeparator" w:id="0">
    <w:p w:rsidR="00161CD8" w:rsidRPr="00AC3823" w:rsidRDefault="00161CD8" w:rsidP="00AC3823">
      <w:pPr>
        <w:pStyle w:val="Footer"/>
        <w:tabs>
          <w:tab w:val="right" w:pos="2155"/>
        </w:tabs>
        <w:spacing w:after="80" w:line="240" w:lineRule="atLeast"/>
        <w:ind w:left="680"/>
        <w:rPr>
          <w:u w:val="single"/>
        </w:rPr>
      </w:pPr>
      <w:r>
        <w:rPr>
          <w:u w:val="single"/>
        </w:rPr>
        <w:tab/>
      </w:r>
    </w:p>
  </w:footnote>
  <w:footnote w:type="continuationNotice" w:id="1">
    <w:p w:rsidR="00161CD8" w:rsidRPr="00AC3823" w:rsidRDefault="00161CD8">
      <w:pPr>
        <w:spacing w:line="240" w:lineRule="auto"/>
        <w:rPr>
          <w:sz w:val="2"/>
          <w:szCs w:val="2"/>
        </w:rPr>
      </w:pPr>
    </w:p>
  </w:footnote>
  <w:footnote w:id="2">
    <w:p w:rsidR="00A304FC" w:rsidRPr="00A304FC" w:rsidRDefault="00A304FC">
      <w:pPr>
        <w:pStyle w:val="FootnoteText"/>
      </w:pPr>
      <w:r>
        <w:rPr>
          <w:rStyle w:val="FootnoteReference"/>
        </w:rPr>
        <w:tab/>
      </w:r>
      <w:r w:rsidRPr="00A304FC">
        <w:rPr>
          <w:rStyle w:val="FootnoteReference"/>
          <w:sz w:val="20"/>
          <w:vertAlign w:val="baseline"/>
        </w:rPr>
        <w:t>*</w:t>
      </w:r>
      <w:r>
        <w:rPr>
          <w:rStyle w:val="FootnoteReference"/>
          <w:sz w:val="20"/>
          <w:vertAlign w:val="baseline"/>
        </w:rPr>
        <w:tab/>
      </w:r>
      <w:r>
        <w:rPr>
          <w:lang w:val="fr-FR"/>
        </w:rPr>
        <w:t>Diffusé</w:t>
      </w:r>
      <w:r w:rsidR="000411E8">
        <w:rPr>
          <w:lang w:val="fr-FR"/>
        </w:rPr>
        <w:t>e</w:t>
      </w:r>
      <w:r>
        <w:rPr>
          <w:lang w:val="fr-FR"/>
        </w:rPr>
        <w:t xml:space="preserve"> en langue allemande par la Commission centrale pour la navig</w:t>
      </w:r>
      <w:r w:rsidR="00CC0FCB">
        <w:rPr>
          <w:lang w:val="fr-FR"/>
        </w:rPr>
        <w:t>ation du Rhin sous la cote CCNR</w:t>
      </w:r>
      <w:r w:rsidR="00CC0FCB">
        <w:rPr>
          <w:lang w:val="fr-FR"/>
        </w:rPr>
        <w:noBreakHyphen/>
      </w:r>
      <w:r>
        <w:rPr>
          <w:lang w:val="fr-FR"/>
        </w:rPr>
        <w:t>ZKR/ADN/WP.15/AC.2/2019/10.</w:t>
      </w:r>
    </w:p>
  </w:footnote>
  <w:footnote w:id="3">
    <w:p w:rsidR="00A304FC" w:rsidRPr="00A304FC" w:rsidRDefault="00A304FC">
      <w:pPr>
        <w:pStyle w:val="FootnoteText"/>
      </w:pPr>
      <w:r>
        <w:rPr>
          <w:rStyle w:val="FootnoteReference"/>
        </w:rPr>
        <w:tab/>
      </w:r>
      <w:r w:rsidRPr="00A304FC">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w:t>
      </w:r>
      <w:r>
        <w:rPr>
          <w:lang w:val="fr-FR"/>
        </w:rPr>
        <w:noBreakHyphen/>
        <w:t>2019 (ECE/TRANS/2018/21/Add.1, module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0B" w:rsidRPr="00D4150B" w:rsidRDefault="00AA7AE5">
    <w:pPr>
      <w:pStyle w:val="Header"/>
    </w:pPr>
    <w:fldSimple w:instr=" TITLE  \* MERGEFORMAT ">
      <w:r>
        <w:t>ECE/TRANS/WP.15/AC.2/2019/10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0B" w:rsidRPr="00D4150B" w:rsidRDefault="00AA7AE5" w:rsidP="00D4150B">
    <w:pPr>
      <w:pStyle w:val="Header"/>
      <w:jc w:val="right"/>
    </w:pPr>
    <w:fldSimple w:instr=" TITLE  \* MERGEFORMAT ">
      <w:r>
        <w:t>ECE/TRANS/WP.15/AC.2/2019/10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D8"/>
    <w:rsid w:val="00017F94"/>
    <w:rsid w:val="00023842"/>
    <w:rsid w:val="00026AA3"/>
    <w:rsid w:val="000334F9"/>
    <w:rsid w:val="000411E8"/>
    <w:rsid w:val="00045FEB"/>
    <w:rsid w:val="0007796D"/>
    <w:rsid w:val="000B7790"/>
    <w:rsid w:val="00111F2F"/>
    <w:rsid w:val="0014365E"/>
    <w:rsid w:val="00143C66"/>
    <w:rsid w:val="00161CD8"/>
    <w:rsid w:val="00176178"/>
    <w:rsid w:val="001C322C"/>
    <w:rsid w:val="001F525A"/>
    <w:rsid w:val="00223272"/>
    <w:rsid w:val="002316AC"/>
    <w:rsid w:val="0024779E"/>
    <w:rsid w:val="00257168"/>
    <w:rsid w:val="00273AEF"/>
    <w:rsid w:val="002744B8"/>
    <w:rsid w:val="002832AC"/>
    <w:rsid w:val="002D7C93"/>
    <w:rsid w:val="00305801"/>
    <w:rsid w:val="003916DE"/>
    <w:rsid w:val="003C6195"/>
    <w:rsid w:val="00421996"/>
    <w:rsid w:val="00441C3B"/>
    <w:rsid w:val="00446FE5"/>
    <w:rsid w:val="00452396"/>
    <w:rsid w:val="004837D8"/>
    <w:rsid w:val="004B56CD"/>
    <w:rsid w:val="004E2EED"/>
    <w:rsid w:val="004E468C"/>
    <w:rsid w:val="005505B7"/>
    <w:rsid w:val="005725B5"/>
    <w:rsid w:val="00573BE5"/>
    <w:rsid w:val="00586ED3"/>
    <w:rsid w:val="00596AA9"/>
    <w:rsid w:val="006A6F1C"/>
    <w:rsid w:val="0071601D"/>
    <w:rsid w:val="007A62E6"/>
    <w:rsid w:val="007F20FA"/>
    <w:rsid w:val="0080684C"/>
    <w:rsid w:val="00820584"/>
    <w:rsid w:val="00871C75"/>
    <w:rsid w:val="008776DC"/>
    <w:rsid w:val="0088423E"/>
    <w:rsid w:val="009446C0"/>
    <w:rsid w:val="009705C8"/>
    <w:rsid w:val="009C1CF4"/>
    <w:rsid w:val="009F6B74"/>
    <w:rsid w:val="00A3029F"/>
    <w:rsid w:val="00A30353"/>
    <w:rsid w:val="00A304FC"/>
    <w:rsid w:val="00AA7AE5"/>
    <w:rsid w:val="00AC3823"/>
    <w:rsid w:val="00AE323C"/>
    <w:rsid w:val="00AF0CB5"/>
    <w:rsid w:val="00B00181"/>
    <w:rsid w:val="00B00B0D"/>
    <w:rsid w:val="00B45F2E"/>
    <w:rsid w:val="00B765F7"/>
    <w:rsid w:val="00BA0CA9"/>
    <w:rsid w:val="00C02897"/>
    <w:rsid w:val="00C30A9C"/>
    <w:rsid w:val="00C97039"/>
    <w:rsid w:val="00CC0FCB"/>
    <w:rsid w:val="00D3439C"/>
    <w:rsid w:val="00D4150B"/>
    <w:rsid w:val="00DB1831"/>
    <w:rsid w:val="00DD3BFD"/>
    <w:rsid w:val="00DF6678"/>
    <w:rsid w:val="00E0299A"/>
    <w:rsid w:val="00E85C74"/>
    <w:rsid w:val="00EA6547"/>
    <w:rsid w:val="00EF2E22"/>
    <w:rsid w:val="00F176DA"/>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44904D-E3BA-4E66-A15A-1F6E827A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ECE/TRANS/WP.15/AC.2/2019/10</vt:lpstr>
      <vt:lpstr>ECE/TRANS/WP.15/AC.2/2019/10</vt:lpstr>
    </vt:vector>
  </TitlesOfParts>
  <Company>DCM</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ECE/TRANS/WP.15/AC.2/2019/10</dc:title>
  <dc:subject/>
  <dc:creator>Christine  CHAUTAGNAT</dc:creator>
  <cp:keywords/>
  <cp:lastModifiedBy>Marie-Claude Collet</cp:lastModifiedBy>
  <cp:revision>2</cp:revision>
  <cp:lastPrinted>2018-11-30T08:39:00Z</cp:lastPrinted>
  <dcterms:created xsi:type="dcterms:W3CDTF">2018-12-03T08:02:00Z</dcterms:created>
  <dcterms:modified xsi:type="dcterms:W3CDTF">2018-12-03T08:02:00Z</dcterms:modified>
</cp:coreProperties>
</file>