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4C2D82" w:rsidP="004C2D82">
            <w:pPr>
              <w:suppressAutoHyphens w:val="0"/>
              <w:spacing w:after="20"/>
              <w:jc w:val="right"/>
            </w:pPr>
            <w:r w:rsidRPr="004C2D82">
              <w:rPr>
                <w:sz w:val="40"/>
              </w:rPr>
              <w:t>ECE</w:t>
            </w:r>
            <w:r>
              <w:t>/TRANS/WP.15/AC.2/2019/6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4C2D82" w:rsidP="004C2D82">
            <w:pPr>
              <w:spacing w:before="240"/>
            </w:pPr>
            <w:r>
              <w:t>Distr.: General</w:t>
            </w:r>
          </w:p>
          <w:p w:rsidR="004C2D82" w:rsidRDefault="004C2D82" w:rsidP="004C2D82">
            <w:pPr>
              <w:suppressAutoHyphens w:val="0"/>
            </w:pPr>
            <w:r>
              <w:t>29 October 2018</w:t>
            </w:r>
          </w:p>
          <w:p w:rsidR="004C2D82" w:rsidRDefault="004C2D82" w:rsidP="004C2D82">
            <w:pPr>
              <w:suppressAutoHyphens w:val="0"/>
            </w:pPr>
            <w:r>
              <w:t>English</w:t>
            </w:r>
          </w:p>
          <w:p w:rsidR="004C2D82" w:rsidRDefault="004C2D82" w:rsidP="004C2D82">
            <w:pPr>
              <w:suppressAutoHyphens w:val="0"/>
            </w:pPr>
            <w:r>
              <w:t>Original: French</w:t>
            </w:r>
          </w:p>
        </w:tc>
      </w:tr>
    </w:tbl>
    <w:p w:rsidR="00184BCA" w:rsidRPr="00C86F44" w:rsidRDefault="00184BCA" w:rsidP="00C86F44">
      <w:pPr>
        <w:spacing w:before="120"/>
        <w:rPr>
          <w:b/>
          <w:sz w:val="28"/>
          <w:szCs w:val="28"/>
        </w:rPr>
      </w:pPr>
      <w:r w:rsidRPr="00C86F44">
        <w:rPr>
          <w:b/>
          <w:sz w:val="28"/>
          <w:szCs w:val="28"/>
        </w:rPr>
        <w:t>Economic Commission for Europe</w:t>
      </w:r>
    </w:p>
    <w:p w:rsidR="00184BCA" w:rsidRPr="00B41450" w:rsidRDefault="00184BCA" w:rsidP="00C86F44">
      <w:pPr>
        <w:spacing w:before="120"/>
        <w:rPr>
          <w:bCs/>
          <w:sz w:val="28"/>
          <w:szCs w:val="28"/>
        </w:rPr>
      </w:pPr>
      <w:r w:rsidRPr="00B41450">
        <w:rPr>
          <w:bCs/>
          <w:sz w:val="28"/>
          <w:szCs w:val="28"/>
        </w:rPr>
        <w:t>Inland Transport Committee</w:t>
      </w:r>
    </w:p>
    <w:p w:rsidR="00184BCA" w:rsidRPr="00B41450" w:rsidRDefault="00184BCA" w:rsidP="00B41450">
      <w:pPr>
        <w:spacing w:before="120"/>
        <w:rPr>
          <w:b/>
          <w:sz w:val="24"/>
          <w:szCs w:val="24"/>
        </w:rPr>
      </w:pPr>
      <w:r w:rsidRPr="00B41450">
        <w:rPr>
          <w:b/>
          <w:sz w:val="24"/>
          <w:szCs w:val="24"/>
        </w:rPr>
        <w:t>Working Party on the Transport of Dangerous Goods</w:t>
      </w:r>
    </w:p>
    <w:p w:rsidR="00184BCA" w:rsidRPr="00B41450" w:rsidRDefault="00184BCA" w:rsidP="00B41450">
      <w:pPr>
        <w:spacing w:before="120"/>
        <w:rPr>
          <w:b/>
        </w:rPr>
      </w:pPr>
      <w:r w:rsidRPr="00B41450">
        <w:rPr>
          <w:b/>
        </w:rPr>
        <w:t xml:space="preserve">Joint Meeting of Experts on the Regulations </w:t>
      </w:r>
      <w:r w:rsidR="00B41450" w:rsidRPr="00B41450">
        <w:rPr>
          <w:b/>
        </w:rPr>
        <w:t>annexed to the</w:t>
      </w:r>
      <w:r w:rsidR="00B41450">
        <w:rPr>
          <w:b/>
        </w:rPr>
        <w:br/>
      </w:r>
      <w:r w:rsidRPr="00B41450">
        <w:rPr>
          <w:b/>
        </w:rPr>
        <w:t>European Agreement concerning the International Carriage</w:t>
      </w:r>
      <w:r w:rsidR="00B41450">
        <w:rPr>
          <w:b/>
        </w:rPr>
        <w:br/>
      </w:r>
      <w:r w:rsidRPr="00B41450">
        <w:rPr>
          <w:b/>
        </w:rPr>
        <w:t xml:space="preserve">of Dangerous Goods by Inland Waterways (ADN) </w:t>
      </w:r>
      <w:r w:rsidR="00371873">
        <w:rPr>
          <w:b/>
        </w:rPr>
        <w:br/>
      </w:r>
      <w:r w:rsidRPr="00B41450">
        <w:rPr>
          <w:b/>
        </w:rPr>
        <w:t>(ADN Safety Committee)</w:t>
      </w:r>
    </w:p>
    <w:p w:rsidR="00184BCA" w:rsidRPr="00B41450" w:rsidRDefault="00184BCA" w:rsidP="00B41450">
      <w:pPr>
        <w:spacing w:before="120"/>
        <w:rPr>
          <w:b/>
        </w:rPr>
      </w:pPr>
      <w:r w:rsidRPr="00B41450">
        <w:rPr>
          <w:b/>
        </w:rPr>
        <w:t>Thirty-fourth session</w:t>
      </w:r>
    </w:p>
    <w:p w:rsidR="00184BCA" w:rsidRPr="00CB3312" w:rsidRDefault="00184BCA" w:rsidP="00184BCA">
      <w:r w:rsidRPr="00CB3312">
        <w:t>Geneva, 21–25 January 2019</w:t>
      </w:r>
    </w:p>
    <w:p w:rsidR="00184BCA" w:rsidRPr="00CB3312" w:rsidRDefault="00184BCA" w:rsidP="00184BCA">
      <w:r w:rsidRPr="00CB3312">
        <w:t>Item 5 (b) of the provisional agenda</w:t>
      </w:r>
    </w:p>
    <w:p w:rsidR="00184BCA" w:rsidRPr="00371873" w:rsidRDefault="00184BCA" w:rsidP="00184BCA">
      <w:pPr>
        <w:rPr>
          <w:b/>
          <w:bCs/>
        </w:rPr>
      </w:pPr>
      <w:r w:rsidRPr="00371873">
        <w:rPr>
          <w:b/>
          <w:bCs/>
        </w:rPr>
        <w:t xml:space="preserve">Proposals for amendments to the Regulations annexed to ADN: </w:t>
      </w:r>
    </w:p>
    <w:p w:rsidR="00184BCA" w:rsidRPr="00371873" w:rsidRDefault="00184BCA" w:rsidP="00184BCA">
      <w:pPr>
        <w:rPr>
          <w:b/>
          <w:bCs/>
        </w:rPr>
      </w:pPr>
      <w:r w:rsidRPr="00371873">
        <w:rPr>
          <w:b/>
          <w:bCs/>
        </w:rPr>
        <w:t>Other proposals</w:t>
      </w:r>
    </w:p>
    <w:p w:rsidR="00184BCA" w:rsidRPr="00CB3312" w:rsidRDefault="00184BCA" w:rsidP="007F0AB7">
      <w:pPr>
        <w:pStyle w:val="HChG"/>
      </w:pPr>
      <w:r w:rsidRPr="00CB3312">
        <w:tab/>
      </w:r>
      <w:r w:rsidRPr="00CB3312">
        <w:tab/>
        <w:t xml:space="preserve">Section 7.1.7 of ADN </w:t>
      </w:r>
      <w:r w:rsidR="007F0AB7">
        <w:t>—</w:t>
      </w:r>
      <w:r w:rsidRPr="00CB3312">
        <w:t xml:space="preserve"> Special provisions applicable to the carriage of self-reactive substances of Class 4.1, organic peroxides of Class 5.2 and substances stabilized by temperature control (other than self-reactive substances and organic peroxides)</w:t>
      </w:r>
    </w:p>
    <w:p w:rsidR="00184BCA" w:rsidRDefault="00184BCA" w:rsidP="00371873">
      <w:pPr>
        <w:pStyle w:val="H1G"/>
        <w:rPr>
          <w:rStyle w:val="FootnoteReference"/>
          <w:b w:val="0"/>
          <w:bCs/>
          <w:sz w:val="20"/>
          <w:szCs w:val="22"/>
          <w:vertAlign w:val="baseline"/>
        </w:rPr>
      </w:pPr>
      <w:r w:rsidRPr="00CB3312">
        <w:tab/>
      </w:r>
      <w:r w:rsidRPr="00CB3312">
        <w:tab/>
        <w:t>Transmitted by the Government of Germany</w:t>
      </w:r>
      <w:r w:rsidRPr="00371873">
        <w:rPr>
          <w:rStyle w:val="FootnoteReference"/>
          <w:b w:val="0"/>
          <w:bCs/>
          <w:sz w:val="20"/>
          <w:szCs w:val="22"/>
          <w:vertAlign w:val="baseline"/>
        </w:rPr>
        <w:footnoteReference w:customMarkFollows="1" w:id="1"/>
        <w:t>*</w:t>
      </w:r>
      <w:r w:rsidRPr="00371873">
        <w:rPr>
          <w:rStyle w:val="FootnoteReference"/>
          <w:b w:val="0"/>
          <w:bCs/>
          <w:position w:val="6"/>
          <w:sz w:val="20"/>
          <w:szCs w:val="22"/>
          <w:vertAlign w:val="baseline"/>
        </w:rPr>
        <w:t>,</w:t>
      </w:r>
      <w:r w:rsidRPr="00371873">
        <w:rPr>
          <w:rStyle w:val="FootnoteReference"/>
          <w:b w:val="0"/>
          <w:bCs/>
          <w:sz w:val="20"/>
          <w:szCs w:val="22"/>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28330F" w:rsidTr="0028330F">
        <w:trPr>
          <w:jc w:val="center"/>
        </w:trPr>
        <w:tc>
          <w:tcPr>
            <w:tcW w:w="9637" w:type="dxa"/>
            <w:tcBorders>
              <w:bottom w:val="nil"/>
            </w:tcBorders>
          </w:tcPr>
          <w:p w:rsidR="0028330F" w:rsidRPr="0028330F" w:rsidRDefault="0028330F" w:rsidP="0028330F">
            <w:pPr>
              <w:tabs>
                <w:tab w:val="left" w:pos="255"/>
              </w:tabs>
              <w:suppressAutoHyphens w:val="0"/>
              <w:spacing w:before="240" w:after="120"/>
              <w:rPr>
                <w:sz w:val="24"/>
              </w:rPr>
            </w:pPr>
            <w:r>
              <w:tab/>
            </w:r>
            <w:r>
              <w:rPr>
                <w:i/>
                <w:sz w:val="24"/>
              </w:rPr>
              <w:t>Summary</w:t>
            </w:r>
          </w:p>
        </w:tc>
      </w:tr>
      <w:tr w:rsidR="0028330F" w:rsidTr="0028330F">
        <w:trPr>
          <w:jc w:val="center"/>
        </w:trPr>
        <w:tc>
          <w:tcPr>
            <w:tcW w:w="9637" w:type="dxa"/>
            <w:tcBorders>
              <w:top w:val="nil"/>
              <w:bottom w:val="nil"/>
            </w:tcBorders>
            <w:shd w:val="clear" w:color="auto" w:fill="auto"/>
          </w:tcPr>
          <w:p w:rsidR="00AE56B1" w:rsidRPr="00CB3312" w:rsidRDefault="0028330F" w:rsidP="00AE56B1">
            <w:pPr>
              <w:pStyle w:val="SingleTxtG"/>
              <w:spacing w:after="60"/>
              <w:ind w:left="2552" w:hanging="2268"/>
            </w:pPr>
            <w:r>
              <w:rPr>
                <w:b/>
                <w:szCs w:val="22"/>
              </w:rPr>
              <w:t>Executive s</w:t>
            </w:r>
            <w:r w:rsidRPr="004F0D24">
              <w:rPr>
                <w:b/>
                <w:szCs w:val="22"/>
              </w:rPr>
              <w:t>ummary</w:t>
            </w:r>
            <w:r>
              <w:rPr>
                <w:szCs w:val="22"/>
              </w:rPr>
              <w:t>:</w:t>
            </w:r>
            <w:r>
              <w:rPr>
                <w:szCs w:val="22"/>
              </w:rPr>
              <w:tab/>
            </w:r>
            <w:r w:rsidR="00AE56B1" w:rsidRPr="00CB3312">
              <w:t>At its thirty-third session, the Safety Committee adopted a new section 7.1.7 for inclusion in ADN 2019 as part of the process of harmonization with ADR.</w:t>
            </w:r>
          </w:p>
          <w:p w:rsidR="0028330F" w:rsidRDefault="00AE56B1" w:rsidP="00AE56B1">
            <w:pPr>
              <w:pStyle w:val="SingleTxtG"/>
              <w:spacing w:after="60"/>
              <w:ind w:left="2552" w:hanging="2268"/>
            </w:pPr>
            <w:r>
              <w:tab/>
            </w:r>
            <w:r w:rsidRPr="00CB3312">
              <w:t>Germany had raised a number of concerns during the session regarding the proper assignment of the obligations arising from 7.1.7 and was invited to present an official proposal for the thirty-fourth session.</w:t>
            </w:r>
          </w:p>
        </w:tc>
      </w:tr>
      <w:tr w:rsidR="00AE56B1" w:rsidTr="0028330F">
        <w:trPr>
          <w:jc w:val="center"/>
        </w:trPr>
        <w:tc>
          <w:tcPr>
            <w:tcW w:w="9637" w:type="dxa"/>
            <w:tcBorders>
              <w:top w:val="nil"/>
              <w:bottom w:val="nil"/>
            </w:tcBorders>
            <w:shd w:val="clear" w:color="auto" w:fill="auto"/>
          </w:tcPr>
          <w:p w:rsidR="00AE56B1" w:rsidRPr="00AE56B1" w:rsidRDefault="00AE56B1" w:rsidP="008300E7">
            <w:pPr>
              <w:pStyle w:val="SingleTxtG"/>
              <w:spacing w:after="60"/>
              <w:ind w:left="2552" w:hanging="2268"/>
              <w:jc w:val="left"/>
              <w:rPr>
                <w:b/>
                <w:szCs w:val="22"/>
              </w:rPr>
            </w:pPr>
            <w:r w:rsidRPr="00AE56B1">
              <w:rPr>
                <w:b/>
                <w:szCs w:val="22"/>
              </w:rPr>
              <w:t>Action to be taken</w:t>
            </w:r>
            <w:r w:rsidRPr="00AE56B1">
              <w:t>:</w:t>
            </w:r>
            <w:r>
              <w:rPr>
                <w:b/>
                <w:szCs w:val="22"/>
              </w:rPr>
              <w:tab/>
            </w:r>
            <w:r w:rsidRPr="00AE56B1">
              <w:t>Agree a common understanding of the obligations arising from 7.1.7</w:t>
            </w:r>
            <w:r w:rsidR="008300E7">
              <w:br/>
            </w:r>
            <w:r w:rsidRPr="00AE56B1">
              <w:t xml:space="preserve">Supplement the obligations of the consignor in 1.4.2.1.1 </w:t>
            </w:r>
            <w:r w:rsidR="008300E7">
              <w:br/>
            </w:r>
            <w:r w:rsidRPr="00AE56B1">
              <w:t>Add a mandatory requirement for documentation to 7.1.7.4.2</w:t>
            </w:r>
            <w:r w:rsidR="008300E7">
              <w:br/>
            </w:r>
            <w:r w:rsidRPr="00AE56B1">
              <w:t xml:space="preserve">Add a new stowage requirement </w:t>
            </w:r>
            <w:r w:rsidR="008300E7">
              <w:t>“</w:t>
            </w:r>
            <w:r w:rsidRPr="00AE56B1">
              <w:t>HA11</w:t>
            </w:r>
            <w:r w:rsidR="008300E7">
              <w:t>”</w:t>
            </w:r>
            <w:r w:rsidRPr="00AE56B1">
              <w:t xml:space="preserve"> to 7.1.6.14</w:t>
            </w:r>
          </w:p>
        </w:tc>
      </w:tr>
      <w:tr w:rsidR="00AE56B1" w:rsidTr="0028330F">
        <w:trPr>
          <w:jc w:val="center"/>
        </w:trPr>
        <w:tc>
          <w:tcPr>
            <w:tcW w:w="9637" w:type="dxa"/>
            <w:tcBorders>
              <w:top w:val="nil"/>
              <w:bottom w:val="nil"/>
            </w:tcBorders>
            <w:shd w:val="clear" w:color="auto" w:fill="auto"/>
          </w:tcPr>
          <w:p w:rsidR="008300E7" w:rsidRPr="00CB3312" w:rsidRDefault="008300E7" w:rsidP="00A61A28">
            <w:pPr>
              <w:pStyle w:val="SingleTxtG"/>
              <w:keepNext/>
              <w:keepLines/>
              <w:spacing w:after="60"/>
              <w:ind w:left="2552" w:hanging="2268"/>
              <w:jc w:val="left"/>
            </w:pPr>
            <w:r w:rsidRPr="008300E7">
              <w:rPr>
                <w:b/>
                <w:szCs w:val="22"/>
              </w:rPr>
              <w:lastRenderedPageBreak/>
              <w:t>Related documents</w:t>
            </w:r>
            <w:r w:rsidRPr="00CB3312">
              <w:t>:</w:t>
            </w:r>
            <w:r>
              <w:tab/>
            </w:r>
            <w:r w:rsidRPr="00CB3312">
              <w:t>Informal document INF.12 (Germany) from the thirty-third session;</w:t>
            </w:r>
          </w:p>
          <w:p w:rsidR="00AE56B1" w:rsidRDefault="003A746D" w:rsidP="00A61A28">
            <w:pPr>
              <w:pStyle w:val="SingleTxtG"/>
              <w:keepNext/>
              <w:keepLines/>
              <w:spacing w:after="60"/>
              <w:ind w:left="2552" w:hanging="2268"/>
              <w:rPr>
                <w:b/>
                <w:szCs w:val="22"/>
              </w:rPr>
            </w:pPr>
            <w:r>
              <w:tab/>
            </w:r>
            <w:r w:rsidR="008300E7" w:rsidRPr="00CB3312">
              <w:t>ECE/TRANS/WP.15/AC.2/68 (Report of the thirty-third session of the ADN Safety Committee, paras. 38 and 39)</w:t>
            </w:r>
          </w:p>
        </w:tc>
      </w:tr>
      <w:tr w:rsidR="00AE56B1" w:rsidTr="0028330F">
        <w:trPr>
          <w:jc w:val="center"/>
        </w:trPr>
        <w:tc>
          <w:tcPr>
            <w:tcW w:w="9637" w:type="dxa"/>
            <w:tcBorders>
              <w:top w:val="nil"/>
            </w:tcBorders>
          </w:tcPr>
          <w:p w:rsidR="00AE56B1" w:rsidRDefault="00AE56B1" w:rsidP="00AE56B1">
            <w:pPr>
              <w:suppressAutoHyphens w:val="0"/>
            </w:pPr>
          </w:p>
        </w:tc>
      </w:tr>
    </w:tbl>
    <w:p w:rsidR="00184BCA" w:rsidRPr="00CB3312" w:rsidRDefault="00184BCA" w:rsidP="00324186">
      <w:pPr>
        <w:pStyle w:val="HChG"/>
        <w:spacing w:before="240"/>
      </w:pPr>
      <w:r w:rsidRPr="00CB3312">
        <w:tab/>
      </w:r>
      <w:r w:rsidRPr="00CB3312">
        <w:tab/>
        <w:t>Introduction</w:t>
      </w:r>
    </w:p>
    <w:p w:rsidR="00184BCA" w:rsidRPr="00CB3312" w:rsidRDefault="00184BCA" w:rsidP="00EB0DA7">
      <w:pPr>
        <w:pStyle w:val="SingleTxtG"/>
      </w:pPr>
      <w:r w:rsidRPr="00CB3312">
        <w:t>1.</w:t>
      </w:r>
      <w:r w:rsidRPr="00CB3312">
        <w:tab/>
        <w:t>Subsection 7.1.7.4 places specific obligations on enterprises participating in the carriage of temperature controlled cargo transport units. The German delegation is of the view that it is not sufficiently clear to which participating enterprises these obligations fall. At the thirty-third session of the Safety Committee, some delegations recommended that the assignment of obligations could be documented with a confirmed interpretation by the ADN Safety Committee.</w:t>
      </w:r>
    </w:p>
    <w:p w:rsidR="00184BCA" w:rsidRPr="00CB3312" w:rsidRDefault="00184BCA" w:rsidP="007F3C7C">
      <w:pPr>
        <w:pStyle w:val="SingleTxtG"/>
      </w:pPr>
      <w:r w:rsidRPr="00CB3312">
        <w:t>2.</w:t>
      </w:r>
      <w:r w:rsidRPr="00CB3312">
        <w:tab/>
        <w:t>After the thirty-third session, the German delegation followed up on that recommendation, consulting with the delegation of the Netherlands on a common understanding of the assignment of the obligations arising from 7.1.7.</w:t>
      </w:r>
    </w:p>
    <w:p w:rsidR="00184BCA" w:rsidRPr="00CB3312" w:rsidRDefault="00184BCA" w:rsidP="007F3C7C">
      <w:pPr>
        <w:pStyle w:val="SingleTxtG"/>
      </w:pPr>
      <w:r w:rsidRPr="00CB3312">
        <w:t>3.</w:t>
      </w:r>
      <w:r w:rsidRPr="00CB3312">
        <w:tab/>
        <w:t>It was noted that most of the obligations established under 7.1.7.4 could be assigned to specific enterprises right away, without any specific mention of them in Chapter 1.4. Some obligations, however, would have to be spelled out in the list in Chapter 1.4. This assignment of obligations and the corresponding proposals for amendment are presented in the table below.</w:t>
      </w:r>
    </w:p>
    <w:p w:rsidR="00184BCA" w:rsidRPr="00CB3312" w:rsidRDefault="00184BCA" w:rsidP="007F3C7C">
      <w:pPr>
        <w:pStyle w:val="SingleTxtG"/>
      </w:pPr>
      <w:r w:rsidRPr="00CB3312">
        <w:t>4.</w:t>
      </w:r>
      <w:r w:rsidRPr="00CB3312">
        <w:tab/>
        <w:t>Because temperature controlled freight containers must, for instance, at all times be accessible on board to allow for temperature checks and, if necessary, repairs to refrigeration systems, a proposal has been made to introduce an additional stowage requirement in ADN and to make it applicable to certain UN numbers.</w:t>
      </w:r>
    </w:p>
    <w:p w:rsidR="00184BCA" w:rsidRPr="00CB3312" w:rsidRDefault="00184BCA" w:rsidP="007F3C7C">
      <w:pPr>
        <w:pStyle w:val="SingleTxtG"/>
      </w:pPr>
      <w:r w:rsidRPr="00CB3312">
        <w:t>5.</w:t>
      </w:r>
      <w:r w:rsidRPr="00CB3312">
        <w:tab/>
        <w:t>The requirements under 7.1.4.4.4 concerning connecting electric cables have been deemed suitable for the refrigeration systems described in 7.1.7.4.5.</w:t>
      </w:r>
    </w:p>
    <w:p w:rsidR="00184BCA" w:rsidRPr="00CB3312" w:rsidRDefault="00184BCA" w:rsidP="007F3C7C">
      <w:pPr>
        <w:pStyle w:val="HChG"/>
      </w:pPr>
      <w:r w:rsidRPr="00CB3312">
        <w:tab/>
      </w:r>
      <w:r w:rsidRPr="00CB3312">
        <w:tab/>
        <w:t>Assignment of obligations</w:t>
      </w:r>
    </w:p>
    <w:p w:rsidR="00184BCA" w:rsidRPr="00CB3312" w:rsidRDefault="00184BCA" w:rsidP="007F3C7C">
      <w:pPr>
        <w:pStyle w:val="SingleTxtG"/>
        <w:spacing w:after="240"/>
      </w:pPr>
      <w:r w:rsidRPr="00CB3312">
        <w:t>6.</w:t>
      </w:r>
      <w:r w:rsidRPr="00CB3312">
        <w:tab/>
        <w:t>Germany invites the ADN Safety Committee to consider and approve its proposal for the assignment of the obligations deriving from 7.1.7 and to make the proposed amendments to Chapter 1.4.</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2554"/>
        <w:gridCol w:w="1131"/>
        <w:gridCol w:w="2814"/>
        <w:gridCol w:w="20"/>
      </w:tblGrid>
      <w:tr w:rsidR="00405817" w:rsidRPr="00922A08" w:rsidTr="00EC7414">
        <w:trPr>
          <w:tblHeader/>
        </w:trPr>
        <w:tc>
          <w:tcPr>
            <w:tcW w:w="851" w:type="dxa"/>
            <w:tcBorders>
              <w:top w:val="single" w:sz="4" w:space="0" w:color="auto"/>
              <w:bottom w:val="single" w:sz="12" w:space="0" w:color="auto"/>
            </w:tcBorders>
            <w:shd w:val="clear" w:color="auto" w:fill="auto"/>
            <w:vAlign w:val="bottom"/>
          </w:tcPr>
          <w:p w:rsidR="00184BCA" w:rsidRPr="00922A08" w:rsidRDefault="00184BCA" w:rsidP="00922A08">
            <w:pPr>
              <w:suppressAutoHyphens w:val="0"/>
              <w:spacing w:before="80" w:after="80" w:line="200" w:lineRule="exact"/>
              <w:ind w:right="113"/>
              <w:rPr>
                <w:i/>
                <w:sz w:val="16"/>
              </w:rPr>
            </w:pPr>
            <w:r w:rsidRPr="00922A08">
              <w:rPr>
                <w:i/>
                <w:sz w:val="16"/>
              </w:rPr>
              <w:t>Section</w:t>
            </w:r>
          </w:p>
        </w:tc>
        <w:tc>
          <w:tcPr>
            <w:tcW w:w="2554" w:type="dxa"/>
            <w:tcBorders>
              <w:top w:val="single" w:sz="4" w:space="0" w:color="auto"/>
              <w:bottom w:val="single" w:sz="12" w:space="0" w:color="auto"/>
            </w:tcBorders>
            <w:shd w:val="clear" w:color="auto" w:fill="auto"/>
            <w:vAlign w:val="bottom"/>
          </w:tcPr>
          <w:p w:rsidR="00184BCA" w:rsidRPr="00922A08" w:rsidRDefault="00184BCA" w:rsidP="00922A08">
            <w:pPr>
              <w:suppressAutoHyphens w:val="0"/>
              <w:spacing w:before="80" w:after="80" w:line="200" w:lineRule="exact"/>
              <w:ind w:right="113"/>
              <w:rPr>
                <w:i/>
                <w:sz w:val="16"/>
              </w:rPr>
            </w:pPr>
            <w:r w:rsidRPr="00922A08">
              <w:rPr>
                <w:i/>
                <w:sz w:val="16"/>
              </w:rPr>
              <w:t>Obligation</w:t>
            </w:r>
          </w:p>
        </w:tc>
        <w:tc>
          <w:tcPr>
            <w:tcW w:w="1131" w:type="dxa"/>
            <w:tcBorders>
              <w:top w:val="single" w:sz="4" w:space="0" w:color="auto"/>
              <w:bottom w:val="single" w:sz="12" w:space="0" w:color="auto"/>
            </w:tcBorders>
            <w:shd w:val="clear" w:color="auto" w:fill="auto"/>
            <w:vAlign w:val="bottom"/>
          </w:tcPr>
          <w:p w:rsidR="00184BCA" w:rsidRPr="00922A08" w:rsidRDefault="00184BCA" w:rsidP="00922A08">
            <w:pPr>
              <w:suppressAutoHyphens w:val="0"/>
              <w:spacing w:before="80" w:after="80" w:line="200" w:lineRule="exact"/>
              <w:ind w:right="113"/>
              <w:rPr>
                <w:i/>
                <w:sz w:val="16"/>
              </w:rPr>
            </w:pPr>
            <w:r w:rsidRPr="00922A08">
              <w:rPr>
                <w:i/>
                <w:sz w:val="16"/>
              </w:rPr>
              <w:t>Enterprise responsible</w:t>
            </w:r>
          </w:p>
        </w:tc>
        <w:tc>
          <w:tcPr>
            <w:tcW w:w="2834" w:type="dxa"/>
            <w:gridSpan w:val="2"/>
            <w:tcBorders>
              <w:top w:val="single" w:sz="4" w:space="0" w:color="auto"/>
              <w:bottom w:val="single" w:sz="12" w:space="0" w:color="auto"/>
            </w:tcBorders>
            <w:shd w:val="clear" w:color="auto" w:fill="auto"/>
            <w:vAlign w:val="bottom"/>
          </w:tcPr>
          <w:p w:rsidR="00184BCA" w:rsidRPr="00922A08" w:rsidRDefault="00184BCA" w:rsidP="00922A08">
            <w:pPr>
              <w:suppressAutoHyphens w:val="0"/>
              <w:spacing w:before="80" w:after="80" w:line="200" w:lineRule="exact"/>
              <w:ind w:right="113"/>
              <w:rPr>
                <w:i/>
                <w:sz w:val="16"/>
              </w:rPr>
            </w:pPr>
            <w:r w:rsidRPr="00922A08">
              <w:rPr>
                <w:i/>
                <w:sz w:val="16"/>
              </w:rPr>
              <w:t>Assignment of obligations</w:t>
            </w:r>
          </w:p>
        </w:tc>
      </w:tr>
      <w:tr w:rsidR="002D1E43" w:rsidRPr="00922A08" w:rsidTr="00EC7414">
        <w:trPr>
          <w:trHeight w:hRule="exact" w:val="113"/>
          <w:tblHeader/>
        </w:trPr>
        <w:tc>
          <w:tcPr>
            <w:tcW w:w="851" w:type="dxa"/>
            <w:tcBorders>
              <w:top w:val="single" w:sz="12" w:space="0" w:color="auto"/>
              <w:bottom w:val="nil"/>
            </w:tcBorders>
            <w:shd w:val="clear" w:color="auto" w:fill="auto"/>
          </w:tcPr>
          <w:p w:rsidR="002D1E43" w:rsidRPr="00922A08" w:rsidRDefault="002D1E43" w:rsidP="00405817">
            <w:pPr>
              <w:suppressAutoHyphens w:val="0"/>
              <w:spacing w:before="40" w:after="120" w:line="220" w:lineRule="exact"/>
              <w:ind w:right="113"/>
            </w:pPr>
          </w:p>
        </w:tc>
        <w:tc>
          <w:tcPr>
            <w:tcW w:w="2554" w:type="dxa"/>
            <w:tcBorders>
              <w:top w:val="single" w:sz="12" w:space="0" w:color="auto"/>
              <w:bottom w:val="nil"/>
            </w:tcBorders>
            <w:shd w:val="clear" w:color="auto" w:fill="auto"/>
          </w:tcPr>
          <w:p w:rsidR="002D1E43" w:rsidRPr="00922A08" w:rsidRDefault="002D1E43" w:rsidP="00922A08">
            <w:pPr>
              <w:suppressAutoHyphens w:val="0"/>
              <w:spacing w:before="40" w:after="120" w:line="220" w:lineRule="exact"/>
              <w:ind w:right="113"/>
            </w:pPr>
          </w:p>
        </w:tc>
        <w:tc>
          <w:tcPr>
            <w:tcW w:w="1131" w:type="dxa"/>
            <w:tcBorders>
              <w:top w:val="single" w:sz="12" w:space="0" w:color="auto"/>
              <w:bottom w:val="nil"/>
            </w:tcBorders>
            <w:shd w:val="clear" w:color="auto" w:fill="auto"/>
          </w:tcPr>
          <w:p w:rsidR="002D1E43" w:rsidRPr="00922A08" w:rsidRDefault="002D1E43" w:rsidP="00922A08">
            <w:pPr>
              <w:suppressAutoHyphens w:val="0"/>
              <w:spacing w:before="40" w:after="120" w:line="220" w:lineRule="exact"/>
              <w:ind w:right="113"/>
            </w:pPr>
          </w:p>
        </w:tc>
        <w:tc>
          <w:tcPr>
            <w:tcW w:w="2834" w:type="dxa"/>
            <w:gridSpan w:val="2"/>
            <w:tcBorders>
              <w:top w:val="single" w:sz="12" w:space="0" w:color="auto"/>
              <w:bottom w:val="nil"/>
            </w:tcBorders>
            <w:shd w:val="clear" w:color="auto" w:fill="auto"/>
          </w:tcPr>
          <w:p w:rsidR="002D1E43" w:rsidRPr="00922A08" w:rsidRDefault="002D1E43" w:rsidP="00922A08">
            <w:pPr>
              <w:suppressAutoHyphens w:val="0"/>
              <w:spacing w:before="40" w:after="120" w:line="220" w:lineRule="exact"/>
              <w:ind w:right="113"/>
            </w:pPr>
          </w:p>
        </w:tc>
      </w:tr>
      <w:tr w:rsidR="00405817" w:rsidRPr="00922A08" w:rsidTr="00EC7414">
        <w:tc>
          <w:tcPr>
            <w:tcW w:w="851" w:type="dxa"/>
            <w:tcBorders>
              <w:top w:val="nil"/>
              <w:bottom w:val="nil"/>
            </w:tcBorders>
            <w:shd w:val="clear" w:color="auto" w:fill="auto"/>
          </w:tcPr>
          <w:p w:rsidR="00184BCA" w:rsidRPr="00922A08" w:rsidRDefault="00184BCA" w:rsidP="00324186">
            <w:pPr>
              <w:suppressAutoHyphens w:val="0"/>
              <w:spacing w:before="20" w:after="100" w:line="220" w:lineRule="exact"/>
              <w:ind w:right="113"/>
            </w:pPr>
            <w:r w:rsidRPr="00922A08">
              <w:t>7.1.7.4.1</w:t>
            </w:r>
          </w:p>
        </w:tc>
        <w:tc>
          <w:tcPr>
            <w:tcW w:w="2554" w:type="dxa"/>
            <w:tcBorders>
              <w:top w:val="nil"/>
              <w:bottom w:val="nil"/>
            </w:tcBorders>
            <w:shd w:val="clear" w:color="auto" w:fill="auto"/>
          </w:tcPr>
          <w:p w:rsidR="00184BCA" w:rsidRPr="00922A08" w:rsidRDefault="00184BCA" w:rsidP="00324186">
            <w:pPr>
              <w:suppressAutoHyphens w:val="0"/>
              <w:spacing w:before="20" w:after="100" w:line="220" w:lineRule="exact"/>
              <w:ind w:right="113"/>
            </w:pPr>
            <w:r w:rsidRPr="00922A08">
              <w:t>(a)</w:t>
            </w:r>
            <w:r w:rsidRPr="00922A08">
              <w:tab/>
              <w:t>Thorough inspection of the cargo transport unit prior to loading;</w:t>
            </w:r>
          </w:p>
        </w:tc>
        <w:tc>
          <w:tcPr>
            <w:tcW w:w="1131" w:type="dxa"/>
            <w:tcBorders>
              <w:top w:val="nil"/>
              <w:bottom w:val="nil"/>
            </w:tcBorders>
            <w:shd w:val="clear" w:color="auto" w:fill="auto"/>
          </w:tcPr>
          <w:p w:rsidR="00184BCA" w:rsidRPr="00922A08" w:rsidRDefault="00184BCA" w:rsidP="00324186">
            <w:pPr>
              <w:suppressAutoHyphens w:val="0"/>
              <w:spacing w:before="20" w:after="100" w:line="220" w:lineRule="exact"/>
              <w:ind w:right="113"/>
            </w:pPr>
            <w:r w:rsidRPr="00922A08">
              <w:t>Loader</w:t>
            </w:r>
          </w:p>
        </w:tc>
        <w:tc>
          <w:tcPr>
            <w:tcW w:w="2834" w:type="dxa"/>
            <w:gridSpan w:val="2"/>
            <w:tcBorders>
              <w:top w:val="nil"/>
              <w:bottom w:val="nil"/>
            </w:tcBorders>
            <w:shd w:val="clear" w:color="auto" w:fill="auto"/>
          </w:tcPr>
          <w:p w:rsidR="00184BCA" w:rsidRPr="00922A08" w:rsidRDefault="00184BCA" w:rsidP="00324186">
            <w:pPr>
              <w:suppressAutoHyphens w:val="0"/>
              <w:spacing w:before="20" w:after="100" w:line="220" w:lineRule="exact"/>
              <w:ind w:right="113"/>
            </w:pPr>
            <w:r w:rsidRPr="00922A08">
              <w:t>1.4.3.1.1 (c)</w:t>
            </w:r>
          </w:p>
        </w:tc>
      </w:tr>
      <w:tr w:rsidR="00405817" w:rsidRPr="00922A08" w:rsidTr="00EC7414">
        <w:tc>
          <w:tcPr>
            <w:tcW w:w="851" w:type="dxa"/>
            <w:tcBorders>
              <w:top w:val="nil"/>
              <w:bottom w:val="nil"/>
            </w:tcBorders>
            <w:shd w:val="clear" w:color="auto" w:fill="auto"/>
          </w:tcPr>
          <w:p w:rsidR="00184BCA" w:rsidRPr="00922A08" w:rsidRDefault="00184BCA" w:rsidP="00324186">
            <w:pPr>
              <w:suppressAutoHyphens w:val="0"/>
              <w:spacing w:before="20" w:after="100" w:line="220" w:lineRule="exact"/>
              <w:ind w:right="113"/>
            </w:pPr>
          </w:p>
        </w:tc>
        <w:tc>
          <w:tcPr>
            <w:tcW w:w="2554" w:type="dxa"/>
            <w:vMerge w:val="restart"/>
            <w:tcBorders>
              <w:top w:val="nil"/>
              <w:bottom w:val="nil"/>
            </w:tcBorders>
            <w:shd w:val="clear" w:color="auto" w:fill="auto"/>
          </w:tcPr>
          <w:p w:rsidR="00184BCA" w:rsidRPr="00922A08" w:rsidRDefault="00184BCA" w:rsidP="00324186">
            <w:pPr>
              <w:suppressAutoHyphens w:val="0"/>
              <w:spacing w:before="20" w:after="100" w:line="220" w:lineRule="exact"/>
              <w:ind w:right="113"/>
            </w:pPr>
            <w:r w:rsidRPr="00922A08">
              <w:t>(b)</w:t>
            </w:r>
            <w:r w:rsidRPr="00922A08">
              <w:tab/>
              <w:t>Instructions to the carrier about the operation of the refrigeration system including a list of the suppliers of coolant available en route;</w:t>
            </w:r>
          </w:p>
        </w:tc>
        <w:tc>
          <w:tcPr>
            <w:tcW w:w="1131" w:type="dxa"/>
            <w:vMerge w:val="restart"/>
            <w:tcBorders>
              <w:top w:val="nil"/>
              <w:bottom w:val="nil"/>
            </w:tcBorders>
            <w:shd w:val="clear" w:color="auto" w:fill="auto"/>
          </w:tcPr>
          <w:p w:rsidR="00184BCA" w:rsidRPr="00922A08" w:rsidRDefault="00184BCA" w:rsidP="00324186">
            <w:pPr>
              <w:suppressAutoHyphens w:val="0"/>
              <w:spacing w:before="20" w:after="100" w:line="220" w:lineRule="exact"/>
              <w:ind w:right="113"/>
            </w:pPr>
            <w:r w:rsidRPr="00922A08">
              <w:t>Consignor</w:t>
            </w:r>
          </w:p>
          <w:p w:rsidR="00184BCA" w:rsidRPr="00922A08" w:rsidRDefault="00184BCA" w:rsidP="00324186">
            <w:pPr>
              <w:suppressAutoHyphens w:val="0"/>
              <w:spacing w:before="20" w:after="100" w:line="220" w:lineRule="exact"/>
              <w:ind w:right="113"/>
            </w:pPr>
            <w:r w:rsidRPr="00922A08">
              <w:t>Carrier</w:t>
            </w:r>
          </w:p>
        </w:tc>
        <w:tc>
          <w:tcPr>
            <w:tcW w:w="2834" w:type="dxa"/>
            <w:gridSpan w:val="2"/>
            <w:tcBorders>
              <w:top w:val="nil"/>
              <w:bottom w:val="nil"/>
            </w:tcBorders>
            <w:shd w:val="clear" w:color="auto" w:fill="auto"/>
          </w:tcPr>
          <w:p w:rsidR="00184BCA" w:rsidRPr="00922A08" w:rsidRDefault="00184BCA" w:rsidP="00324186">
            <w:pPr>
              <w:suppressAutoHyphens w:val="0"/>
              <w:spacing w:before="20" w:after="100" w:line="220" w:lineRule="exact"/>
              <w:ind w:right="113"/>
            </w:pPr>
            <w:r w:rsidRPr="00922A08">
              <w:t>1.4.2.1.1 (b), amended</w:t>
            </w:r>
          </w:p>
          <w:p w:rsidR="00184BCA" w:rsidRPr="00922A08" w:rsidRDefault="00184BCA" w:rsidP="00324186">
            <w:pPr>
              <w:suppressAutoHyphens w:val="0"/>
              <w:spacing w:before="20" w:after="100" w:line="220" w:lineRule="exact"/>
              <w:ind w:right="113"/>
            </w:pPr>
            <w:r w:rsidRPr="00922A08">
              <w:t>1.4.2.2.1 (b)</w:t>
            </w:r>
          </w:p>
        </w:tc>
      </w:tr>
      <w:tr w:rsidR="00405817" w:rsidRPr="00922A08" w:rsidTr="00EC7414">
        <w:tc>
          <w:tcPr>
            <w:tcW w:w="851" w:type="dxa"/>
            <w:tcBorders>
              <w:top w:val="nil"/>
              <w:bottom w:val="nil"/>
            </w:tcBorders>
            <w:shd w:val="clear" w:color="auto" w:fill="auto"/>
          </w:tcPr>
          <w:p w:rsidR="00184BCA" w:rsidRPr="00922A08" w:rsidRDefault="00184BCA" w:rsidP="00324186">
            <w:pPr>
              <w:suppressAutoHyphens w:val="0"/>
              <w:spacing w:before="20" w:after="100" w:line="220" w:lineRule="exact"/>
              <w:ind w:right="113"/>
            </w:pPr>
          </w:p>
        </w:tc>
        <w:tc>
          <w:tcPr>
            <w:tcW w:w="2554" w:type="dxa"/>
            <w:vMerge/>
            <w:tcBorders>
              <w:top w:val="nil"/>
              <w:bottom w:val="nil"/>
            </w:tcBorders>
            <w:shd w:val="clear" w:color="auto" w:fill="auto"/>
          </w:tcPr>
          <w:p w:rsidR="00184BCA" w:rsidRPr="00922A08" w:rsidRDefault="00184BCA" w:rsidP="00324186">
            <w:pPr>
              <w:suppressAutoHyphens w:val="0"/>
              <w:spacing w:before="20" w:after="100" w:line="220" w:lineRule="exact"/>
              <w:ind w:right="113"/>
            </w:pPr>
          </w:p>
        </w:tc>
        <w:tc>
          <w:tcPr>
            <w:tcW w:w="1131" w:type="dxa"/>
            <w:vMerge/>
            <w:tcBorders>
              <w:top w:val="nil"/>
              <w:bottom w:val="nil"/>
            </w:tcBorders>
            <w:shd w:val="clear" w:color="auto" w:fill="auto"/>
          </w:tcPr>
          <w:p w:rsidR="00184BCA" w:rsidRPr="00922A08" w:rsidRDefault="00184BCA" w:rsidP="00324186">
            <w:pPr>
              <w:suppressAutoHyphens w:val="0"/>
              <w:spacing w:before="20" w:after="100" w:line="220" w:lineRule="exact"/>
              <w:ind w:right="113"/>
            </w:pPr>
          </w:p>
        </w:tc>
        <w:tc>
          <w:tcPr>
            <w:tcW w:w="2834" w:type="dxa"/>
            <w:gridSpan w:val="2"/>
            <w:tcBorders>
              <w:top w:val="nil"/>
              <w:bottom w:val="nil"/>
            </w:tcBorders>
            <w:shd w:val="clear" w:color="auto" w:fill="auto"/>
          </w:tcPr>
          <w:p w:rsidR="00184BCA" w:rsidRPr="00922A08" w:rsidRDefault="00184BCA" w:rsidP="00324186">
            <w:pPr>
              <w:suppressAutoHyphens w:val="0"/>
              <w:spacing w:before="20" w:after="100" w:line="220" w:lineRule="exact"/>
              <w:ind w:right="113"/>
            </w:pPr>
            <w:r w:rsidRPr="00922A08">
              <w:t>Amend 1.4.2.1.1 (b) to read as follows:</w:t>
            </w:r>
          </w:p>
          <w:p w:rsidR="00184BCA" w:rsidRPr="00922A08" w:rsidRDefault="00184BCA" w:rsidP="00324186">
            <w:pPr>
              <w:suppressAutoHyphens w:val="0"/>
              <w:spacing w:before="20" w:after="100" w:line="220" w:lineRule="exact"/>
              <w:ind w:right="113"/>
            </w:pPr>
            <w:r w:rsidRPr="00922A08">
              <w:t>(b)</w:t>
            </w:r>
            <w:r w:rsidRPr="00922A08">
              <w:tab/>
              <w:t xml:space="preserve">Furnish the carrier with information and data in a traceable form and, if necessary, the required transport documents and accompanying documents (authorizations, approvals, notifications, certificates, etc.), taking into account in particular the requirements of Chapter 5.4, </w:t>
            </w:r>
            <w:r w:rsidRPr="009602EC">
              <w:rPr>
                <w:u w:val="single"/>
              </w:rPr>
              <w:t xml:space="preserve">of </w:t>
            </w:r>
            <w:r w:rsidR="00405817" w:rsidRPr="009602EC">
              <w:rPr>
                <w:u w:val="single"/>
              </w:rPr>
              <w:t>7.1.7</w:t>
            </w:r>
            <w:r w:rsidR="00405817">
              <w:t xml:space="preserve"> and of the tables in Part </w:t>
            </w:r>
            <w:r w:rsidRPr="00922A08">
              <w:t>3;</w:t>
            </w:r>
          </w:p>
        </w:tc>
      </w:tr>
      <w:tr w:rsidR="00405817" w:rsidRPr="00922A08" w:rsidTr="00EC7414">
        <w:trPr>
          <w:trHeight w:val="820"/>
        </w:trPr>
        <w:tc>
          <w:tcPr>
            <w:tcW w:w="851" w:type="dxa"/>
            <w:vMerge w:val="restart"/>
            <w:tcBorders>
              <w:top w:val="nil"/>
            </w:tcBorders>
            <w:shd w:val="clear" w:color="auto" w:fill="auto"/>
          </w:tcPr>
          <w:p w:rsidR="00184BCA" w:rsidRPr="00922A08" w:rsidRDefault="00184BCA" w:rsidP="00922A08">
            <w:pPr>
              <w:suppressAutoHyphens w:val="0"/>
              <w:spacing w:before="40" w:after="120" w:line="220" w:lineRule="exact"/>
              <w:ind w:right="113"/>
            </w:pPr>
            <w:bookmarkStart w:id="0" w:name="_GoBack"/>
            <w:bookmarkEnd w:id="0"/>
            <w:r w:rsidRPr="00922A08">
              <w:lastRenderedPageBreak/>
              <w:t>7.1.7.4.1</w:t>
            </w:r>
          </w:p>
        </w:tc>
        <w:tc>
          <w:tcPr>
            <w:tcW w:w="2554" w:type="dxa"/>
            <w:tcBorders>
              <w:top w:val="nil"/>
            </w:tcBorders>
            <w:shd w:val="clear" w:color="auto" w:fill="auto"/>
          </w:tcPr>
          <w:p w:rsidR="00184BCA" w:rsidRPr="00922A08" w:rsidRDefault="00184BCA" w:rsidP="00922A08">
            <w:pPr>
              <w:suppressAutoHyphens w:val="0"/>
              <w:spacing w:before="40" w:after="120" w:line="220" w:lineRule="exact"/>
              <w:ind w:right="113"/>
            </w:pPr>
            <w:r w:rsidRPr="00922A08">
              <w:t>(c)</w:t>
            </w:r>
            <w:r w:rsidRPr="00922A08">
              <w:tab/>
              <w:t>Procedures to be followed in the event of loss of control;</w:t>
            </w:r>
          </w:p>
        </w:tc>
        <w:tc>
          <w:tcPr>
            <w:tcW w:w="1131" w:type="dxa"/>
            <w:tcBorders>
              <w:top w:val="nil"/>
            </w:tcBorders>
            <w:shd w:val="clear" w:color="auto" w:fill="auto"/>
          </w:tcPr>
          <w:p w:rsidR="00184BCA" w:rsidRPr="00922A08" w:rsidRDefault="00184BCA" w:rsidP="00922A08">
            <w:pPr>
              <w:suppressAutoHyphens w:val="0"/>
              <w:spacing w:before="40" w:after="120" w:line="220" w:lineRule="exact"/>
              <w:ind w:right="113"/>
            </w:pPr>
            <w:r w:rsidRPr="00922A08">
              <w:t>Consignor</w:t>
            </w:r>
          </w:p>
        </w:tc>
        <w:tc>
          <w:tcPr>
            <w:tcW w:w="2834" w:type="dxa"/>
            <w:gridSpan w:val="2"/>
            <w:tcBorders>
              <w:top w:val="nil"/>
            </w:tcBorders>
            <w:shd w:val="clear" w:color="auto" w:fill="auto"/>
          </w:tcPr>
          <w:p w:rsidR="00184BCA" w:rsidRPr="00922A08" w:rsidRDefault="00184BCA" w:rsidP="00922A08">
            <w:pPr>
              <w:suppressAutoHyphens w:val="0"/>
              <w:spacing w:before="40" w:after="120" w:line="220" w:lineRule="exact"/>
              <w:ind w:right="113"/>
            </w:pPr>
            <w:r w:rsidRPr="00922A08">
              <w:t>1.4.2.1.1 (b) as amended above</w:t>
            </w:r>
          </w:p>
        </w:tc>
      </w:tr>
      <w:tr w:rsidR="00EC7414" w:rsidRPr="00922A08" w:rsidTr="00EC7414">
        <w:tc>
          <w:tcPr>
            <w:tcW w:w="851" w:type="dxa"/>
            <w:vMerge/>
            <w:shd w:val="clear" w:color="auto" w:fill="auto"/>
          </w:tcPr>
          <w:p w:rsidR="00184BCA" w:rsidRPr="00922A08" w:rsidRDefault="00184BCA" w:rsidP="00922A08">
            <w:pPr>
              <w:suppressAutoHyphens w:val="0"/>
              <w:spacing w:before="40" w:after="120" w:line="220" w:lineRule="exact"/>
              <w:ind w:right="113"/>
            </w:pPr>
          </w:p>
        </w:tc>
        <w:tc>
          <w:tcPr>
            <w:tcW w:w="2554" w:type="dxa"/>
            <w:shd w:val="clear" w:color="auto" w:fill="auto"/>
          </w:tcPr>
          <w:p w:rsidR="00184BCA" w:rsidRPr="00922A08" w:rsidRDefault="00184BCA" w:rsidP="00922A08">
            <w:pPr>
              <w:suppressAutoHyphens w:val="0"/>
              <w:spacing w:before="40" w:after="120" w:line="220" w:lineRule="exact"/>
              <w:ind w:right="113"/>
            </w:pPr>
            <w:r w:rsidRPr="00922A08">
              <w:t>(d)</w:t>
            </w:r>
            <w:r w:rsidRPr="00922A08">
              <w:tab/>
              <w:t xml:space="preserve">Regular monitoring of operating temperatures; </w:t>
            </w:r>
          </w:p>
        </w:tc>
        <w:tc>
          <w:tcPr>
            <w:tcW w:w="1131" w:type="dxa"/>
            <w:shd w:val="clear" w:color="auto" w:fill="auto"/>
          </w:tcPr>
          <w:p w:rsidR="00184BCA" w:rsidRPr="00922A08" w:rsidRDefault="00184BCA" w:rsidP="00922A08">
            <w:pPr>
              <w:suppressAutoHyphens w:val="0"/>
              <w:spacing w:before="40" w:after="120" w:line="220" w:lineRule="exact"/>
              <w:ind w:right="113"/>
            </w:pPr>
            <w:r w:rsidRPr="00922A08">
              <w:t>Carrier</w:t>
            </w:r>
          </w:p>
        </w:tc>
        <w:tc>
          <w:tcPr>
            <w:tcW w:w="2834" w:type="dxa"/>
            <w:gridSpan w:val="2"/>
            <w:shd w:val="clear" w:color="auto" w:fill="auto"/>
          </w:tcPr>
          <w:p w:rsidR="00184BCA" w:rsidRPr="00922A08" w:rsidRDefault="00184BCA" w:rsidP="00922A08">
            <w:pPr>
              <w:suppressAutoHyphens w:val="0"/>
              <w:spacing w:before="40" w:after="120" w:line="220" w:lineRule="exact"/>
              <w:ind w:right="113"/>
            </w:pPr>
            <w:r w:rsidRPr="00922A08">
              <w:t>1.4.2.2.1 (i)</w:t>
            </w:r>
          </w:p>
        </w:tc>
      </w:tr>
      <w:tr w:rsidR="00EC7414" w:rsidRPr="00922A08" w:rsidTr="00EC7414">
        <w:trPr>
          <w:trHeight w:val="2113"/>
        </w:trPr>
        <w:tc>
          <w:tcPr>
            <w:tcW w:w="851" w:type="dxa"/>
            <w:vMerge/>
            <w:shd w:val="clear" w:color="auto" w:fill="auto"/>
          </w:tcPr>
          <w:p w:rsidR="00184BCA" w:rsidRPr="00922A08" w:rsidRDefault="00184BCA" w:rsidP="00922A08">
            <w:pPr>
              <w:suppressAutoHyphens w:val="0"/>
              <w:spacing w:before="40" w:after="120" w:line="220" w:lineRule="exact"/>
              <w:ind w:right="113"/>
            </w:pPr>
          </w:p>
        </w:tc>
        <w:tc>
          <w:tcPr>
            <w:tcW w:w="2554" w:type="dxa"/>
            <w:shd w:val="clear" w:color="auto" w:fill="auto"/>
          </w:tcPr>
          <w:p w:rsidR="004D6647" w:rsidRDefault="004D6647" w:rsidP="00922A08">
            <w:pPr>
              <w:suppressAutoHyphens w:val="0"/>
              <w:spacing w:before="40" w:after="120" w:line="220" w:lineRule="exact"/>
              <w:ind w:right="113"/>
            </w:pPr>
          </w:p>
          <w:p w:rsidR="004D6647" w:rsidRDefault="004D6647" w:rsidP="00922A08">
            <w:pPr>
              <w:suppressAutoHyphens w:val="0"/>
              <w:spacing w:before="40" w:after="120" w:line="220" w:lineRule="exact"/>
              <w:ind w:right="113"/>
            </w:pPr>
            <w:r>
              <w:br/>
            </w:r>
          </w:p>
          <w:p w:rsidR="00184BCA" w:rsidRPr="00922A08" w:rsidRDefault="00184BCA" w:rsidP="00922A08">
            <w:pPr>
              <w:suppressAutoHyphens w:val="0"/>
              <w:spacing w:before="40" w:after="120" w:line="220" w:lineRule="exact"/>
              <w:ind w:right="113"/>
            </w:pPr>
            <w:r w:rsidRPr="00922A08">
              <w:t>English:</w:t>
            </w:r>
          </w:p>
          <w:p w:rsidR="00184BCA" w:rsidRPr="00922A08" w:rsidRDefault="00184BCA" w:rsidP="00922A08">
            <w:pPr>
              <w:suppressAutoHyphens w:val="0"/>
              <w:spacing w:before="40" w:after="120" w:line="220" w:lineRule="exact"/>
              <w:ind w:right="113"/>
            </w:pPr>
            <w:r w:rsidRPr="00922A08">
              <w:t xml:space="preserve">(e) </w:t>
            </w:r>
            <w:r w:rsidRPr="00814B4B">
              <w:rPr>
                <w:strike/>
              </w:rPr>
              <w:t xml:space="preserve">Provision </w:t>
            </w:r>
            <w:r w:rsidRPr="00814B4B">
              <w:rPr>
                <w:u w:val="single"/>
              </w:rPr>
              <w:t>Availability</w:t>
            </w:r>
            <w:r w:rsidRPr="00922A08">
              <w:t xml:space="preserve"> of a back-up refrigeration system or spare parts;</w:t>
            </w:r>
          </w:p>
        </w:tc>
        <w:tc>
          <w:tcPr>
            <w:tcW w:w="1131" w:type="dxa"/>
            <w:shd w:val="clear" w:color="auto" w:fill="auto"/>
          </w:tcPr>
          <w:p w:rsidR="00184BCA" w:rsidRPr="00922A08" w:rsidRDefault="00184BCA" w:rsidP="00922A08">
            <w:pPr>
              <w:suppressAutoHyphens w:val="0"/>
              <w:spacing w:before="40" w:after="120" w:line="220" w:lineRule="exact"/>
              <w:ind w:right="113"/>
            </w:pPr>
            <w:r w:rsidRPr="00922A08">
              <w:t>Consignor</w:t>
            </w:r>
          </w:p>
          <w:p w:rsidR="00184BCA" w:rsidRPr="00922A08" w:rsidRDefault="00184BCA" w:rsidP="00922A08">
            <w:pPr>
              <w:suppressAutoHyphens w:val="0"/>
              <w:spacing w:before="40" w:after="120" w:line="220" w:lineRule="exact"/>
              <w:ind w:right="113"/>
            </w:pPr>
            <w:r w:rsidRPr="00922A08">
              <w:br/>
              <w:t>Loader</w:t>
            </w:r>
          </w:p>
        </w:tc>
        <w:tc>
          <w:tcPr>
            <w:tcW w:w="2834" w:type="dxa"/>
            <w:gridSpan w:val="2"/>
            <w:shd w:val="clear" w:color="auto" w:fill="auto"/>
          </w:tcPr>
          <w:p w:rsidR="00184BCA" w:rsidRPr="00922A08" w:rsidRDefault="00184BCA" w:rsidP="00922A08">
            <w:pPr>
              <w:suppressAutoHyphens w:val="0"/>
              <w:spacing w:before="40" w:after="120" w:line="220" w:lineRule="exact"/>
              <w:ind w:right="113"/>
            </w:pPr>
            <w:r w:rsidRPr="00922A08">
              <w:t xml:space="preserve">1.4.2.1.1 (b) </w:t>
            </w:r>
            <w:r w:rsidRPr="00CB44A6">
              <w:t>+</w:t>
            </w:r>
            <w:r w:rsidRPr="00CB44A6">
              <w:rPr>
                <w:u w:val="single"/>
              </w:rPr>
              <w:t xml:space="preserve"> new subparagraph (f)</w:t>
            </w:r>
          </w:p>
          <w:p w:rsidR="00184BCA" w:rsidRPr="00922A08" w:rsidRDefault="00184BCA" w:rsidP="00922A08">
            <w:pPr>
              <w:suppressAutoHyphens w:val="0"/>
              <w:spacing w:before="40" w:after="120" w:line="220" w:lineRule="exact"/>
              <w:ind w:right="113"/>
            </w:pPr>
            <w:r w:rsidRPr="00922A08">
              <w:t>1.4.3.1.1 (c)</w:t>
            </w:r>
          </w:p>
          <w:p w:rsidR="00184BCA" w:rsidRPr="00922A08" w:rsidRDefault="00184BCA" w:rsidP="00922A08">
            <w:pPr>
              <w:suppressAutoHyphens w:val="0"/>
              <w:spacing w:before="40" w:after="120" w:line="220" w:lineRule="exact"/>
              <w:ind w:right="113"/>
            </w:pPr>
            <w:r w:rsidRPr="00922A08">
              <w:t>Add the following new subparagraph 1.4.2.1.1 (f):</w:t>
            </w:r>
          </w:p>
          <w:p w:rsidR="00184BCA" w:rsidRPr="00814B4B" w:rsidRDefault="00184BCA" w:rsidP="00A54904">
            <w:pPr>
              <w:suppressAutoHyphens w:val="0"/>
              <w:spacing w:before="40" w:after="120" w:line="220" w:lineRule="exact"/>
              <w:ind w:right="113"/>
              <w:rPr>
                <w:u w:val="single"/>
              </w:rPr>
            </w:pPr>
            <w:r w:rsidRPr="00814B4B">
              <w:rPr>
                <w:u w:val="single"/>
              </w:rPr>
              <w:t>(f)</w:t>
            </w:r>
            <w:r w:rsidRPr="00814B4B">
              <w:rPr>
                <w:u w:val="single"/>
              </w:rPr>
              <w:tab/>
              <w:t>make the back-up refrigeration systems and spare parts required under 7.1.7.4 available to the carrier</w:t>
            </w:r>
          </w:p>
        </w:tc>
      </w:tr>
      <w:tr w:rsidR="00EC7414" w:rsidRPr="00922A08" w:rsidTr="00EC7414">
        <w:trPr>
          <w:gridAfter w:val="1"/>
          <w:wAfter w:w="20" w:type="dxa"/>
        </w:trPr>
        <w:tc>
          <w:tcPr>
            <w:tcW w:w="851" w:type="dxa"/>
            <w:tcBorders>
              <w:top w:val="nil"/>
              <w:bottom w:val="nil"/>
            </w:tcBorders>
            <w:shd w:val="clear" w:color="auto" w:fill="auto"/>
          </w:tcPr>
          <w:p w:rsidR="00184BCA" w:rsidRPr="00922A08" w:rsidRDefault="00184BCA" w:rsidP="00922A08">
            <w:pPr>
              <w:suppressAutoHyphens w:val="0"/>
              <w:spacing w:before="40" w:after="120" w:line="220" w:lineRule="exact"/>
              <w:ind w:right="113"/>
            </w:pPr>
            <w:r w:rsidRPr="00922A08">
              <w:t>7.1.7.4.2</w:t>
            </w:r>
          </w:p>
        </w:tc>
        <w:tc>
          <w:tcPr>
            <w:tcW w:w="2554" w:type="dxa"/>
            <w:tcBorders>
              <w:top w:val="nil"/>
              <w:bottom w:val="nil"/>
            </w:tcBorders>
            <w:shd w:val="clear" w:color="auto" w:fill="auto"/>
          </w:tcPr>
          <w:p w:rsidR="00184BCA" w:rsidRPr="00922A08" w:rsidRDefault="00184BCA" w:rsidP="00922A08">
            <w:pPr>
              <w:suppressAutoHyphens w:val="0"/>
              <w:spacing w:before="40" w:after="120" w:line="220" w:lineRule="exact"/>
              <w:ind w:right="113"/>
            </w:pPr>
            <w:r w:rsidRPr="00922A08">
              <w:t xml:space="preserve">Any control and temperature sensing devices in the refrigeration system shall be readily accessible and all electrical connections weather-proof. </w:t>
            </w:r>
          </w:p>
          <w:p w:rsidR="00184BCA" w:rsidRPr="00922A08" w:rsidRDefault="00184BCA" w:rsidP="00922A08">
            <w:pPr>
              <w:suppressAutoHyphens w:val="0"/>
              <w:spacing w:before="40" w:after="120" w:line="220" w:lineRule="exact"/>
              <w:ind w:right="113"/>
            </w:pPr>
            <w:r w:rsidRPr="00922A08">
              <w:t>The temperature of air space within the cargo transport unit shall be measured by two independent sensors and the output shall be recorded so that temperature changes are readily detectable.</w:t>
            </w:r>
          </w:p>
          <w:p w:rsidR="00184BCA" w:rsidRPr="00922A08" w:rsidRDefault="00184BCA" w:rsidP="00922A08">
            <w:pPr>
              <w:suppressAutoHyphens w:val="0"/>
              <w:spacing w:before="40" w:after="120" w:line="220" w:lineRule="exact"/>
              <w:ind w:right="113"/>
            </w:pPr>
            <w:r w:rsidRPr="00922A08">
              <w:t xml:space="preserve">The temperature shall be checked every four to six hours and logged. </w:t>
            </w:r>
          </w:p>
          <w:p w:rsidR="00184BCA" w:rsidRPr="00922A08" w:rsidRDefault="00184BCA" w:rsidP="00922A08">
            <w:pPr>
              <w:suppressAutoHyphens w:val="0"/>
              <w:spacing w:before="40" w:after="120" w:line="220" w:lineRule="exact"/>
              <w:ind w:right="113"/>
            </w:pPr>
            <w:r w:rsidRPr="00922A08">
              <w:t>When substances having a control temperature of less than +25 °C are carried, the cargo transport unit shall be equipped with visible and audible alarms, powered independently of the refrigeration system, set to operate at or below the control temperature.</w:t>
            </w:r>
          </w:p>
        </w:tc>
        <w:tc>
          <w:tcPr>
            <w:tcW w:w="1131" w:type="dxa"/>
            <w:tcBorders>
              <w:top w:val="nil"/>
              <w:bottom w:val="nil"/>
            </w:tcBorders>
            <w:shd w:val="clear" w:color="auto" w:fill="auto"/>
          </w:tcPr>
          <w:p w:rsidR="00184BCA" w:rsidRPr="00922A08" w:rsidRDefault="00184BCA" w:rsidP="00922A08">
            <w:pPr>
              <w:suppressAutoHyphens w:val="0"/>
              <w:spacing w:before="40" w:after="120" w:line="220" w:lineRule="exact"/>
              <w:ind w:right="113"/>
            </w:pPr>
            <w:r w:rsidRPr="00922A08">
              <w:t>Consignor: 1st, 2nd and 4th sentences</w:t>
            </w:r>
          </w:p>
          <w:p w:rsidR="00184BCA" w:rsidRPr="00922A08" w:rsidRDefault="00184BCA" w:rsidP="00922A08">
            <w:pPr>
              <w:suppressAutoHyphens w:val="0"/>
              <w:spacing w:before="40" w:after="120" w:line="220" w:lineRule="exact"/>
              <w:ind w:right="113"/>
            </w:pPr>
            <w:r w:rsidRPr="00922A08">
              <w:t>Carrier: 1st and 3rd sentences</w:t>
            </w:r>
          </w:p>
        </w:tc>
        <w:tc>
          <w:tcPr>
            <w:tcW w:w="2814" w:type="dxa"/>
            <w:tcBorders>
              <w:top w:val="nil"/>
              <w:bottom w:val="nil"/>
            </w:tcBorders>
            <w:shd w:val="clear" w:color="auto" w:fill="auto"/>
          </w:tcPr>
          <w:p w:rsidR="00184BCA" w:rsidRPr="00922A08" w:rsidRDefault="00184BCA" w:rsidP="00922A08">
            <w:pPr>
              <w:suppressAutoHyphens w:val="0"/>
              <w:spacing w:before="40" w:after="120" w:line="220" w:lineRule="exact"/>
              <w:ind w:right="113"/>
            </w:pPr>
            <w:r w:rsidRPr="00922A08">
              <w:t>1.4.2.1.1 (c)</w:t>
            </w:r>
          </w:p>
          <w:p w:rsidR="00184BCA" w:rsidRPr="00922A08" w:rsidRDefault="00184BCA" w:rsidP="00922A08">
            <w:pPr>
              <w:suppressAutoHyphens w:val="0"/>
              <w:spacing w:before="40" w:after="120" w:line="220" w:lineRule="exact"/>
              <w:ind w:right="113"/>
            </w:pPr>
            <w:r w:rsidRPr="00922A08">
              <w:t>1.4.2.2.1 (i)</w:t>
            </w:r>
          </w:p>
          <w:p w:rsidR="00184BCA" w:rsidRPr="00922A08" w:rsidRDefault="00184BCA" w:rsidP="00922A08">
            <w:pPr>
              <w:suppressAutoHyphens w:val="0"/>
              <w:spacing w:before="40" w:after="120" w:line="220" w:lineRule="exact"/>
              <w:ind w:right="113"/>
            </w:pPr>
            <w:r w:rsidRPr="00922A08">
              <w:t>1.4.2.2.1 (c)</w:t>
            </w:r>
          </w:p>
          <w:p w:rsidR="00184BCA" w:rsidRPr="00922A08" w:rsidRDefault="00184BCA" w:rsidP="00922A08">
            <w:pPr>
              <w:suppressAutoHyphens w:val="0"/>
              <w:spacing w:before="40" w:after="120" w:line="220" w:lineRule="exact"/>
              <w:ind w:right="113"/>
            </w:pPr>
            <w:r w:rsidRPr="00922A08">
              <w:t>In 7.1.7.4.2, amend the third sentence to read as follows:</w:t>
            </w:r>
          </w:p>
          <w:p w:rsidR="00184BCA" w:rsidRPr="00922A08" w:rsidRDefault="00184BCA" w:rsidP="00922A08">
            <w:pPr>
              <w:suppressAutoHyphens w:val="0"/>
              <w:spacing w:before="40" w:after="120" w:line="220" w:lineRule="exact"/>
              <w:ind w:right="113"/>
            </w:pPr>
            <w:r w:rsidRPr="00922A08">
              <w:t xml:space="preserve">The temperature shall be checked every four to six hours, </w:t>
            </w:r>
            <w:r w:rsidRPr="00814B4B">
              <w:rPr>
                <w:u w:val="single"/>
              </w:rPr>
              <w:t>recorded</w:t>
            </w:r>
            <w:r w:rsidRPr="00922A08">
              <w:t xml:space="preserve"> and logged </w:t>
            </w:r>
            <w:r w:rsidRPr="00814B4B">
              <w:rPr>
                <w:u w:val="single"/>
              </w:rPr>
              <w:t>in writing in the book described in 8.1.2.1 (g)</w:t>
            </w:r>
            <w:r w:rsidRPr="00922A08">
              <w:t>.</w:t>
            </w:r>
          </w:p>
        </w:tc>
      </w:tr>
      <w:tr w:rsidR="00EC7414" w:rsidRPr="00922A08" w:rsidTr="00EC7414">
        <w:trPr>
          <w:gridAfter w:val="1"/>
          <w:wAfter w:w="20" w:type="dxa"/>
        </w:trPr>
        <w:tc>
          <w:tcPr>
            <w:tcW w:w="851" w:type="dxa"/>
            <w:tcBorders>
              <w:top w:val="nil"/>
              <w:bottom w:val="nil"/>
            </w:tcBorders>
            <w:shd w:val="clear" w:color="auto" w:fill="auto"/>
          </w:tcPr>
          <w:p w:rsidR="00EC7414" w:rsidRPr="00922A08" w:rsidRDefault="00EC7414" w:rsidP="00EC7414">
            <w:pPr>
              <w:suppressAutoHyphens w:val="0"/>
              <w:spacing w:before="40" w:after="120" w:line="220" w:lineRule="exact"/>
              <w:ind w:right="113"/>
            </w:pPr>
            <w:r w:rsidRPr="00922A08">
              <w:t>7.1.7.4.3</w:t>
            </w:r>
          </w:p>
        </w:tc>
        <w:tc>
          <w:tcPr>
            <w:tcW w:w="2554" w:type="dxa"/>
            <w:tcBorders>
              <w:top w:val="nil"/>
              <w:bottom w:val="nil"/>
            </w:tcBorders>
            <w:shd w:val="clear" w:color="auto" w:fill="auto"/>
          </w:tcPr>
          <w:p w:rsidR="00EC7414" w:rsidRDefault="00EC7414" w:rsidP="00EC7414">
            <w:pPr>
              <w:suppressAutoHyphens w:val="0"/>
              <w:spacing w:before="40" w:after="120" w:line="220" w:lineRule="exact"/>
              <w:ind w:right="113"/>
            </w:pPr>
            <w:r w:rsidRPr="00922A08">
              <w:t>If during carriage the control temperature is exceeded, an alert procedure shall be initiated involving any necessary repairs to the refrigeration equipment or an increase in the cooling capacity (e.g. by adding liquid or solid refrigerants).</w:t>
            </w:r>
          </w:p>
          <w:p w:rsidR="00EC7414" w:rsidRPr="00922A08" w:rsidRDefault="00EC7414" w:rsidP="00A75ED9">
            <w:pPr>
              <w:suppressAutoHyphens w:val="0"/>
              <w:spacing w:before="40" w:after="120" w:line="220" w:lineRule="exact"/>
              <w:ind w:right="113"/>
            </w:pPr>
            <w:r w:rsidRPr="00922A08">
              <w:t>The temperature shall also be checked frequently and preparations made for implementation of the emergency procedures.</w:t>
            </w:r>
          </w:p>
        </w:tc>
        <w:tc>
          <w:tcPr>
            <w:tcW w:w="1131" w:type="dxa"/>
            <w:tcBorders>
              <w:top w:val="nil"/>
              <w:bottom w:val="nil"/>
            </w:tcBorders>
            <w:shd w:val="clear" w:color="auto" w:fill="auto"/>
          </w:tcPr>
          <w:p w:rsidR="00EC7414" w:rsidRPr="00922A08" w:rsidRDefault="00EC7414" w:rsidP="00EC7414">
            <w:pPr>
              <w:suppressAutoHyphens w:val="0"/>
              <w:spacing w:before="40" w:after="120" w:line="220" w:lineRule="exact"/>
              <w:ind w:right="113"/>
            </w:pPr>
            <w:r w:rsidRPr="00922A08">
              <w:t>Carrier</w:t>
            </w:r>
          </w:p>
        </w:tc>
        <w:tc>
          <w:tcPr>
            <w:tcW w:w="2814" w:type="dxa"/>
            <w:tcBorders>
              <w:top w:val="nil"/>
              <w:bottom w:val="nil"/>
            </w:tcBorders>
            <w:shd w:val="clear" w:color="auto" w:fill="auto"/>
          </w:tcPr>
          <w:p w:rsidR="00EC7414" w:rsidRPr="00922A08" w:rsidRDefault="00EC7414" w:rsidP="00EC7414">
            <w:pPr>
              <w:suppressAutoHyphens w:val="0"/>
              <w:spacing w:before="40" w:after="120" w:line="220" w:lineRule="exact"/>
              <w:ind w:right="113"/>
            </w:pPr>
            <w:r w:rsidRPr="00922A08">
              <w:t>1.4.2.2.1 (i)</w:t>
            </w:r>
          </w:p>
        </w:tc>
      </w:tr>
      <w:tr w:rsidR="00EC7414" w:rsidRPr="00922A08" w:rsidTr="00A75ED9">
        <w:trPr>
          <w:gridAfter w:val="1"/>
          <w:wAfter w:w="20" w:type="dxa"/>
        </w:trPr>
        <w:tc>
          <w:tcPr>
            <w:tcW w:w="851" w:type="dxa"/>
            <w:tcBorders>
              <w:top w:val="nil"/>
            </w:tcBorders>
            <w:shd w:val="clear" w:color="auto" w:fill="auto"/>
          </w:tcPr>
          <w:p w:rsidR="00EC7414" w:rsidRPr="00922A08" w:rsidRDefault="00EC7414" w:rsidP="00EC7414">
            <w:pPr>
              <w:suppressAutoHyphens w:val="0"/>
              <w:spacing w:before="40" w:after="120" w:line="220" w:lineRule="exact"/>
              <w:ind w:right="113"/>
            </w:pPr>
          </w:p>
        </w:tc>
        <w:tc>
          <w:tcPr>
            <w:tcW w:w="2554" w:type="dxa"/>
            <w:tcBorders>
              <w:top w:val="nil"/>
            </w:tcBorders>
            <w:shd w:val="clear" w:color="auto" w:fill="auto"/>
          </w:tcPr>
          <w:p w:rsidR="00EC7414" w:rsidRPr="00922A08" w:rsidRDefault="00EC7414" w:rsidP="00EC7414">
            <w:pPr>
              <w:suppressAutoHyphens w:val="0"/>
              <w:spacing w:before="40" w:after="120" w:line="220" w:lineRule="exact"/>
              <w:ind w:right="113"/>
            </w:pPr>
            <w:r w:rsidRPr="00922A08">
              <w:t>If the emergency temperature is reached, the emergency procedures shall be initiated.</w:t>
            </w:r>
          </w:p>
        </w:tc>
        <w:tc>
          <w:tcPr>
            <w:tcW w:w="1131" w:type="dxa"/>
            <w:tcBorders>
              <w:top w:val="nil"/>
            </w:tcBorders>
            <w:shd w:val="clear" w:color="auto" w:fill="auto"/>
          </w:tcPr>
          <w:p w:rsidR="00EC7414" w:rsidRPr="00922A08" w:rsidRDefault="00EC7414" w:rsidP="00EC7414">
            <w:pPr>
              <w:suppressAutoHyphens w:val="0"/>
              <w:spacing w:before="40" w:after="120" w:line="220" w:lineRule="exact"/>
              <w:ind w:right="113"/>
            </w:pPr>
          </w:p>
        </w:tc>
        <w:tc>
          <w:tcPr>
            <w:tcW w:w="2814" w:type="dxa"/>
            <w:tcBorders>
              <w:top w:val="nil"/>
            </w:tcBorders>
            <w:shd w:val="clear" w:color="auto" w:fill="auto"/>
          </w:tcPr>
          <w:p w:rsidR="00EC7414" w:rsidRPr="00922A08" w:rsidRDefault="00EC7414" w:rsidP="00EC7414">
            <w:pPr>
              <w:suppressAutoHyphens w:val="0"/>
              <w:spacing w:before="40" w:after="120" w:line="220" w:lineRule="exact"/>
              <w:ind w:right="113"/>
            </w:pPr>
          </w:p>
        </w:tc>
      </w:tr>
      <w:tr w:rsidR="00EC7414" w:rsidRPr="00922A08" w:rsidTr="00EC7414">
        <w:trPr>
          <w:gridAfter w:val="1"/>
          <w:wAfter w:w="20" w:type="dxa"/>
          <w:trHeight w:val="1763"/>
        </w:trPr>
        <w:tc>
          <w:tcPr>
            <w:tcW w:w="851" w:type="dxa"/>
            <w:shd w:val="clear" w:color="auto" w:fill="auto"/>
          </w:tcPr>
          <w:p w:rsidR="00EC7414" w:rsidRPr="00922A08" w:rsidRDefault="00EC7414" w:rsidP="00EC7414">
            <w:pPr>
              <w:suppressAutoHyphens w:val="0"/>
              <w:spacing w:before="40" w:after="120" w:line="220" w:lineRule="exact"/>
              <w:ind w:right="113"/>
            </w:pPr>
            <w:r w:rsidRPr="00922A08">
              <w:t>7.1.7.4.7</w:t>
            </w:r>
          </w:p>
        </w:tc>
        <w:tc>
          <w:tcPr>
            <w:tcW w:w="2554" w:type="dxa"/>
            <w:shd w:val="clear" w:color="auto" w:fill="auto"/>
          </w:tcPr>
          <w:p w:rsidR="00EC7414" w:rsidRPr="00922A08" w:rsidRDefault="00EC7414" w:rsidP="00EC7414">
            <w:pPr>
              <w:suppressAutoHyphens w:val="0"/>
              <w:spacing w:before="40" w:after="120" w:line="220" w:lineRule="exact"/>
              <w:ind w:right="113"/>
            </w:pPr>
            <w:r w:rsidRPr="00922A08">
              <w:t>Where substances are required to be carried in insulated, refrigerated or mechanically-refrigerated vehicles or containers, these vehicles or containers shall satisfy the requirements of Chapter 9.6 of ADR.</w:t>
            </w:r>
          </w:p>
        </w:tc>
        <w:tc>
          <w:tcPr>
            <w:tcW w:w="1131" w:type="dxa"/>
            <w:shd w:val="clear" w:color="auto" w:fill="auto"/>
          </w:tcPr>
          <w:p w:rsidR="00EC7414" w:rsidRPr="00922A08" w:rsidRDefault="00EC7414" w:rsidP="00EC7414">
            <w:pPr>
              <w:suppressAutoHyphens w:val="0"/>
              <w:spacing w:before="40" w:after="120" w:line="220" w:lineRule="exact"/>
              <w:ind w:right="113"/>
            </w:pPr>
            <w:r w:rsidRPr="00922A08">
              <w:t>Consignor</w:t>
            </w:r>
          </w:p>
          <w:p w:rsidR="00EC7414" w:rsidRPr="00922A08" w:rsidRDefault="00EC7414" w:rsidP="00EC7414">
            <w:pPr>
              <w:suppressAutoHyphens w:val="0"/>
              <w:spacing w:before="40" w:after="120" w:line="220" w:lineRule="exact"/>
              <w:ind w:right="113"/>
            </w:pPr>
            <w:r w:rsidRPr="00922A08">
              <w:t>Carrier</w:t>
            </w:r>
          </w:p>
        </w:tc>
        <w:tc>
          <w:tcPr>
            <w:tcW w:w="2814" w:type="dxa"/>
            <w:shd w:val="clear" w:color="auto" w:fill="auto"/>
          </w:tcPr>
          <w:p w:rsidR="00EC7414" w:rsidRPr="00922A08" w:rsidRDefault="00EC7414" w:rsidP="00EC7414">
            <w:pPr>
              <w:suppressAutoHyphens w:val="0"/>
              <w:spacing w:before="40" w:after="120" w:line="220" w:lineRule="exact"/>
              <w:ind w:right="113"/>
            </w:pPr>
            <w:r w:rsidRPr="00922A08">
              <w:t>1.4.2.1.1 (c)</w:t>
            </w:r>
          </w:p>
          <w:p w:rsidR="00EC7414" w:rsidRPr="00922A08" w:rsidRDefault="00EC7414" w:rsidP="00EC7414">
            <w:pPr>
              <w:suppressAutoHyphens w:val="0"/>
              <w:spacing w:before="40" w:after="120" w:line="220" w:lineRule="exact"/>
              <w:ind w:right="113"/>
            </w:pPr>
            <w:r w:rsidRPr="00922A08">
              <w:t>1.4.2.2.1 (c) (Visual inspection)</w:t>
            </w:r>
          </w:p>
        </w:tc>
      </w:tr>
      <w:tr w:rsidR="00EC7414" w:rsidRPr="00922A08" w:rsidTr="00EC7414">
        <w:trPr>
          <w:gridAfter w:val="1"/>
          <w:wAfter w:w="20" w:type="dxa"/>
          <w:trHeight w:val="3910"/>
        </w:trPr>
        <w:tc>
          <w:tcPr>
            <w:tcW w:w="851" w:type="dxa"/>
            <w:shd w:val="clear" w:color="auto" w:fill="auto"/>
          </w:tcPr>
          <w:p w:rsidR="00EC7414" w:rsidRPr="00922A08" w:rsidRDefault="00EC7414" w:rsidP="00EC7414">
            <w:pPr>
              <w:suppressAutoHyphens w:val="0"/>
              <w:spacing w:before="40" w:after="120" w:line="220" w:lineRule="exact"/>
              <w:ind w:right="113"/>
            </w:pPr>
            <w:r w:rsidRPr="00922A08">
              <w:t>7.1.7.4.8</w:t>
            </w:r>
          </w:p>
        </w:tc>
        <w:tc>
          <w:tcPr>
            <w:tcW w:w="2554" w:type="dxa"/>
            <w:shd w:val="clear" w:color="auto" w:fill="auto"/>
          </w:tcPr>
          <w:p w:rsidR="00EC7414" w:rsidRPr="00922A08" w:rsidRDefault="00EC7414" w:rsidP="00EC7414">
            <w:pPr>
              <w:suppressAutoHyphens w:val="0"/>
              <w:spacing w:before="40" w:after="120" w:line="220" w:lineRule="exact"/>
              <w:ind w:right="113"/>
            </w:pPr>
            <w:r w:rsidRPr="00922A08">
              <w:t>If substances are contained in protective packagings filled with a coolant, they shall be loaded in closed or sheeted vehicles or closed or sheeted containers.</w:t>
            </w:r>
          </w:p>
          <w:p w:rsidR="00EC7414" w:rsidRPr="00922A08" w:rsidRDefault="00EC7414" w:rsidP="00EC7414">
            <w:pPr>
              <w:suppressAutoHyphens w:val="0"/>
              <w:spacing w:before="40" w:after="120" w:line="220" w:lineRule="exact"/>
              <w:ind w:right="113"/>
            </w:pPr>
            <w:r w:rsidRPr="00922A08">
              <w:t xml:space="preserve">If the vehicles or containers used are closed they shall be adequately ventilated. </w:t>
            </w:r>
          </w:p>
          <w:p w:rsidR="00EC7414" w:rsidRPr="00922A08" w:rsidRDefault="00EC7414" w:rsidP="00EC7414">
            <w:pPr>
              <w:suppressAutoHyphens w:val="0"/>
              <w:spacing w:before="40" w:after="120" w:line="220" w:lineRule="exact"/>
              <w:ind w:right="113"/>
            </w:pPr>
            <w:r w:rsidRPr="00922A08">
              <w:t xml:space="preserve">Sheeted vehicles and containers shall be fitted with sideboards and a tailboard. </w:t>
            </w:r>
          </w:p>
          <w:p w:rsidR="00EC7414" w:rsidRPr="00922A08" w:rsidRDefault="00EC7414" w:rsidP="00EC7414">
            <w:pPr>
              <w:suppressAutoHyphens w:val="0"/>
              <w:spacing w:before="40" w:after="120" w:line="220" w:lineRule="exact"/>
              <w:ind w:right="113"/>
            </w:pPr>
            <w:r w:rsidRPr="00922A08">
              <w:t>The sheets of these vehicles and containers shall be of an impermeable and non-combustible material.</w:t>
            </w:r>
          </w:p>
        </w:tc>
        <w:tc>
          <w:tcPr>
            <w:tcW w:w="1131" w:type="dxa"/>
            <w:shd w:val="clear" w:color="auto" w:fill="auto"/>
          </w:tcPr>
          <w:p w:rsidR="00EC7414" w:rsidRPr="00922A08" w:rsidRDefault="00EC7414" w:rsidP="00EC7414">
            <w:pPr>
              <w:suppressAutoHyphens w:val="0"/>
              <w:spacing w:before="40" w:after="120" w:line="220" w:lineRule="exact"/>
              <w:ind w:right="113"/>
            </w:pPr>
            <w:r w:rsidRPr="00922A08">
              <w:t>Consignor</w:t>
            </w:r>
          </w:p>
          <w:p w:rsidR="00EC7414" w:rsidRPr="00922A08" w:rsidRDefault="00EC7414" w:rsidP="00EC7414">
            <w:pPr>
              <w:suppressAutoHyphens w:val="0"/>
              <w:spacing w:before="40" w:after="120" w:line="220" w:lineRule="exact"/>
              <w:ind w:right="113"/>
            </w:pPr>
            <w:r w:rsidRPr="00922A08">
              <w:t>Carrier</w:t>
            </w:r>
          </w:p>
        </w:tc>
        <w:tc>
          <w:tcPr>
            <w:tcW w:w="2814" w:type="dxa"/>
            <w:shd w:val="clear" w:color="auto" w:fill="auto"/>
          </w:tcPr>
          <w:p w:rsidR="00EC7414" w:rsidRPr="00922A08" w:rsidRDefault="00EC7414" w:rsidP="00EC7414">
            <w:pPr>
              <w:suppressAutoHyphens w:val="0"/>
              <w:spacing w:before="40" w:after="120" w:line="220" w:lineRule="exact"/>
              <w:ind w:right="113"/>
            </w:pPr>
            <w:r w:rsidRPr="00922A08">
              <w:t>1.4.2.1.1 (c)</w:t>
            </w:r>
          </w:p>
          <w:p w:rsidR="00EC7414" w:rsidRPr="00922A08" w:rsidRDefault="00EC7414" w:rsidP="00EC7414">
            <w:pPr>
              <w:suppressAutoHyphens w:val="0"/>
              <w:spacing w:before="40" w:after="120" w:line="220" w:lineRule="exact"/>
              <w:ind w:right="113"/>
            </w:pPr>
            <w:r w:rsidRPr="00922A08">
              <w:t>1.4.2.2.1 (c) (Visual inspection)</w:t>
            </w:r>
          </w:p>
        </w:tc>
      </w:tr>
    </w:tbl>
    <w:p w:rsidR="00184BCA" w:rsidRPr="00CB3312" w:rsidRDefault="00184BCA" w:rsidP="00814B4B">
      <w:pPr>
        <w:pStyle w:val="HChG"/>
      </w:pPr>
      <w:r w:rsidRPr="00CB3312">
        <w:tab/>
      </w:r>
      <w:r w:rsidRPr="00CB3312">
        <w:tab/>
        <w:t>Additional stowage requirement</w:t>
      </w:r>
    </w:p>
    <w:p w:rsidR="00184BCA" w:rsidRPr="00CB3312" w:rsidRDefault="00184BCA" w:rsidP="00814B4B">
      <w:pPr>
        <w:pStyle w:val="SingleTxtG"/>
      </w:pPr>
      <w:r w:rsidRPr="00CB3312">
        <w:t xml:space="preserve">7. </w:t>
      </w:r>
      <w:r w:rsidRPr="00CB3312">
        <w:tab/>
        <w:t>Germany proposes that the following stowage requirement should be added specifically for temperature controlled cargo transport units. It is based on stowage requirement HA01 and stowage code SW1 under 7.1.5 of the IMDG Code, with the addition of 7.1.7.1, 7.1.7.4.2 and 7.1.7.4.3. The following selection of affected UN numbers is based on the carriage prohibitions in RID.</w:t>
      </w:r>
    </w:p>
    <w:p w:rsidR="00184BCA" w:rsidRPr="00CB3312" w:rsidRDefault="00184BCA" w:rsidP="00814B4B">
      <w:pPr>
        <w:pStyle w:val="SingleTxtG"/>
      </w:pPr>
      <w:r w:rsidRPr="00CB3312">
        <w:t>8.</w:t>
      </w:r>
      <w:r w:rsidRPr="00CB3312">
        <w:tab/>
        <w:t>At the end of 7.1.6.14, add the following stowage requirement:</w:t>
      </w:r>
    </w:p>
    <w:p w:rsidR="00184BCA" w:rsidRPr="00CB3312" w:rsidRDefault="008300E7" w:rsidP="00814B4B">
      <w:pPr>
        <w:pStyle w:val="SingleTxtG"/>
        <w:ind w:left="1701"/>
      </w:pPr>
      <w:r>
        <w:t>“</w:t>
      </w:r>
      <w:r w:rsidR="00184BCA" w:rsidRPr="00CB3312">
        <w:t>HA11: Cargo transport units containing materials to be transported under temperature control in accordance with 7.1.7 of these regulations must be kept at least 3.00 m from all sources of heat and stowed in such a way that:</w:t>
      </w:r>
    </w:p>
    <w:p w:rsidR="00184BCA" w:rsidRPr="00CB3312" w:rsidRDefault="00D63C13" w:rsidP="00814B4B">
      <w:pPr>
        <w:pStyle w:val="Bullet2G"/>
        <w:numPr>
          <w:ilvl w:val="0"/>
          <w:numId w:val="0"/>
        </w:numPr>
        <w:tabs>
          <w:tab w:val="left" w:pos="2268"/>
        </w:tabs>
        <w:ind w:left="2268" w:hanging="170"/>
      </w:pPr>
      <w:r w:rsidRPr="00CB3312">
        <w:t>•</w:t>
      </w:r>
      <w:r w:rsidRPr="00CB3312">
        <w:tab/>
      </w:r>
      <w:r w:rsidR="00184BCA" w:rsidRPr="00CB3312">
        <w:t>it is possible to regularly monitor service temperatures,</w:t>
      </w:r>
    </w:p>
    <w:p w:rsidR="00184BCA" w:rsidRPr="00CB3312" w:rsidRDefault="00D63C13" w:rsidP="00814B4B">
      <w:pPr>
        <w:pStyle w:val="Bullet2G"/>
        <w:numPr>
          <w:ilvl w:val="0"/>
          <w:numId w:val="0"/>
        </w:numPr>
        <w:tabs>
          <w:tab w:val="left" w:pos="2268"/>
        </w:tabs>
        <w:ind w:left="2268" w:hanging="170"/>
      </w:pPr>
      <w:r w:rsidRPr="00CB3312">
        <w:t>•</w:t>
      </w:r>
      <w:r w:rsidRPr="00CB3312">
        <w:tab/>
      </w:r>
      <w:r w:rsidR="00184BCA" w:rsidRPr="00CB3312">
        <w:t>visible and audible alarms are noticeable in the wheelhouse,</w:t>
      </w:r>
    </w:p>
    <w:p w:rsidR="00184BCA" w:rsidRPr="00CB3312" w:rsidRDefault="00D63C13" w:rsidP="00814B4B">
      <w:pPr>
        <w:pStyle w:val="Bullet2G"/>
        <w:numPr>
          <w:ilvl w:val="0"/>
          <w:numId w:val="0"/>
        </w:numPr>
        <w:tabs>
          <w:tab w:val="left" w:pos="2268"/>
        </w:tabs>
        <w:ind w:left="2268" w:hanging="170"/>
      </w:pPr>
      <w:r w:rsidRPr="00CB3312">
        <w:t>•</w:t>
      </w:r>
      <w:r w:rsidRPr="00CB3312">
        <w:tab/>
      </w:r>
      <w:r w:rsidR="00184BCA" w:rsidRPr="00CB3312">
        <w:t>any necessary repairs to the refrigeration system, increases in refrigeration capacity and other steps of the emergency procedure can be carried out.</w:t>
      </w:r>
    </w:p>
    <w:p w:rsidR="00184BCA" w:rsidRPr="00CB3312" w:rsidRDefault="00184BCA" w:rsidP="00814B4B">
      <w:pPr>
        <w:pStyle w:val="SingleTxtG"/>
        <w:ind w:left="1701"/>
      </w:pPr>
      <w:r w:rsidRPr="00CB3312">
        <w:t>The requirements established under 7.1.4.4.4 remain applicable.</w:t>
      </w:r>
      <w:r w:rsidR="008300E7">
        <w:t>”</w:t>
      </w:r>
      <w:r w:rsidRPr="00CB3312">
        <w:t xml:space="preserve"> </w:t>
      </w:r>
    </w:p>
    <w:p w:rsidR="00184BCA" w:rsidRPr="00CB3312" w:rsidRDefault="00184BCA" w:rsidP="00814B4B">
      <w:pPr>
        <w:pStyle w:val="SingleTxtG"/>
      </w:pPr>
      <w:r w:rsidRPr="00CB3312">
        <w:t>9.</w:t>
      </w:r>
      <w:r w:rsidRPr="00CB3312">
        <w:tab/>
        <w:t xml:space="preserve">In Table A, Column (11), for UN Nos. 3111, 3112, 3113, 3114, 3115, 3116, 3117, 3118, 3119, 3120, 3231, 3232, 3233, 3234, 3236, 3237, 3238, 3229, 3240, 3533 and 3534, insert </w:t>
      </w:r>
      <w:r w:rsidR="008300E7">
        <w:t>“</w:t>
      </w:r>
      <w:r w:rsidRPr="00CB3312">
        <w:t>HA10, HA11</w:t>
      </w:r>
      <w:r w:rsidR="008300E7">
        <w:t>”</w:t>
      </w:r>
      <w:r w:rsidRPr="00CB3312">
        <w:t>.</w:t>
      </w:r>
    </w:p>
    <w:p w:rsidR="00184BCA" w:rsidRPr="00CB3312" w:rsidRDefault="00184BCA" w:rsidP="00814B4B">
      <w:pPr>
        <w:pStyle w:val="HChG"/>
      </w:pPr>
      <w:r w:rsidRPr="00CB3312">
        <w:lastRenderedPageBreak/>
        <w:tab/>
      </w:r>
      <w:r w:rsidRPr="00CB3312">
        <w:tab/>
        <w:t>Safety</w:t>
      </w:r>
    </w:p>
    <w:p w:rsidR="00184BCA" w:rsidRPr="00CB3312" w:rsidRDefault="00184BCA" w:rsidP="00814B4B">
      <w:pPr>
        <w:pStyle w:val="SingleTxtG"/>
      </w:pPr>
      <w:r w:rsidRPr="00CB3312">
        <w:t xml:space="preserve">10. </w:t>
      </w:r>
      <w:r w:rsidRPr="00CB3312">
        <w:tab/>
        <w:t>Transport safety is improved where ADN requirements are written clearly and make unequivocally clear to whom they apply.</w:t>
      </w:r>
    </w:p>
    <w:p w:rsidR="00184BCA" w:rsidRPr="00CB3312" w:rsidRDefault="00184BCA" w:rsidP="00814B4B">
      <w:pPr>
        <w:pStyle w:val="HChG"/>
      </w:pPr>
      <w:r w:rsidRPr="00CB3312">
        <w:tab/>
      </w:r>
      <w:r w:rsidRPr="00CB3312">
        <w:tab/>
        <w:t>Implementation</w:t>
      </w:r>
    </w:p>
    <w:p w:rsidR="00184BCA" w:rsidRPr="00CB3312" w:rsidRDefault="00184BCA" w:rsidP="00814B4B">
      <w:pPr>
        <w:pStyle w:val="SingleTxtG"/>
      </w:pPr>
      <w:r w:rsidRPr="00CB3312">
        <w:t xml:space="preserve">11. </w:t>
      </w:r>
      <w:r w:rsidRPr="00CB3312">
        <w:tab/>
        <w:t>No existing obligation has been amended. No amendment is necessary in relation to shipbuilding nor in relation to the cargo transport units to be transported. Operational requirements for loading and carriage may be easily observed through organizational measures.</w:t>
      </w:r>
    </w:p>
    <w:p w:rsidR="007268F9" w:rsidRPr="00ED7631" w:rsidRDefault="00ED7631" w:rsidP="00ED7631">
      <w:pPr>
        <w:jc w:val="center"/>
        <w:rPr>
          <w:u w:val="single"/>
        </w:rPr>
      </w:pPr>
      <w:r w:rsidRPr="00ED7631">
        <w:rPr>
          <w:u w:val="single"/>
        </w:rPr>
        <w:tab/>
      </w:r>
      <w:r w:rsidRPr="00ED7631">
        <w:rPr>
          <w:u w:val="single"/>
        </w:rPr>
        <w:tab/>
      </w:r>
      <w:r w:rsidRPr="00ED7631">
        <w:rPr>
          <w:u w:val="single"/>
        </w:rPr>
        <w:tab/>
      </w:r>
    </w:p>
    <w:sectPr w:rsidR="007268F9" w:rsidRPr="00ED7631"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695" w:rsidRPr="00FB1744" w:rsidRDefault="00DF0695" w:rsidP="00FB1744">
      <w:pPr>
        <w:pStyle w:val="Footer"/>
      </w:pPr>
    </w:p>
  </w:endnote>
  <w:endnote w:type="continuationSeparator" w:id="0">
    <w:p w:rsidR="00DF0695" w:rsidRPr="00FB1744" w:rsidRDefault="00DF069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D82" w:rsidRDefault="004C2D82" w:rsidP="004C2D82">
    <w:pPr>
      <w:pStyle w:val="Footer"/>
      <w:tabs>
        <w:tab w:val="right" w:pos="9638"/>
      </w:tabs>
    </w:pPr>
    <w:r w:rsidRPr="004C2D82">
      <w:rPr>
        <w:b/>
        <w:bCs/>
        <w:sz w:val="18"/>
      </w:rPr>
      <w:fldChar w:fldCharType="begin"/>
    </w:r>
    <w:r w:rsidRPr="004C2D82">
      <w:rPr>
        <w:b/>
        <w:bCs/>
        <w:sz w:val="18"/>
      </w:rPr>
      <w:instrText xml:space="preserve"> PAGE  \* MERGEFORMAT </w:instrText>
    </w:r>
    <w:r w:rsidRPr="004C2D82">
      <w:rPr>
        <w:b/>
        <w:bCs/>
        <w:sz w:val="18"/>
      </w:rPr>
      <w:fldChar w:fldCharType="separate"/>
    </w:r>
    <w:r w:rsidR="00D63C13">
      <w:rPr>
        <w:b/>
        <w:bCs/>
        <w:noProof/>
        <w:sz w:val="18"/>
      </w:rPr>
      <w:t>4</w:t>
    </w:r>
    <w:r w:rsidRPr="004C2D82">
      <w:rPr>
        <w:b/>
        <w:bCs/>
        <w:sz w:val="18"/>
      </w:rPr>
      <w:fldChar w:fldCharType="end"/>
    </w:r>
    <w:r>
      <w:tab/>
      <w:t>GE.18-18004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D82" w:rsidRDefault="004C2D82" w:rsidP="004C2D82">
    <w:pPr>
      <w:pStyle w:val="Footer"/>
      <w:tabs>
        <w:tab w:val="right" w:pos="9638"/>
      </w:tabs>
    </w:pPr>
    <w:r>
      <w:t>GE.18-18004</w:t>
    </w:r>
    <w:r>
      <w:tab/>
    </w:r>
    <w:r w:rsidRPr="004C2D82">
      <w:rPr>
        <w:b/>
        <w:bCs/>
        <w:sz w:val="18"/>
      </w:rPr>
      <w:fldChar w:fldCharType="begin"/>
    </w:r>
    <w:r w:rsidRPr="004C2D82">
      <w:rPr>
        <w:b/>
        <w:bCs/>
        <w:sz w:val="18"/>
      </w:rPr>
      <w:instrText xml:space="preserve"> PAGE  \* MERGEFORMAT </w:instrText>
    </w:r>
    <w:r w:rsidRPr="004C2D82">
      <w:rPr>
        <w:b/>
        <w:bCs/>
        <w:sz w:val="18"/>
      </w:rPr>
      <w:fldChar w:fldCharType="separate"/>
    </w:r>
    <w:r w:rsidR="00D63C13">
      <w:rPr>
        <w:b/>
        <w:bCs/>
        <w:noProof/>
        <w:sz w:val="18"/>
      </w:rPr>
      <w:t>5</w:t>
    </w:r>
    <w:r w:rsidRPr="004C2D8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4C2D82"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C2D82" w:rsidRDefault="004C2D82" w:rsidP="00595068">
    <w:r>
      <w:t>GE.18-18004  (E)</w:t>
    </w:r>
    <w:r w:rsidR="002E3AAF">
      <w:t xml:space="preserve">    151118    </w:t>
    </w:r>
    <w:r w:rsidR="00595068">
      <w:t>16</w:t>
    </w:r>
    <w:r w:rsidR="002E3AAF">
      <w:t>1118</w:t>
    </w:r>
  </w:p>
  <w:p w:rsidR="004C2D82" w:rsidRPr="004C2D82" w:rsidRDefault="004C2D82" w:rsidP="004C2D8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9/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695" w:rsidRPr="00FB1744" w:rsidRDefault="00DF0695" w:rsidP="00FB1744">
      <w:pPr>
        <w:tabs>
          <w:tab w:val="right" w:pos="2155"/>
        </w:tabs>
        <w:spacing w:after="80" w:line="240" w:lineRule="auto"/>
        <w:ind w:left="680"/>
      </w:pPr>
      <w:r>
        <w:rPr>
          <w:u w:val="single"/>
        </w:rPr>
        <w:tab/>
      </w:r>
    </w:p>
  </w:footnote>
  <w:footnote w:type="continuationSeparator" w:id="0">
    <w:p w:rsidR="00DF0695" w:rsidRPr="00FB1744" w:rsidRDefault="00DF0695" w:rsidP="00FB1744">
      <w:pPr>
        <w:tabs>
          <w:tab w:val="right" w:pos="2155"/>
        </w:tabs>
        <w:spacing w:after="80" w:line="240" w:lineRule="auto"/>
        <w:ind w:left="680"/>
      </w:pPr>
      <w:r>
        <w:rPr>
          <w:u w:val="single"/>
        </w:rPr>
        <w:tab/>
      </w:r>
    </w:p>
  </w:footnote>
  <w:footnote w:id="1">
    <w:p w:rsidR="00184BCA" w:rsidRPr="00DD4335" w:rsidRDefault="00184BCA" w:rsidP="00184BCA">
      <w:pPr>
        <w:pStyle w:val="FootnoteText"/>
      </w:pPr>
      <w:r>
        <w:tab/>
      </w:r>
      <w:r w:rsidRPr="007F1866">
        <w:rPr>
          <w:rStyle w:val="FootnoteReference"/>
          <w:sz w:val="20"/>
          <w:szCs w:val="22"/>
          <w:vertAlign w:val="baseline"/>
        </w:rPr>
        <w:t>*</w:t>
      </w:r>
      <w:r>
        <w:tab/>
        <w:t>Distributed in German by the Central Commission for the Navigation of the Rhine in document CCNR-ZKR/ADN/WP.15/AC.2/2019/6.</w:t>
      </w:r>
    </w:p>
  </w:footnote>
  <w:footnote w:id="2">
    <w:p w:rsidR="00184BCA" w:rsidRPr="00DD4335" w:rsidRDefault="00184BCA" w:rsidP="004949F8">
      <w:pPr>
        <w:pStyle w:val="FootnoteText"/>
      </w:pPr>
      <w:r>
        <w:tab/>
      </w:r>
      <w:r w:rsidRPr="007F1866">
        <w:rPr>
          <w:rStyle w:val="FootnoteReference"/>
          <w:sz w:val="20"/>
          <w:szCs w:val="22"/>
          <w:vertAlign w:val="baseline"/>
        </w:rPr>
        <w:t xml:space="preserve">** </w:t>
      </w:r>
      <w:r>
        <w:tab/>
        <w:t>In accordance with the programme of work of the Inland Transport Committee for 2018</w:t>
      </w:r>
      <w:r w:rsidR="004949F8">
        <w:t>–</w:t>
      </w:r>
      <w:r>
        <w:t>2019 (ECE/TRANS/2018/21/Add.1, cluster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D82" w:rsidRDefault="004C2D82" w:rsidP="004C2D82">
    <w:pPr>
      <w:pStyle w:val="Header"/>
    </w:pPr>
    <w:r>
      <w:t>ECE/TRANS/WP.15/AC.2/2019/6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D82" w:rsidRDefault="004C2D82" w:rsidP="004C2D82">
    <w:pPr>
      <w:pStyle w:val="Header"/>
      <w:jc w:val="right"/>
    </w:pPr>
    <w:r>
      <w:t>ECE/TRANS/WP.15/AC.2/2019/6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F0695"/>
    <w:rsid w:val="00046E92"/>
    <w:rsid w:val="00063C66"/>
    <w:rsid w:val="000D1B89"/>
    <w:rsid w:val="001170DC"/>
    <w:rsid w:val="00171295"/>
    <w:rsid w:val="00184BCA"/>
    <w:rsid w:val="00247E2C"/>
    <w:rsid w:val="0028330F"/>
    <w:rsid w:val="002D04B5"/>
    <w:rsid w:val="002D1E43"/>
    <w:rsid w:val="002D6C53"/>
    <w:rsid w:val="002E3AAF"/>
    <w:rsid w:val="002F5595"/>
    <w:rsid w:val="00324186"/>
    <w:rsid w:val="00334F6A"/>
    <w:rsid w:val="00342AC8"/>
    <w:rsid w:val="00353493"/>
    <w:rsid w:val="00371873"/>
    <w:rsid w:val="003A746D"/>
    <w:rsid w:val="003B4550"/>
    <w:rsid w:val="003F0EB5"/>
    <w:rsid w:val="00405817"/>
    <w:rsid w:val="00461253"/>
    <w:rsid w:val="004949F8"/>
    <w:rsid w:val="004C2D82"/>
    <w:rsid w:val="004D6647"/>
    <w:rsid w:val="005042C2"/>
    <w:rsid w:val="00506C12"/>
    <w:rsid w:val="00515143"/>
    <w:rsid w:val="0056599A"/>
    <w:rsid w:val="00587690"/>
    <w:rsid w:val="00594775"/>
    <w:rsid w:val="00595068"/>
    <w:rsid w:val="00671529"/>
    <w:rsid w:val="00717266"/>
    <w:rsid w:val="007268F9"/>
    <w:rsid w:val="007511A3"/>
    <w:rsid w:val="007C52B0"/>
    <w:rsid w:val="007F0AB7"/>
    <w:rsid w:val="007F1866"/>
    <w:rsid w:val="007F3C7C"/>
    <w:rsid w:val="00814B4B"/>
    <w:rsid w:val="008300E7"/>
    <w:rsid w:val="008824DB"/>
    <w:rsid w:val="00922A08"/>
    <w:rsid w:val="009411B4"/>
    <w:rsid w:val="009602EC"/>
    <w:rsid w:val="009D0139"/>
    <w:rsid w:val="009F5CDC"/>
    <w:rsid w:val="00A54904"/>
    <w:rsid w:val="00A61A28"/>
    <w:rsid w:val="00A75ED9"/>
    <w:rsid w:val="00A775CF"/>
    <w:rsid w:val="00A83E70"/>
    <w:rsid w:val="00AB27D6"/>
    <w:rsid w:val="00AB3C7E"/>
    <w:rsid w:val="00AE56B1"/>
    <w:rsid w:val="00B06045"/>
    <w:rsid w:val="00B17CEE"/>
    <w:rsid w:val="00B41450"/>
    <w:rsid w:val="00C2035F"/>
    <w:rsid w:val="00C35A27"/>
    <w:rsid w:val="00C86F44"/>
    <w:rsid w:val="00CB44A6"/>
    <w:rsid w:val="00D31FDB"/>
    <w:rsid w:val="00D63C13"/>
    <w:rsid w:val="00DF0695"/>
    <w:rsid w:val="00E02C2B"/>
    <w:rsid w:val="00E35DB7"/>
    <w:rsid w:val="00EB0DA7"/>
    <w:rsid w:val="00EC7414"/>
    <w:rsid w:val="00ED6C48"/>
    <w:rsid w:val="00ED7631"/>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1F9894-EAA4-45E3-84A7-3F7D1699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B65F-91DE-4317-950D-3A470D52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ECE/TRANS/WP.15/AC.2/2019/6</vt:lpstr>
    </vt:vector>
  </TitlesOfParts>
  <Company>DCM</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ECE/TRANS/WP.15/AC.2/2019/6</dc:title>
  <dc:subject>1818004</dc:subject>
  <dc:creator>cg</dc:creator>
  <cp:keywords/>
  <dc:description/>
  <cp:lastModifiedBy>Marie-Claude Collet</cp:lastModifiedBy>
  <cp:revision>3</cp:revision>
  <cp:lastPrinted>2018-11-28T10:32:00Z</cp:lastPrinted>
  <dcterms:created xsi:type="dcterms:W3CDTF">2018-11-16T13:40:00Z</dcterms:created>
  <dcterms:modified xsi:type="dcterms:W3CDTF">2018-11-28T10:42:00Z</dcterms:modified>
</cp:coreProperties>
</file>