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A6F9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A6F95" w:rsidP="000A6F95">
            <w:pPr>
              <w:jc w:val="right"/>
            </w:pPr>
            <w:r w:rsidRPr="000A6F95">
              <w:rPr>
                <w:sz w:val="40"/>
              </w:rPr>
              <w:t>ECE</w:t>
            </w:r>
            <w:r>
              <w:t>/TRANS/WP.15/AC.2/2019/5</w:t>
            </w:r>
          </w:p>
        </w:tc>
      </w:tr>
      <w:tr w:rsidR="002D5AAC" w:rsidRPr="000A6F9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A6F9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A6F95" w:rsidRDefault="000A6F95" w:rsidP="000A6F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October 2018</w:t>
            </w:r>
          </w:p>
          <w:p w:rsidR="000A6F95" w:rsidRDefault="000A6F95" w:rsidP="000A6F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A6F95" w:rsidRPr="008D53B6" w:rsidRDefault="000A6F95" w:rsidP="000A6F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A6F95" w:rsidRPr="00B518D8" w:rsidRDefault="000A6F95" w:rsidP="000A6F95">
      <w:pPr>
        <w:spacing w:before="120"/>
        <w:rPr>
          <w:sz w:val="28"/>
          <w:szCs w:val="28"/>
        </w:rPr>
      </w:pPr>
      <w:r w:rsidRPr="00B518D8">
        <w:rPr>
          <w:sz w:val="28"/>
          <w:szCs w:val="28"/>
        </w:rPr>
        <w:t>Комитет по внутреннему транспорту</w:t>
      </w:r>
    </w:p>
    <w:p w:rsidR="000A6F95" w:rsidRPr="00DF753E" w:rsidRDefault="000A6F95" w:rsidP="000A6F95">
      <w:pPr>
        <w:spacing w:before="120"/>
        <w:rPr>
          <w:b/>
          <w:sz w:val="24"/>
          <w:szCs w:val="24"/>
        </w:rPr>
      </w:pPr>
      <w:r w:rsidRPr="00DF753E">
        <w:rPr>
          <w:b/>
          <w:bCs/>
          <w:sz w:val="24"/>
          <w:szCs w:val="24"/>
        </w:rPr>
        <w:t>Рабочая группа по перевозкам опасных грузов</w:t>
      </w:r>
    </w:p>
    <w:p w:rsidR="000A6F95" w:rsidRPr="00B518D8" w:rsidRDefault="000A6F95" w:rsidP="000A6F95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:rsidR="000A6F95" w:rsidRPr="00B518D8" w:rsidRDefault="000A6F95" w:rsidP="000A6F95">
      <w:pPr>
        <w:spacing w:before="120"/>
        <w:rPr>
          <w:b/>
        </w:rPr>
      </w:pPr>
      <w:r>
        <w:rPr>
          <w:b/>
          <w:bCs/>
        </w:rPr>
        <w:t>Тридцать четвертая сессия</w:t>
      </w:r>
    </w:p>
    <w:p w:rsidR="000A6F95" w:rsidRPr="00B518D8" w:rsidRDefault="000A6F95" w:rsidP="000A6F95">
      <w:r>
        <w:t>Женева, 21–25 января 2019 года</w:t>
      </w:r>
    </w:p>
    <w:p w:rsidR="000A6F95" w:rsidRPr="00B518D8" w:rsidRDefault="000A6F95" w:rsidP="000A6F95">
      <w:r>
        <w:t>Пункт 7 предварительной повестки дня</w:t>
      </w:r>
    </w:p>
    <w:p w:rsidR="000A6F95" w:rsidRDefault="000A6F95" w:rsidP="000A6F95">
      <w:pPr>
        <w:suppressAutoHyphens w:val="0"/>
        <w:spacing w:line="240" w:lineRule="auto"/>
      </w:pPr>
      <w:r>
        <w:rPr>
          <w:b/>
          <w:bCs/>
        </w:rPr>
        <w:t>Программа работы и расписание совещаний</w:t>
      </w:r>
    </w:p>
    <w:p w:rsidR="000A6F95" w:rsidRPr="00B518D8" w:rsidRDefault="000A6F95" w:rsidP="000A6F95">
      <w:pPr>
        <w:pStyle w:val="HChG"/>
        <w:rPr>
          <w:lang w:val="ru-RU"/>
        </w:rPr>
      </w:pPr>
      <w:r>
        <w:rPr>
          <w:bCs/>
          <w:lang w:val="ru-RU"/>
        </w:rPr>
        <w:tab/>
      </w:r>
      <w:r>
        <w:rPr>
          <w:bCs/>
          <w:lang w:val="ru-RU"/>
        </w:rPr>
        <w:tab/>
        <w:t>Учреждение неофициальной рабочей группы по</w:t>
      </w:r>
      <w:r>
        <w:rPr>
          <w:bCs/>
          <w:lang w:val="en-US"/>
        </w:rPr>
        <w:t> </w:t>
      </w:r>
      <w:r>
        <w:rPr>
          <w:bCs/>
          <w:lang w:val="ru-RU"/>
        </w:rPr>
        <w:t>стандартам</w:t>
      </w:r>
    </w:p>
    <w:p w:rsidR="000A6F95" w:rsidRDefault="000A6F95" w:rsidP="000A6F95">
      <w:pPr>
        <w:pStyle w:val="H1GR"/>
      </w:pPr>
      <w:r>
        <w:tab/>
      </w:r>
      <w:r>
        <w:tab/>
        <w:t>Передано правительствами Германии и Люксембурга</w:t>
      </w:r>
      <w:r w:rsidRPr="000A6F95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0A6F95">
        <w:rPr>
          <w:sz w:val="20"/>
        </w:rPr>
        <w:t xml:space="preserve"> </w:t>
      </w:r>
      <w:r w:rsidRPr="000A6F95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0A6F95" w:rsidRPr="000A6F95" w:rsidTr="000A6F95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0A6F95" w:rsidRPr="000A6F95" w:rsidRDefault="000A6F95" w:rsidP="000A6F9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0A6F95">
              <w:rPr>
                <w:rFonts w:cs="Times New Roman"/>
              </w:rPr>
              <w:tab/>
            </w:r>
            <w:r w:rsidRPr="000A6F95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0A6F95" w:rsidRPr="000A6F95" w:rsidTr="000A6F95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0A6F95" w:rsidRDefault="000A6F95" w:rsidP="000A6F95">
            <w:pPr>
              <w:pStyle w:val="SingleTxtGR"/>
              <w:ind w:left="2835" w:hanging="2580"/>
            </w:pPr>
            <w:r w:rsidRPr="000A6F95">
              <w:rPr>
                <w:b/>
              </w:rPr>
              <w:t>Существо предложения:</w:t>
            </w:r>
            <w:r>
              <w:tab/>
            </w:r>
            <w:r w:rsidRPr="000A6F95">
              <w:t>После рассмотрения документа, представленного Европейским союзом речного судоходства (ЕСРС) в ходе двадцатой сессии Комитета по вопросам безопасности ВОПОГ в январе 2012 года, Германии было поручено учредить неофициальную рабочую группу по разработке механизма регулярной проверки ссылок на стандарты в ВОПОГ.</w:t>
            </w:r>
          </w:p>
          <w:p w:rsidR="000A6F95" w:rsidRDefault="000A6F95" w:rsidP="000A6F95">
            <w:pPr>
              <w:pStyle w:val="SingleTxtGR"/>
              <w:ind w:left="2835" w:hanging="2580"/>
            </w:pPr>
            <w:r w:rsidRPr="000A6F95">
              <w:rPr>
                <w:b/>
              </w:rPr>
              <w:t>Предлагаемое решение:</w:t>
            </w:r>
            <w:r>
              <w:tab/>
            </w:r>
            <w:r w:rsidRPr="000A6F95">
              <w:t>Просьба о сотрудничестве и приглашение на первое совещание рабочей группы, которое состоится в течение десятой календарной недели 2019 года (4–8 марта).</w:t>
            </w:r>
          </w:p>
          <w:p w:rsidR="000A6F95" w:rsidRPr="000A6F95" w:rsidRDefault="000A6F95" w:rsidP="000A6F95">
            <w:pPr>
              <w:pStyle w:val="SingleTxtGR"/>
              <w:ind w:left="2835" w:hanging="2580"/>
            </w:pPr>
            <w:r w:rsidRPr="000A6F95">
              <w:rPr>
                <w:b/>
              </w:rPr>
              <w:t>Справочные документы:</w:t>
            </w:r>
            <w:r>
              <w:tab/>
            </w:r>
            <w:r w:rsidRPr="000A6F95">
              <w:t>Неофициальный документ INF.30 (ЕСРС), представленный для двадцатой сессии Комитета по вопросам безопасности. Доклад о работе двадцатой сессии Комитета по вопросам безопасности ВОПОГ, ECE/TRANS/WP.15/AC.2/42, пункты 44, 45.</w:t>
            </w:r>
          </w:p>
        </w:tc>
      </w:tr>
      <w:tr w:rsidR="000A6F95" w:rsidRPr="000A6F95" w:rsidTr="000A6F95">
        <w:trPr>
          <w:jc w:val="center"/>
        </w:trPr>
        <w:tc>
          <w:tcPr>
            <w:tcW w:w="9628" w:type="dxa"/>
            <w:tcBorders>
              <w:top w:val="nil"/>
            </w:tcBorders>
          </w:tcPr>
          <w:p w:rsidR="000A6F95" w:rsidRPr="000A6F95" w:rsidRDefault="000A6F95" w:rsidP="00850215">
            <w:pPr>
              <w:rPr>
                <w:rFonts w:cs="Times New Roman"/>
              </w:rPr>
            </w:pPr>
          </w:p>
        </w:tc>
      </w:tr>
    </w:tbl>
    <w:p w:rsidR="000A6F95" w:rsidRPr="00B518D8" w:rsidRDefault="000A6F95" w:rsidP="000A6F95">
      <w:pPr>
        <w:pStyle w:val="HChG"/>
        <w:rPr>
          <w:lang w:val="ru-RU"/>
        </w:rPr>
      </w:pPr>
      <w:r>
        <w:rPr>
          <w:bCs/>
          <w:lang w:val="ru-RU"/>
        </w:rPr>
        <w:lastRenderedPageBreak/>
        <w:tab/>
      </w:r>
      <w:r>
        <w:rPr>
          <w:bCs/>
          <w:lang w:val="ru-RU"/>
        </w:rPr>
        <w:tab/>
        <w:t>Введение</w:t>
      </w:r>
    </w:p>
    <w:p w:rsidR="000A6F95" w:rsidRPr="00B518D8" w:rsidRDefault="000A6F95" w:rsidP="000A6F95">
      <w:pPr>
        <w:pStyle w:val="SingleTxtG"/>
        <w:rPr>
          <w:lang w:val="ru-RU"/>
        </w:rPr>
      </w:pPr>
      <w:proofErr w:type="gramStart"/>
      <w:r>
        <w:rPr>
          <w:lang w:val="ru-RU"/>
        </w:rPr>
        <w:t>1.</w:t>
      </w:r>
      <w:r>
        <w:rPr>
          <w:lang w:val="ru-RU"/>
        </w:rPr>
        <w:tab/>
        <w:t>В</w:t>
      </w:r>
      <w:proofErr w:type="gramEnd"/>
      <w:r>
        <w:rPr>
          <w:lang w:val="ru-RU"/>
        </w:rPr>
        <w:t xml:space="preserve"> ходе двадцатой сессии Комитета по вопросам безопасности ВОПОГ в январе 2012 года Европейский союз речного судоходства (ЕСРС) представил неофициальный документ INF.30.</w:t>
      </w:r>
    </w:p>
    <w:p w:rsidR="000A6F95" w:rsidRPr="000D7B98" w:rsidRDefault="000A6F95" w:rsidP="000A6F95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ЕСРС обратил внимание на то, что в ВОПОГ приводятся ссылки на технические и прочие стандарты в более чем 50 положениях, чтобы избежать подробных описаний в тексте самих Правил. Было установлено, что многие стандарты были тем временем заменены и получили новый порядковый номер. В результате возникли проблемы, из которых были упомянуты, в частности, следующие:</w:t>
      </w:r>
    </w:p>
    <w:p w:rsidR="000A6F95" w:rsidRPr="00B518D8" w:rsidRDefault="000A6F95" w:rsidP="000A6F95">
      <w:pPr>
        <w:pStyle w:val="SingleTxtG"/>
        <w:ind w:firstLine="567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>использование предметов судового оборудования, которые больше не соответствуют стандарту, указанному в ВОПОГ,</w:t>
      </w:r>
    </w:p>
    <w:p w:rsidR="000A6F95" w:rsidRPr="00B518D8" w:rsidRDefault="000A6F95" w:rsidP="000A6F95">
      <w:pPr>
        <w:pStyle w:val="SingleTxtG"/>
        <w:ind w:firstLine="567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>приобретение предметов судового оборудования, когда стандарт, указанный в ВОПОГ, устарел.</w:t>
      </w:r>
    </w:p>
    <w:p w:rsidR="000A6F95" w:rsidRPr="00B518D8" w:rsidRDefault="000A6F95" w:rsidP="000A6F95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ЕСРС просил подготовить процедуру, позволяющую решить эту проблему надлежащим образом.</w:t>
      </w:r>
    </w:p>
    <w:p w:rsidR="000A6F95" w:rsidRPr="00B518D8" w:rsidRDefault="000A6F95" w:rsidP="000A6F95">
      <w:pPr>
        <w:pStyle w:val="SingleTxtG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Итоги консультаций, проведенных в рамках Комитета по вопросам безопасности, как они отражены в докладе о работе совещания (документ</w:t>
      </w:r>
      <w:r w:rsidR="00DF753E">
        <w:rPr>
          <w:lang w:val="ru-RU"/>
        </w:rPr>
        <w:t> </w:t>
      </w:r>
      <w:r>
        <w:rPr>
          <w:lang w:val="ru-RU"/>
        </w:rPr>
        <w:t>ECE/TRANS/WP.15/AC.2/42), состояли в следующем:</w:t>
      </w:r>
    </w:p>
    <w:p w:rsidR="000A6F95" w:rsidRPr="00B518D8" w:rsidRDefault="000A6F95" w:rsidP="000A6F95">
      <w:pPr>
        <w:pStyle w:val="SingleTxtG"/>
        <w:ind w:left="1701"/>
        <w:rPr>
          <w:b/>
          <w:lang w:val="ru-RU"/>
        </w:rPr>
      </w:pPr>
      <w:r>
        <w:rPr>
          <w:lang w:val="ru-RU"/>
        </w:rPr>
        <w:t>«</w:t>
      </w:r>
      <w:r w:rsidRPr="00DF753E">
        <w:rPr>
          <w:b/>
          <w:lang w:val="ru-RU"/>
        </w:rPr>
        <w:t>19.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Стандарты</w:t>
      </w:r>
    </w:p>
    <w:p w:rsidR="000A6F95" w:rsidRPr="00B518D8" w:rsidRDefault="000A6F95" w:rsidP="000A6F95">
      <w:pPr>
        <w:pStyle w:val="SingleTxtG"/>
        <w:ind w:left="1701"/>
        <w:rPr>
          <w:lang w:val="ru-RU"/>
        </w:rPr>
      </w:pPr>
      <w:r>
        <w:rPr>
          <w:i/>
          <w:iCs/>
          <w:lang w:val="ru-RU"/>
        </w:rPr>
        <w:t>Неофициальный документ</w:t>
      </w:r>
      <w:r>
        <w:rPr>
          <w:lang w:val="ru-RU"/>
        </w:rPr>
        <w:t>:</w:t>
      </w:r>
      <w:r>
        <w:rPr>
          <w:lang w:val="ru-RU"/>
        </w:rPr>
        <w:tab/>
        <w:t>INF.30 (ЕСРС)</w:t>
      </w:r>
    </w:p>
    <w:p w:rsidR="000A6F95" w:rsidRPr="00B518D8" w:rsidRDefault="000A6F95" w:rsidP="000A6F95">
      <w:pPr>
        <w:pStyle w:val="SingleTxtG"/>
        <w:ind w:left="1701"/>
        <w:rPr>
          <w:lang w:val="ru-RU"/>
        </w:rPr>
      </w:pPr>
      <w:r>
        <w:rPr>
          <w:lang w:val="ru-RU"/>
        </w:rPr>
        <w:t>44.</w:t>
      </w:r>
      <w:r>
        <w:rPr>
          <w:lang w:val="ru-RU"/>
        </w:rPr>
        <w:tab/>
        <w:t>Комитет по вопросам безопасности отметил, что Совместное совещание МПОГ/ДОПОГ/ВОПОГ создало механизм для обеспечения обновления ссылок на стандарты, содержащихся в общих требованиях для трех видов транспорта. ЦКСР также рассматривает возможность создания глобального механизма для проверки ссылок на стандарты в различных документах, регулирующих судоходство по Рейну.</w:t>
      </w:r>
    </w:p>
    <w:p w:rsidR="000A6F95" w:rsidRPr="000D7B98" w:rsidRDefault="000A6F95" w:rsidP="000A6F95">
      <w:pPr>
        <w:pStyle w:val="SingleTxtG"/>
        <w:ind w:left="1701"/>
        <w:rPr>
          <w:lang w:val="ru-RU"/>
        </w:rPr>
      </w:pPr>
      <w:r>
        <w:rPr>
          <w:lang w:val="ru-RU"/>
        </w:rPr>
        <w:t>45.</w:t>
      </w:r>
      <w:r>
        <w:rPr>
          <w:lang w:val="ru-RU"/>
        </w:rPr>
        <w:tab/>
        <w:t>Комитет по вопросам безопасности счел, что было бы также полезным создать такой механизм для ссылок на стандарты, содержащихся в Правилах, прилагаемых к ВОПОГ. По приглашению правительства Германии будет проведено совещание неофициальной рабочей группы с целью выработки предложений на этот счет».</w:t>
      </w:r>
    </w:p>
    <w:p w:rsidR="000A6F95" w:rsidRPr="00B518D8" w:rsidRDefault="000A6F95" w:rsidP="000A6F95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Германия выражает сожаление в связи с тем, что в течение последних нескольких лет не было принято никаких мер для выполнения этого мандата. Осуществление этого проекта было, к сожалению, задержано из-за решавшихся тем временем других задач, связанных, в частности, с остойчивостью танкеров внутреннего плавания, дегазацией танкеров, подготовкой экспертов и пересмотром основ взрывозащиты. Поэтому следовало бы возобновить осуществление этого проекта в 2019 году. Люксембург уже подтвердил свое участие в этой работе.</w:t>
      </w:r>
    </w:p>
    <w:p w:rsidR="000A6F95" w:rsidRPr="00B518D8" w:rsidRDefault="000A6F95" w:rsidP="000A6F95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Предложение</w:t>
      </w:r>
    </w:p>
    <w:p w:rsidR="000A6F95" w:rsidRPr="00B518D8" w:rsidRDefault="000A6F95" w:rsidP="000A6F95">
      <w:pPr>
        <w:pStyle w:val="SingleTxtG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Неофициальная рабочая группа по стандартам могла бы выполнить эту работу на основе следующего мандата:</w:t>
      </w:r>
    </w:p>
    <w:p w:rsidR="000A6F95" w:rsidRPr="000D7B98" w:rsidRDefault="000A6F95" w:rsidP="000A6F95">
      <w:pPr>
        <w:pStyle w:val="SingleTxtG"/>
        <w:ind w:firstLine="567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>получение информации о порядке работы рабочей группы по стандартам Совместного совещания МПОГ/ДОПОГ/ВОПОГ;</w:t>
      </w:r>
    </w:p>
    <w:p w:rsidR="000A6F95" w:rsidRPr="000D7B98" w:rsidRDefault="000A6F95" w:rsidP="000A6F95">
      <w:pPr>
        <w:pStyle w:val="SingleTxtG"/>
        <w:ind w:firstLine="567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>получение информации о механизме, созданном в Центральной комиссии судоходства по Рейну для проверки и обновления ссылок на стандарты;</w:t>
      </w:r>
    </w:p>
    <w:p w:rsidR="000A6F95" w:rsidRPr="000D7B98" w:rsidRDefault="000A6F95" w:rsidP="000A6F95">
      <w:pPr>
        <w:pStyle w:val="SingleTxtG"/>
        <w:ind w:firstLine="567"/>
        <w:rPr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  <w:t>достижение договоренности относительно участия компетентного консультанта ЕКС в работе Совместного совещания;</w:t>
      </w:r>
    </w:p>
    <w:p w:rsidR="000A6F95" w:rsidRPr="00B518D8" w:rsidRDefault="000A6F95" w:rsidP="000A6F95">
      <w:pPr>
        <w:pStyle w:val="SingleTxtG"/>
        <w:ind w:firstLine="567"/>
        <w:rPr>
          <w:lang w:val="ru-RU"/>
        </w:rPr>
      </w:pPr>
      <w:r>
        <w:rPr>
          <w:lang w:val="ru-RU"/>
        </w:rPr>
        <w:lastRenderedPageBreak/>
        <w:t>d)</w:t>
      </w:r>
      <w:r>
        <w:rPr>
          <w:lang w:val="ru-RU"/>
        </w:rPr>
        <w:tab/>
        <w:t>составление перечня ссылок на стандарты в ВОПОГ, включая классификацию стандартов (стандарты, относящиеся непосредственно к ВОПОГ; стандарты общего действия; стандарты, относящиеся к ведению Рабочей группы по стандартам), определение задач, в отношении которых можно будет ссылаться на работу Совместного совещания;</w:t>
      </w:r>
    </w:p>
    <w:p w:rsidR="000A6F95" w:rsidRPr="000D7B98" w:rsidRDefault="000A6F95" w:rsidP="000A6F95">
      <w:pPr>
        <w:pStyle w:val="SingleTxtG"/>
        <w:ind w:firstLine="567"/>
        <w:rPr>
          <w:lang w:val="ru-RU"/>
        </w:rPr>
      </w:pPr>
      <w:r>
        <w:rPr>
          <w:lang w:val="ru-RU"/>
        </w:rPr>
        <w:t>e)</w:t>
      </w:r>
      <w:r>
        <w:rPr>
          <w:lang w:val="ru-RU"/>
        </w:rPr>
        <w:tab/>
        <w:t>разработка предложения о создании механизма для обеспечения обновления ссылок на стандарты в ВОПОГ;</w:t>
      </w:r>
    </w:p>
    <w:p w:rsidR="000A6F95" w:rsidRPr="00B518D8" w:rsidRDefault="000A6F95" w:rsidP="000A6F95">
      <w:pPr>
        <w:pStyle w:val="SingleTxtG"/>
        <w:ind w:firstLine="567"/>
        <w:rPr>
          <w:lang w:val="ru-RU"/>
        </w:rPr>
      </w:pPr>
      <w:r>
        <w:rPr>
          <w:lang w:val="ru-RU"/>
        </w:rPr>
        <w:t>f)</w:t>
      </w:r>
      <w:r>
        <w:rPr>
          <w:lang w:val="ru-RU"/>
        </w:rPr>
        <w:tab/>
        <w:t>внедрение механизма.</w:t>
      </w:r>
    </w:p>
    <w:p w:rsidR="000A6F95" w:rsidRPr="00B518D8" w:rsidRDefault="000A6F95" w:rsidP="000A6F95">
      <w:pPr>
        <w:pStyle w:val="SingleTxtG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>Первое совещание неофициальной рабочей группы можно было бы провести в ходе десятой недели 2019 года, со вторника 5 марта по пятницу 8 марта, в Германии или Люксембурге.</w:t>
      </w:r>
    </w:p>
    <w:p w:rsidR="00E12C5F" w:rsidRDefault="000A6F95" w:rsidP="000A6F95">
      <w:pPr>
        <w:pStyle w:val="SingleTxtGR"/>
      </w:pPr>
      <w:r>
        <w:t>8.</w:t>
      </w:r>
      <w:r>
        <w:tab/>
        <w:t>Деятельность рабочей группы могла бы также представлять интерес для ассоциаций судоходства (приобретение предметов судового оборудования, соответствующих стандартам) и классификационных обществ (соблюдение требований, касающихся конструкции, отчетов о проверке).</w:t>
      </w:r>
    </w:p>
    <w:p w:rsidR="000A6F95" w:rsidRPr="000A6F95" w:rsidRDefault="000A6F95" w:rsidP="000A6F9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A6F95" w:rsidRPr="000A6F95" w:rsidSect="000A6F9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1E0" w:rsidRPr="00A312BC" w:rsidRDefault="00E201E0" w:rsidP="00A312BC"/>
  </w:endnote>
  <w:endnote w:type="continuationSeparator" w:id="0">
    <w:p w:rsidR="00E201E0" w:rsidRPr="00A312BC" w:rsidRDefault="00E201E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F95" w:rsidRPr="000A6F95" w:rsidRDefault="000A6F95">
    <w:pPr>
      <w:pStyle w:val="Footer"/>
    </w:pPr>
    <w:r w:rsidRPr="000A6F95">
      <w:rPr>
        <w:b/>
        <w:sz w:val="18"/>
      </w:rPr>
      <w:fldChar w:fldCharType="begin"/>
    </w:r>
    <w:r w:rsidRPr="000A6F95">
      <w:rPr>
        <w:b/>
        <w:sz w:val="18"/>
      </w:rPr>
      <w:instrText xml:space="preserve"> PAGE  \* MERGEFORMAT </w:instrText>
    </w:r>
    <w:r w:rsidRPr="000A6F95">
      <w:rPr>
        <w:b/>
        <w:sz w:val="18"/>
      </w:rPr>
      <w:fldChar w:fldCharType="separate"/>
    </w:r>
    <w:r w:rsidR="00581BB0">
      <w:rPr>
        <w:b/>
        <w:noProof/>
        <w:sz w:val="18"/>
      </w:rPr>
      <w:t>2</w:t>
    </w:r>
    <w:r w:rsidRPr="000A6F95">
      <w:rPr>
        <w:b/>
        <w:sz w:val="18"/>
      </w:rPr>
      <w:fldChar w:fldCharType="end"/>
    </w:r>
    <w:r>
      <w:rPr>
        <w:b/>
        <w:sz w:val="18"/>
      </w:rPr>
      <w:tab/>
    </w:r>
    <w:r>
      <w:t>GE.18-18003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F95" w:rsidRPr="000A6F95" w:rsidRDefault="000A6F95" w:rsidP="000A6F95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GE.18-18003</w:t>
    </w:r>
    <w:r>
      <w:tab/>
    </w:r>
    <w:r w:rsidRPr="000A6F95">
      <w:rPr>
        <w:b/>
        <w:sz w:val="18"/>
      </w:rPr>
      <w:fldChar w:fldCharType="begin"/>
    </w:r>
    <w:r w:rsidRPr="000A6F95">
      <w:rPr>
        <w:b/>
        <w:sz w:val="18"/>
      </w:rPr>
      <w:instrText xml:space="preserve"> PAGE  \* MERGEFORMAT </w:instrText>
    </w:r>
    <w:r w:rsidRPr="000A6F95">
      <w:rPr>
        <w:b/>
        <w:sz w:val="18"/>
      </w:rPr>
      <w:fldChar w:fldCharType="separate"/>
    </w:r>
    <w:r w:rsidR="00581BB0">
      <w:rPr>
        <w:b/>
        <w:noProof/>
        <w:sz w:val="18"/>
      </w:rPr>
      <w:t>3</w:t>
    </w:r>
    <w:r w:rsidRPr="000A6F9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0A6F95" w:rsidRDefault="000A6F95" w:rsidP="000A6F9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18003  (</w:t>
    </w:r>
    <w:proofErr w:type="gramEnd"/>
    <w:r>
      <w:t>R)  011118  011118</w:t>
    </w:r>
    <w:r>
      <w:br/>
    </w:r>
    <w:r w:rsidRPr="000A6F95">
      <w:rPr>
        <w:rFonts w:ascii="C39T30Lfz" w:hAnsi="C39T30Lfz"/>
        <w:kern w:val="14"/>
        <w:sz w:val="56"/>
      </w:rPr>
      <w:t></w:t>
    </w:r>
    <w:r w:rsidRPr="000A6F95">
      <w:rPr>
        <w:rFonts w:ascii="C39T30Lfz" w:hAnsi="C39T30Lfz"/>
        <w:kern w:val="14"/>
        <w:sz w:val="56"/>
      </w:rPr>
      <w:t></w:t>
    </w:r>
    <w:r w:rsidRPr="000A6F95">
      <w:rPr>
        <w:rFonts w:ascii="C39T30Lfz" w:hAnsi="C39T30Lfz"/>
        <w:kern w:val="14"/>
        <w:sz w:val="56"/>
      </w:rPr>
      <w:t></w:t>
    </w:r>
    <w:r w:rsidRPr="000A6F95">
      <w:rPr>
        <w:rFonts w:ascii="C39T30Lfz" w:hAnsi="C39T30Lfz"/>
        <w:kern w:val="14"/>
        <w:sz w:val="56"/>
      </w:rPr>
      <w:t></w:t>
    </w:r>
    <w:r w:rsidRPr="000A6F95">
      <w:rPr>
        <w:rFonts w:ascii="C39T30Lfz" w:hAnsi="C39T30Lfz"/>
        <w:kern w:val="14"/>
        <w:sz w:val="56"/>
      </w:rPr>
      <w:t></w:t>
    </w:r>
    <w:r w:rsidRPr="000A6F95">
      <w:rPr>
        <w:rFonts w:ascii="C39T30Lfz" w:hAnsi="C39T30Lfz"/>
        <w:kern w:val="14"/>
        <w:sz w:val="56"/>
      </w:rPr>
      <w:t></w:t>
    </w:r>
    <w:r w:rsidRPr="000A6F95">
      <w:rPr>
        <w:rFonts w:ascii="C39T30Lfz" w:hAnsi="C39T30Lfz"/>
        <w:kern w:val="14"/>
        <w:sz w:val="56"/>
      </w:rPr>
      <w:t></w:t>
    </w:r>
    <w:r w:rsidRPr="000A6F95">
      <w:rPr>
        <w:rFonts w:ascii="C39T30Lfz" w:hAnsi="C39T30Lfz"/>
        <w:kern w:val="14"/>
        <w:sz w:val="56"/>
      </w:rPr>
      <w:t></w:t>
    </w:r>
    <w:r w:rsidRPr="000A6F9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9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1E0" w:rsidRPr="001075E9" w:rsidRDefault="00E201E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201E0" w:rsidRDefault="00E201E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A6F95" w:rsidRPr="00B518D8" w:rsidRDefault="000A6F95" w:rsidP="000A6F95">
      <w:pPr>
        <w:pStyle w:val="FootnoteText"/>
      </w:pPr>
      <w:r>
        <w:tab/>
      </w:r>
      <w:r w:rsidRPr="000A6F95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CCNR/ZKR/ADN/WP.15/AC.2/2019/5.</w:t>
      </w:r>
    </w:p>
  </w:footnote>
  <w:footnote w:id="2">
    <w:p w:rsidR="000A6F95" w:rsidRPr="00B518D8" w:rsidRDefault="000A6F95" w:rsidP="000A6F95">
      <w:pPr>
        <w:pStyle w:val="FootnoteText"/>
      </w:pPr>
      <w:r>
        <w:tab/>
      </w:r>
      <w:r w:rsidRPr="000A6F95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2018–2019 годы (ECE/TRANS/2018/21/Add.1, направление деятельности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F95" w:rsidRPr="000A6F95" w:rsidRDefault="003F46D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81BB0">
      <w:t>ECE/TRANS/WP.15/AC.2/2019/5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F95" w:rsidRPr="000A6F95" w:rsidRDefault="003F46D4" w:rsidP="000A6F9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81BB0">
      <w:t>ECE/TRANS/WP.15/AC.2/2019/5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1E0"/>
    <w:rsid w:val="00033EE1"/>
    <w:rsid w:val="00042B72"/>
    <w:rsid w:val="000558BD"/>
    <w:rsid w:val="000A6F95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F46D4"/>
    <w:rsid w:val="00407B78"/>
    <w:rsid w:val="0041284A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1BB0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36DB7"/>
    <w:rsid w:val="00D5253A"/>
    <w:rsid w:val="00D873A8"/>
    <w:rsid w:val="00D90028"/>
    <w:rsid w:val="00D90138"/>
    <w:rsid w:val="00DD78D1"/>
    <w:rsid w:val="00DE32CD"/>
    <w:rsid w:val="00DF5767"/>
    <w:rsid w:val="00DF71B9"/>
    <w:rsid w:val="00DF753E"/>
    <w:rsid w:val="00E12C5F"/>
    <w:rsid w:val="00E201E0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7745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04BFCC4-EB4D-4A64-976C-3283DCA1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0A6F9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fr-FR"/>
    </w:rPr>
  </w:style>
  <w:style w:type="paragraph" w:customStyle="1" w:styleId="SMG">
    <w:name w:val="__S_M_G"/>
    <w:basedOn w:val="Normal"/>
    <w:next w:val="Normal"/>
    <w:rsid w:val="000A6F9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val="fr-FR"/>
    </w:rPr>
  </w:style>
  <w:style w:type="character" w:customStyle="1" w:styleId="HChGChar">
    <w:name w:val="_ H _Ch_G Char"/>
    <w:link w:val="HChG"/>
    <w:locked/>
    <w:rsid w:val="000A6F95"/>
    <w:rPr>
      <w:b/>
      <w:sz w:val="28"/>
      <w:lang w:val="fr-FR" w:eastAsia="en-US"/>
    </w:rPr>
  </w:style>
  <w:style w:type="paragraph" w:customStyle="1" w:styleId="SingleTxtG">
    <w:name w:val="_ Single Txt_G"/>
    <w:basedOn w:val="Normal"/>
    <w:link w:val="SingleTxtGChar"/>
    <w:rsid w:val="000A6F95"/>
    <w:pPr>
      <w:spacing w:after="120"/>
      <w:ind w:left="1134" w:right="1134"/>
      <w:jc w:val="both"/>
    </w:pPr>
    <w:rPr>
      <w:rFonts w:eastAsia="Times New Roman" w:cs="Times New Roman"/>
      <w:szCs w:val="20"/>
      <w:lang w:val="fr-FR"/>
    </w:rPr>
  </w:style>
  <w:style w:type="character" w:customStyle="1" w:styleId="SingleTxtGChar">
    <w:name w:val="_ Single Txt_G Char"/>
    <w:link w:val="SingleTxtG"/>
    <w:locked/>
    <w:rsid w:val="000A6F95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ECE/TRANS/WP.15/AC.2/2019/5</vt:lpstr>
      <vt:lpstr>ECE/TRANS/WP.15/AC.2/2019/5</vt:lpstr>
      <vt:lpstr>A/</vt:lpstr>
    </vt:vector>
  </TitlesOfParts>
  <Company>DCM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ECE/TRANS/WP.15/AC.2/2019/5</dc:title>
  <dc:subject/>
  <dc:creator>Marina KOROTKOVA</dc:creator>
  <cp:keywords/>
  <cp:lastModifiedBy>Amend.2</cp:lastModifiedBy>
  <cp:revision>2</cp:revision>
  <cp:lastPrinted>2018-11-01T07:45:00Z</cp:lastPrinted>
  <dcterms:created xsi:type="dcterms:W3CDTF">2018-11-09T12:59:00Z</dcterms:created>
  <dcterms:modified xsi:type="dcterms:W3CDTF">2018-11-09T12:59:00Z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