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372E1B">
        <w:rPr>
          <w:b/>
          <w:szCs w:val="24"/>
        </w:rPr>
        <w:t xml:space="preserve"> </w:t>
      </w:r>
      <w:r w:rsidR="00372E1B">
        <w:rPr>
          <w:b/>
        </w:rPr>
        <w:t>1</w:t>
      </w:r>
      <w:r w:rsidR="00E52E64">
        <w:rPr>
          <w:b/>
        </w:rPr>
        <w:t>7</w:t>
      </w:r>
      <w:bookmarkStart w:id="0" w:name="_GoBack"/>
      <w:bookmarkEnd w:id="0"/>
      <w:r w:rsidR="00C03A88">
        <w:rPr>
          <w:b/>
        </w:rPr>
        <w:t xml:space="preserve"> </w:t>
      </w:r>
      <w:r w:rsidR="00372E1B">
        <w:rPr>
          <w:b/>
        </w:rPr>
        <w:t>September</w:t>
      </w:r>
      <w:r w:rsidR="00FA3269">
        <w:rPr>
          <w:b/>
        </w:rPr>
        <w:t xml:space="preserve"> 201</w:t>
      </w:r>
      <w:r w:rsidR="007408A0">
        <w:rPr>
          <w:b/>
        </w:rPr>
        <w:t>9</w:t>
      </w:r>
    </w:p>
    <w:p w:rsidR="00215A1B" w:rsidRPr="00560572" w:rsidRDefault="00215A1B" w:rsidP="00372E1B">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E52E64" w:rsidRDefault="00097793" w:rsidP="00E52E64">
      <w:pPr>
        <w:spacing w:after="0" w:line="240" w:lineRule="atLeast"/>
        <w:rPr>
          <w:b/>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r>
      <w:r w:rsidR="00E52E64" w:rsidRPr="00560572">
        <w:t xml:space="preserve">Item </w:t>
      </w:r>
      <w:r w:rsidR="00E52E64">
        <w:t>5(b)</w:t>
      </w:r>
      <w:r w:rsidR="00E52E64" w:rsidRPr="00560572">
        <w:t xml:space="preserve"> of the provisional agenda</w:t>
      </w:r>
      <w:r w:rsidR="00E52E64">
        <w:t>:</w:t>
      </w:r>
      <w:r w:rsidR="00E52E64" w:rsidRPr="00560572">
        <w:br/>
      </w:r>
      <w:r w:rsidR="00E52E64">
        <w:rPr>
          <w:b/>
        </w:rPr>
        <w:t xml:space="preserve">Proposals for amendments to RID/ADR/ADN </w:t>
      </w:r>
    </w:p>
    <w:p w:rsidR="00372E1B" w:rsidRPr="00AD79E9" w:rsidRDefault="00E52E64" w:rsidP="00E52E64">
      <w:pPr>
        <w:spacing w:after="0" w:line="240" w:lineRule="atLeast"/>
        <w:rPr>
          <w:b/>
          <w:bCs/>
        </w:rPr>
      </w:pPr>
      <w:r>
        <w:rPr>
          <w:b/>
        </w:rPr>
        <w:t>new proposals</w:t>
      </w:r>
    </w:p>
    <w:p w:rsidR="00372E1B" w:rsidRPr="00372E1B" w:rsidRDefault="00372E1B" w:rsidP="00372E1B">
      <w:pPr>
        <w:spacing w:before="360" w:after="0"/>
        <w:ind w:left="1080" w:right="1080"/>
        <w:rPr>
          <w:b/>
          <w:bCs/>
          <w:sz w:val="28"/>
          <w:szCs w:val="28"/>
        </w:rPr>
      </w:pPr>
      <w:r w:rsidRPr="00372E1B">
        <w:rPr>
          <w:b/>
          <w:bCs/>
          <w:sz w:val="28"/>
          <w:szCs w:val="28"/>
        </w:rPr>
        <w:t>Interpretation problem in ADR sub-section 7.5.2.3</w:t>
      </w:r>
    </w:p>
    <w:p w:rsidR="00372E1B" w:rsidRDefault="00372E1B" w:rsidP="00372E1B">
      <w:pPr>
        <w:pStyle w:val="H1G"/>
        <w:tabs>
          <w:tab w:val="clear" w:pos="851"/>
        </w:tabs>
        <w:spacing w:before="240" w:after="0"/>
        <w:ind w:left="1080" w:right="1080" w:firstLine="0"/>
        <w:rPr>
          <w:sz w:val="27"/>
          <w:szCs w:val="27"/>
          <w:lang w:val="en-US" w:eastAsia="ru-RU"/>
        </w:rPr>
      </w:pPr>
      <w:r>
        <w:rPr>
          <w:lang w:val="en-US" w:eastAsia="ru-RU"/>
        </w:rPr>
        <w:t xml:space="preserve">Transmitted by the Council on Safe Transportation of Hazardous Articles (COSTHA) </w:t>
      </w:r>
    </w:p>
    <w:p w:rsidR="00372E1B" w:rsidRPr="00372E1B" w:rsidRDefault="00E52E64" w:rsidP="00E52E64">
      <w:pPr>
        <w:pStyle w:val="HChG"/>
      </w:pPr>
      <w:r>
        <w:tab/>
      </w:r>
      <w:r>
        <w:tab/>
      </w:r>
      <w:r w:rsidR="00372E1B" w:rsidRPr="00372E1B">
        <w:t>Introduction</w:t>
      </w:r>
    </w:p>
    <w:p w:rsidR="00372E1B" w:rsidRDefault="00E52E64" w:rsidP="00E52E64">
      <w:pPr>
        <w:pStyle w:val="SingleTxtG"/>
      </w:pPr>
      <w:r>
        <w:t>1.</w:t>
      </w:r>
      <w:r>
        <w:tab/>
      </w:r>
      <w:r w:rsidR="00372E1B" w:rsidRPr="00372E1B">
        <w:t>In sub-section 7.5.2.3 of ADR, the following text can be found that is confusing at practical application</w:t>
      </w:r>
      <w:r w:rsidR="00372E1B">
        <w:t>:</w:t>
      </w:r>
    </w:p>
    <w:p w:rsidR="00372E1B" w:rsidRPr="00372E1B" w:rsidRDefault="00372E1B" w:rsidP="00E52E64">
      <w:pPr>
        <w:pStyle w:val="SingleTxtG"/>
        <w:ind w:left="1701"/>
      </w:pPr>
      <w:r>
        <w:t>“</w:t>
      </w:r>
      <w:r w:rsidRPr="00372E1B">
        <w:t>For the purpose of the application of the prohibitions of mixed loading on one vehicle, no account shall be taken of substances contained is closed containers with complete sides. Nevertheless, the mixed loading prohibitions laid down in 7.5.2.1 concerning mixed loading of packages bearing labels conforming to model Nos. 1, 1.4, 1.5 or 1.6 with other packages, and in 7.5.2.2 concerning mixed loading of explosives of different compatibility groups shall also apply between dangerous goods contained in container and the other dangerous goods loaded on the same vehicle, whether or not the latter goods are enclosed in one or more other containers.”</w:t>
      </w:r>
    </w:p>
    <w:p w:rsidR="00372E1B" w:rsidRDefault="00E52E64" w:rsidP="00E52E64">
      <w:pPr>
        <w:pStyle w:val="SingleTxtG"/>
      </w:pPr>
      <w:r>
        <w:t>2.</w:t>
      </w:r>
      <w:r>
        <w:tab/>
      </w:r>
      <w:r w:rsidR="00372E1B" w:rsidRPr="00372E1B">
        <w:t>This sub-section can also be found in the previous versions. The earliest edition available on the UNECE website is published in 2001; this sub-section is readable in it.</w:t>
      </w:r>
    </w:p>
    <w:p w:rsidR="00372E1B" w:rsidRPr="00372E1B" w:rsidRDefault="00E52E64" w:rsidP="00E52E64">
      <w:pPr>
        <w:pStyle w:val="SingleTxtG"/>
      </w:pPr>
      <w:r>
        <w:t>3.</w:t>
      </w:r>
      <w:r>
        <w:tab/>
      </w:r>
      <w:r w:rsidR="00372E1B" w:rsidRPr="00372E1B">
        <w:t>This sub-section contains two sentences. The first sentence allows the mixed loading on one vehicle in closed container (see Figure 1). The second sentence tells the exceptions from this allowance. These exceptions are label model Nos. 1, 1.4, 1.5 and 1.6 in 7.5.2.1 and 7.5.2.2 among compatibility groups of Class 1 explosives (see Figures 2 and 3).</w:t>
      </w:r>
    </w:p>
    <w:p w:rsidR="00372E1B" w:rsidRPr="00372E1B" w:rsidRDefault="00E52E64" w:rsidP="00E52E64">
      <w:pPr>
        <w:pStyle w:val="HChG"/>
      </w:pPr>
      <w:r>
        <w:tab/>
      </w:r>
      <w:r>
        <w:tab/>
      </w:r>
      <w:r w:rsidR="00372E1B" w:rsidRPr="00372E1B">
        <w:t>Problem</w:t>
      </w:r>
    </w:p>
    <w:p w:rsidR="00372E1B" w:rsidRPr="00372E1B" w:rsidRDefault="00E52E64" w:rsidP="00E52E64">
      <w:pPr>
        <w:pStyle w:val="SingleTxtG"/>
      </w:pPr>
      <w:r>
        <w:t>4.</w:t>
      </w:r>
      <w:r>
        <w:tab/>
      </w:r>
      <w:r w:rsidR="00372E1B" w:rsidRPr="00372E1B">
        <w:t>The exceptions listed in the second sentence refer to all kinds of mixed loading prohibitions in section 7.5.2. In this form the sub-section 7.5.2.3 is unusable for any cases.</w:t>
      </w:r>
    </w:p>
    <w:p w:rsidR="00372E1B" w:rsidRPr="00372E1B" w:rsidRDefault="00E52E64" w:rsidP="00E52E64">
      <w:pPr>
        <w:pStyle w:val="HChG"/>
      </w:pPr>
      <w:r>
        <w:tab/>
      </w:r>
      <w:r>
        <w:tab/>
      </w:r>
      <w:r w:rsidR="00372E1B" w:rsidRPr="00372E1B">
        <w:t>Proposal 1</w:t>
      </w:r>
    </w:p>
    <w:p w:rsidR="00372E1B" w:rsidRPr="00372E1B" w:rsidRDefault="00E52E64" w:rsidP="00E52E64">
      <w:pPr>
        <w:pStyle w:val="SingleTxtG"/>
      </w:pPr>
      <w:r>
        <w:t>5.</w:t>
      </w:r>
      <w:r>
        <w:tab/>
      </w:r>
      <w:r w:rsidR="00372E1B" w:rsidRPr="00372E1B">
        <w:t xml:space="preserve">In case of all materials and substances that are under mixed loading prohibition by section 7.5.2 are prohibited to load on one vehicle either enclosed in separated containers or without containers, sub-section 7.5.2.3 </w:t>
      </w:r>
      <w:proofErr w:type="gramStart"/>
      <w:r w:rsidR="00372E1B" w:rsidRPr="00372E1B">
        <w:t>has to</w:t>
      </w:r>
      <w:proofErr w:type="gramEnd"/>
      <w:r w:rsidR="00372E1B" w:rsidRPr="00372E1B">
        <w:t xml:space="preserve"> be erased completely.</w:t>
      </w:r>
    </w:p>
    <w:p w:rsidR="00372E1B" w:rsidRPr="00372E1B" w:rsidRDefault="00E52E64" w:rsidP="00E52E64">
      <w:pPr>
        <w:pStyle w:val="HChG"/>
      </w:pPr>
      <w:r>
        <w:tab/>
      </w:r>
      <w:r>
        <w:tab/>
      </w:r>
      <w:r w:rsidR="00372E1B" w:rsidRPr="00372E1B">
        <w:t>Proposal 2</w:t>
      </w:r>
    </w:p>
    <w:p w:rsidR="00372E1B" w:rsidRPr="00372E1B" w:rsidRDefault="00E52E64" w:rsidP="00E52E64">
      <w:pPr>
        <w:pStyle w:val="SingleTxtG"/>
      </w:pPr>
      <w:r>
        <w:t>6.</w:t>
      </w:r>
      <w:r>
        <w:tab/>
      </w:r>
      <w:r w:rsidR="00372E1B" w:rsidRPr="00372E1B">
        <w:t xml:space="preserve">In case of materials and substances that have label model Nos. 4.1+1 or 5.2+1 and other packages containing dangerous goods </w:t>
      </w:r>
      <w:proofErr w:type="gramStart"/>
      <w:r w:rsidR="00372E1B" w:rsidRPr="00372E1B">
        <w:t>are allowed to</w:t>
      </w:r>
      <w:proofErr w:type="gramEnd"/>
      <w:r w:rsidR="00372E1B" w:rsidRPr="00372E1B">
        <w:t xml:space="preserve"> load on one vehicle in closed containers, the second sentence has to be modified as the following.</w:t>
      </w:r>
    </w:p>
    <w:p w:rsidR="00372E1B" w:rsidRDefault="00372E1B" w:rsidP="00372E1B">
      <w:pPr>
        <w:pStyle w:val="ListParagraph"/>
        <w:spacing w:before="120" w:after="0" w:line="240" w:lineRule="auto"/>
        <w:jc w:val="both"/>
        <w:rPr>
          <w:rFonts w:ascii="Times New Roman" w:hAnsi="Times New Roman" w:cs="Times New Roman"/>
          <w:lang w:val="en-GB"/>
        </w:rPr>
      </w:pPr>
    </w:p>
    <w:p w:rsidR="00372E1B" w:rsidRPr="00E52E64" w:rsidRDefault="00372E1B" w:rsidP="00372E1B">
      <w:pPr>
        <w:pStyle w:val="ListParagraph"/>
        <w:spacing w:before="120" w:after="0" w:line="240" w:lineRule="auto"/>
        <w:ind w:left="1440" w:right="1440"/>
        <w:jc w:val="both"/>
        <w:rPr>
          <w:rFonts w:ascii="Times New Roman" w:hAnsi="Times New Roman" w:cs="Times New Roman"/>
          <w:sz w:val="20"/>
          <w:szCs w:val="20"/>
          <w:lang w:val="en-GB"/>
        </w:rPr>
      </w:pPr>
      <w:r w:rsidRPr="00E52E64">
        <w:rPr>
          <w:rFonts w:ascii="Times New Roman" w:hAnsi="Times New Roman" w:cs="Times New Roman"/>
          <w:sz w:val="20"/>
          <w:szCs w:val="20"/>
          <w:lang w:val="en-GB"/>
        </w:rPr>
        <w:lastRenderedPageBreak/>
        <w:t xml:space="preserve">“Nevertheless, the mixed loading prohibitions laid down in 7.5.2.1 </w:t>
      </w:r>
      <w:r w:rsidRPr="00E52E64">
        <w:rPr>
          <w:rFonts w:ascii="Times New Roman" w:hAnsi="Times New Roman" w:cs="Times New Roman"/>
          <w:sz w:val="20"/>
          <w:szCs w:val="20"/>
          <w:u w:val="single"/>
          <w:lang w:val="en-GB"/>
        </w:rPr>
        <w:t xml:space="preserve">and 7.5.2.2 </w:t>
      </w:r>
      <w:r w:rsidRPr="00E52E64">
        <w:rPr>
          <w:rFonts w:ascii="Times New Roman" w:hAnsi="Times New Roman" w:cs="Times New Roman"/>
          <w:sz w:val="20"/>
          <w:szCs w:val="20"/>
          <w:lang w:val="en-GB"/>
        </w:rPr>
        <w:t xml:space="preserve">concerning mixed loading of packages </w:t>
      </w:r>
      <w:r w:rsidRPr="00E52E64">
        <w:rPr>
          <w:rFonts w:ascii="Times New Roman" w:hAnsi="Times New Roman" w:cs="Times New Roman"/>
          <w:sz w:val="20"/>
          <w:szCs w:val="20"/>
          <w:u w:val="single"/>
          <w:lang w:val="en-GB"/>
        </w:rPr>
        <w:t>of Class 1 explosives</w:t>
      </w:r>
      <w:r w:rsidRPr="00E52E64">
        <w:rPr>
          <w:rFonts w:ascii="Times New Roman" w:hAnsi="Times New Roman" w:cs="Times New Roman"/>
          <w:sz w:val="20"/>
          <w:szCs w:val="20"/>
          <w:lang w:val="en-GB"/>
        </w:rPr>
        <w:t xml:space="preserve"> </w:t>
      </w:r>
      <w:r w:rsidRPr="00E52E64">
        <w:rPr>
          <w:rFonts w:ascii="Times New Roman" w:hAnsi="Times New Roman" w:cs="Times New Roman"/>
          <w:strike/>
          <w:sz w:val="20"/>
          <w:szCs w:val="20"/>
          <w:lang w:val="en-GB"/>
        </w:rPr>
        <w:t>bearing labels conforming to model Nos. 1, 1.4, 1.5 or 1.6 with other packages, and in 7.5.2.2 concerning mixed loading of explosives of different compatibility groups</w:t>
      </w:r>
      <w:r w:rsidRPr="00E52E64">
        <w:rPr>
          <w:rFonts w:ascii="Times New Roman" w:hAnsi="Times New Roman" w:cs="Times New Roman"/>
          <w:sz w:val="20"/>
          <w:szCs w:val="20"/>
          <w:lang w:val="en-GB"/>
        </w:rPr>
        <w:t xml:space="preserve"> shall also apply between dangerous goods contained in container and the other dangerous goods loaded on the same vehicle, whether or not the latter goods are enclosed in one or more other containers.”</w:t>
      </w:r>
    </w:p>
    <w:p w:rsidR="00372E1B" w:rsidRPr="00372E1B" w:rsidRDefault="00372E1B" w:rsidP="00A83CFC">
      <w:pPr>
        <w:spacing w:before="120" w:after="0"/>
        <w:ind w:left="1080"/>
        <w:jc w:val="both"/>
        <w:rPr>
          <w:sz w:val="22"/>
          <w:szCs w:val="22"/>
        </w:rPr>
      </w:pPr>
    </w:p>
    <w:p w:rsidR="00372E1B" w:rsidRPr="00372E1B" w:rsidRDefault="00372E1B" w:rsidP="00A83CFC">
      <w:pPr>
        <w:spacing w:before="120" w:after="0"/>
        <w:ind w:left="1080"/>
        <w:jc w:val="both"/>
        <w:rPr>
          <w:b/>
          <w:bCs/>
          <w:sz w:val="24"/>
          <w:szCs w:val="24"/>
        </w:rPr>
      </w:pPr>
      <w:r w:rsidRPr="00372E1B">
        <w:rPr>
          <w:b/>
          <w:bCs/>
          <w:sz w:val="24"/>
          <w:szCs w:val="24"/>
        </w:rPr>
        <w:t>Figure 1</w:t>
      </w:r>
    </w:p>
    <w:p w:rsidR="00372E1B" w:rsidRDefault="00372E1B" w:rsidP="00A83CFC">
      <w:pPr>
        <w:spacing w:before="120" w:after="0"/>
        <w:jc w:val="center"/>
        <w:rPr>
          <w:sz w:val="24"/>
          <w:szCs w:val="24"/>
        </w:rPr>
      </w:pPr>
      <w:r>
        <w:rPr>
          <w:noProof/>
          <w:sz w:val="24"/>
          <w:szCs w:val="24"/>
        </w:rPr>
        <w:drawing>
          <wp:inline distT="0" distB="0" distL="0" distR="0" wp14:anchorId="261DDCDA" wp14:editId="62AE6C63">
            <wp:extent cx="5136490" cy="1828800"/>
            <wp:effectExtent l="0" t="0" r="762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ler_2 contai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6490" cy="1828800"/>
                    </a:xfrm>
                    <a:prstGeom prst="rect">
                      <a:avLst/>
                    </a:prstGeom>
                  </pic:spPr>
                </pic:pic>
              </a:graphicData>
            </a:graphic>
          </wp:inline>
        </w:drawing>
      </w:r>
    </w:p>
    <w:p w:rsidR="00A83CFC" w:rsidRDefault="00A83CFC" w:rsidP="00A83CFC">
      <w:pPr>
        <w:spacing w:before="120" w:after="0"/>
        <w:ind w:left="1080"/>
        <w:jc w:val="both"/>
        <w:rPr>
          <w:b/>
          <w:bCs/>
          <w:sz w:val="24"/>
          <w:szCs w:val="24"/>
        </w:rPr>
      </w:pPr>
    </w:p>
    <w:p w:rsidR="00A83CFC" w:rsidRDefault="00A83CFC" w:rsidP="00A83CFC">
      <w:pPr>
        <w:spacing w:before="120" w:after="0"/>
        <w:ind w:left="1080"/>
        <w:jc w:val="both"/>
        <w:rPr>
          <w:b/>
          <w:bCs/>
          <w:sz w:val="24"/>
          <w:szCs w:val="24"/>
        </w:rPr>
      </w:pPr>
      <w:r>
        <w:rPr>
          <w:b/>
          <w:bCs/>
          <w:sz w:val="24"/>
          <w:szCs w:val="24"/>
        </w:rPr>
        <w:br w:type="page"/>
      </w:r>
    </w:p>
    <w:p w:rsidR="00372E1B" w:rsidRPr="00372E1B" w:rsidRDefault="00372E1B" w:rsidP="00A83CFC">
      <w:pPr>
        <w:spacing w:before="120" w:after="0"/>
        <w:ind w:left="1080"/>
        <w:jc w:val="both"/>
        <w:rPr>
          <w:b/>
          <w:bCs/>
          <w:sz w:val="24"/>
          <w:szCs w:val="24"/>
        </w:rPr>
      </w:pPr>
      <w:r w:rsidRPr="00372E1B">
        <w:rPr>
          <w:b/>
          <w:bCs/>
          <w:sz w:val="24"/>
          <w:szCs w:val="24"/>
        </w:rPr>
        <w:lastRenderedPageBreak/>
        <w:t>Figure 2</w:t>
      </w:r>
    </w:p>
    <w:p w:rsidR="00372E1B" w:rsidRDefault="00372E1B" w:rsidP="00A83CFC">
      <w:pPr>
        <w:spacing w:before="120" w:after="0"/>
        <w:jc w:val="center"/>
        <w:rPr>
          <w:sz w:val="24"/>
          <w:szCs w:val="24"/>
        </w:rPr>
      </w:pPr>
      <w:r>
        <w:rPr>
          <w:noProof/>
          <w:sz w:val="24"/>
          <w:szCs w:val="24"/>
        </w:rPr>
        <w:drawing>
          <wp:inline distT="0" distB="0" distL="0" distR="0" wp14:anchorId="5880FFF5" wp14:editId="67E84CB8">
            <wp:extent cx="5486400" cy="4164390"/>
            <wp:effectExtent l="0" t="0" r="0" b="7620"/>
            <wp:docPr id="2"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2.1.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164390"/>
                    </a:xfrm>
                    <a:prstGeom prst="rect">
                      <a:avLst/>
                    </a:prstGeom>
                  </pic:spPr>
                </pic:pic>
              </a:graphicData>
            </a:graphic>
          </wp:inline>
        </w:drawing>
      </w:r>
    </w:p>
    <w:p w:rsidR="00372E1B" w:rsidRPr="00372E1B" w:rsidRDefault="00372E1B" w:rsidP="0011768C">
      <w:pPr>
        <w:spacing w:before="120" w:after="0"/>
        <w:ind w:left="1080"/>
        <w:jc w:val="both"/>
        <w:rPr>
          <w:b/>
          <w:bCs/>
          <w:sz w:val="24"/>
          <w:szCs w:val="24"/>
        </w:rPr>
      </w:pPr>
      <w:r w:rsidRPr="00372E1B">
        <w:rPr>
          <w:b/>
          <w:bCs/>
          <w:sz w:val="24"/>
          <w:szCs w:val="24"/>
        </w:rPr>
        <w:t>Figure 3</w:t>
      </w:r>
    </w:p>
    <w:p w:rsidR="00372E1B" w:rsidRDefault="00372E1B" w:rsidP="00A849B6">
      <w:pPr>
        <w:spacing w:after="120"/>
        <w:jc w:val="center"/>
        <w:rPr>
          <w:sz w:val="24"/>
          <w:szCs w:val="24"/>
        </w:rPr>
      </w:pPr>
      <w:r>
        <w:rPr>
          <w:noProof/>
          <w:sz w:val="24"/>
          <w:szCs w:val="24"/>
        </w:rPr>
        <w:drawing>
          <wp:inline distT="0" distB="0" distL="0" distR="0" wp14:anchorId="55D40C34" wp14:editId="42E50D2B">
            <wp:extent cx="5486400" cy="3871609"/>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2.2.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3871609"/>
                    </a:xfrm>
                    <a:prstGeom prst="rect">
                      <a:avLst/>
                    </a:prstGeom>
                  </pic:spPr>
                </pic:pic>
              </a:graphicData>
            </a:graphic>
          </wp:inline>
        </w:drawing>
      </w:r>
    </w:p>
    <w:p w:rsidR="00E52E64" w:rsidRPr="00E52E64" w:rsidRDefault="00E52E64" w:rsidP="00E52E64">
      <w:pPr>
        <w:spacing w:before="240" w:after="0" w:line="240" w:lineRule="atLeast"/>
        <w:jc w:val="center"/>
        <w:rPr>
          <w:u w:val="single"/>
        </w:rPr>
      </w:pPr>
      <w:r>
        <w:rPr>
          <w:u w:val="single"/>
        </w:rPr>
        <w:tab/>
      </w:r>
      <w:r>
        <w:rPr>
          <w:u w:val="single"/>
        </w:rPr>
        <w:tab/>
      </w:r>
      <w:r>
        <w:rPr>
          <w:u w:val="single"/>
        </w:rPr>
        <w:tab/>
      </w:r>
    </w:p>
    <w:sectPr w:rsidR="00E52E64" w:rsidRPr="00E52E64" w:rsidSect="00E52E6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014" w:rsidRDefault="00EA6014"/>
  </w:endnote>
  <w:endnote w:type="continuationSeparator" w:id="0">
    <w:p w:rsidR="00EA6014" w:rsidRDefault="00EA6014"/>
  </w:endnote>
  <w:endnote w:type="continuationNotice" w:id="1">
    <w:p w:rsidR="00EA6014" w:rsidRDefault="00EA6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3B3A7E" w:rsidRDefault="00DA7689" w:rsidP="003B3A7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Default="00DA7689"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014" w:rsidRPr="000B175B" w:rsidRDefault="00EA6014" w:rsidP="000B175B">
      <w:pPr>
        <w:tabs>
          <w:tab w:val="right" w:pos="2155"/>
        </w:tabs>
        <w:spacing w:after="80"/>
        <w:ind w:left="680"/>
        <w:rPr>
          <w:u w:val="single"/>
        </w:rPr>
      </w:pPr>
      <w:r>
        <w:rPr>
          <w:u w:val="single"/>
        </w:rPr>
        <w:tab/>
      </w:r>
    </w:p>
  </w:footnote>
  <w:footnote w:type="continuationSeparator" w:id="0">
    <w:p w:rsidR="00EA6014" w:rsidRPr="00FC68B7" w:rsidRDefault="00EA6014" w:rsidP="00FC68B7">
      <w:pPr>
        <w:tabs>
          <w:tab w:val="left" w:pos="2155"/>
        </w:tabs>
        <w:spacing w:after="80"/>
        <w:ind w:left="680"/>
        <w:rPr>
          <w:u w:val="single"/>
        </w:rPr>
      </w:pPr>
      <w:r>
        <w:rPr>
          <w:u w:val="single"/>
        </w:rPr>
        <w:tab/>
      </w:r>
    </w:p>
  </w:footnote>
  <w:footnote w:type="continuationNotice" w:id="1">
    <w:p w:rsidR="00EA6014" w:rsidRDefault="00EA6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09455D" w:rsidRDefault="00DA7689">
    <w:pPr>
      <w:pStyle w:val="Header"/>
      <w:rPr>
        <w:lang w:val="fr-CH"/>
      </w:rPr>
    </w:pPr>
    <w:r>
      <w:rPr>
        <w:lang w:val="fr-CH"/>
      </w:rPr>
      <w:t>INF.</w:t>
    </w:r>
    <w:r w:rsidR="00E52E64">
      <w:rPr>
        <w:lang w:val="fr-CH"/>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073BC9" w:rsidRDefault="00DA7689" w:rsidP="0009455D">
    <w:pPr>
      <w:pStyle w:val="Header"/>
      <w:jc w:val="right"/>
    </w:pPr>
    <w:r>
      <w:t>INF.</w:t>
    </w:r>
    <w:r w:rsidR="00E52E64">
      <w:t>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560572" w:rsidRDefault="00DA7689" w:rsidP="00E37495">
    <w:pPr>
      <w:pStyle w:val="Header"/>
      <w:pBdr>
        <w:bottom w:val="single" w:sz="4" w:space="1" w:color="auto"/>
      </w:pBdr>
      <w:jc w:val="right"/>
      <w:rPr>
        <w:sz w:val="28"/>
        <w:szCs w:val="28"/>
      </w:rPr>
    </w:pPr>
    <w:r w:rsidRPr="00560572">
      <w:rPr>
        <w:sz w:val="28"/>
        <w:szCs w:val="28"/>
      </w:rPr>
      <w:t>INF.</w:t>
    </w:r>
    <w:r w:rsidR="00E52E64">
      <w:rPr>
        <w:sz w:val="28"/>
        <w:szCs w:val="28"/>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17C"/>
    <w:multiLevelType w:val="hybridMultilevel"/>
    <w:tmpl w:val="6040D0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 w15:restartNumberingAfterBreak="0">
    <w:nsid w:val="0D01082A"/>
    <w:multiLevelType w:val="hybridMultilevel"/>
    <w:tmpl w:val="9AE863CA"/>
    <w:lvl w:ilvl="0" w:tplc="2A80BEF0">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6"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9"/>
  </w:num>
  <w:num w:numId="2">
    <w:abstractNumId w:val="10"/>
  </w:num>
  <w:num w:numId="3">
    <w:abstractNumId w:val="8"/>
  </w:num>
  <w:num w:numId="4">
    <w:abstractNumId w:val="4"/>
  </w:num>
  <w:num w:numId="5">
    <w:abstractNumId w:val="1"/>
    <w:lvlOverride w:ilvl="2">
      <w:lvl w:ilvl="2">
        <w:start w:val="1"/>
        <w:numFmt w:val="lowerLetter"/>
        <w:pStyle w:val="Heading3"/>
        <w:lvlText w:val="(%3)"/>
        <w:lvlJc w:val="left"/>
        <w:pPr>
          <w:tabs>
            <w:tab w:val="num" w:pos="720"/>
          </w:tabs>
          <w:ind w:left="720" w:hanging="432"/>
        </w:pPr>
      </w:lvl>
    </w:lvlOverride>
  </w:num>
  <w:num w:numId="6">
    <w:abstractNumId w:val="5"/>
  </w:num>
  <w:num w:numId="7">
    <w:abstractNumId w:val="2"/>
  </w:num>
  <w:num w:numId="8">
    <w:abstractNumId w:val="6"/>
  </w:num>
  <w:num w:numId="9">
    <w:abstractNumId w:val="3"/>
  </w:num>
  <w:num w:numId="10">
    <w:abstractNumId w:val="11"/>
  </w:num>
  <w:num w:numId="11">
    <w:abstractNumId w:val="7"/>
  </w:num>
  <w:num w:numId="12">
    <w:abstractNumId w:val="1"/>
  </w:num>
  <w:num w:numId="13">
    <w:abstractNumId w:val="1"/>
    <w:lvlOverride w:ilvl="2">
      <w:lvl w:ilvl="2">
        <w:start w:val="1"/>
        <w:numFmt w:val="lowerLetter"/>
        <w:pStyle w:val="Heading3"/>
        <w:lvlText w:val="(%3)"/>
        <w:lvlJc w:val="left"/>
        <w:pPr>
          <w:tabs>
            <w:tab w:val="num" w:pos="720"/>
          </w:tabs>
          <w:ind w:left="720" w:hanging="432"/>
        </w:pPr>
      </w:lvl>
    </w:lvlOverride>
  </w:num>
  <w:num w:numId="14">
    <w:abstractNumId w:val="1"/>
    <w:lvlOverride w:ilvl="2">
      <w:lvl w:ilvl="2">
        <w:start w:val="1"/>
        <w:numFmt w:val="lowerLetter"/>
        <w:pStyle w:val="Heading3"/>
        <w:lvlText w:val="(%3)"/>
        <w:lvlJc w:val="left"/>
        <w:pPr>
          <w:tabs>
            <w:tab w:val="num" w:pos="720"/>
          </w:tabs>
          <w:ind w:left="720" w:hanging="432"/>
        </w:pPr>
      </w:lvl>
    </w:lvlOverride>
  </w:num>
  <w:num w:numId="15">
    <w:abstractNumId w:val="1"/>
    <w:lvlOverride w:ilvl="2">
      <w:lvl w:ilvl="2">
        <w:start w:val="1"/>
        <w:numFmt w:val="lowerLetter"/>
        <w:pStyle w:val="Heading3"/>
        <w:lvlText w:val="(%3)"/>
        <w:lvlJc w:val="left"/>
        <w:pPr>
          <w:tabs>
            <w:tab w:val="num" w:pos="720"/>
          </w:tabs>
          <w:ind w:left="720" w:hanging="432"/>
        </w:pPr>
      </w:lvl>
    </w:lvlOverride>
  </w:num>
  <w:num w:numId="16">
    <w:abstractNumId w:val="1"/>
    <w:lvlOverride w:ilvl="2">
      <w:lvl w:ilvl="2">
        <w:start w:val="1"/>
        <w:numFmt w:val="lowerLetter"/>
        <w:pStyle w:val="Heading3"/>
        <w:lvlText w:val="(%3)"/>
        <w:lvlJc w:val="left"/>
        <w:pPr>
          <w:tabs>
            <w:tab w:val="num" w:pos="720"/>
          </w:tabs>
          <w:ind w:left="720" w:hanging="432"/>
        </w:pPr>
      </w:lvl>
    </w:lvlOverride>
  </w:num>
  <w:num w:numId="17">
    <w:abstractNumId w:val="1"/>
    <w:lvlOverride w:ilvl="2">
      <w:lvl w:ilvl="2">
        <w:start w:val="1"/>
        <w:numFmt w:val="lowerLetter"/>
        <w:pStyle w:val="Heading3"/>
        <w:lvlText w:val="(%3)"/>
        <w:lvlJc w:val="left"/>
        <w:pPr>
          <w:tabs>
            <w:tab w:val="num" w:pos="720"/>
          </w:tabs>
          <w:ind w:left="720" w:hanging="432"/>
        </w:pPr>
      </w:lvl>
    </w:lvlOverride>
  </w:num>
  <w:num w:numId="18">
    <w:abstractNumId w:val="1"/>
    <w:lvlOverride w:ilvl="2">
      <w:lvl w:ilvl="2">
        <w:start w:val="1"/>
        <w:numFmt w:val="lowerLetter"/>
        <w:pStyle w:val="Heading3"/>
        <w:lvlText w:val="(%3)"/>
        <w:lvlJc w:val="left"/>
        <w:pPr>
          <w:tabs>
            <w:tab w:val="num" w:pos="720"/>
          </w:tabs>
          <w:ind w:left="720" w:hanging="432"/>
        </w:pPr>
      </w:lvl>
    </w:lvlOverride>
  </w:num>
  <w:num w:numId="19">
    <w:abstractNumId w:val="1"/>
    <w:lvlOverride w:ilvl="2">
      <w:lvl w:ilvl="2">
        <w:start w:val="1"/>
        <w:numFmt w:val="lowerLetter"/>
        <w:pStyle w:val="Heading3"/>
        <w:lvlText w:val="(%3)"/>
        <w:lvlJc w:val="left"/>
        <w:pPr>
          <w:tabs>
            <w:tab w:val="num" w:pos="720"/>
          </w:tabs>
          <w:ind w:left="720" w:hanging="432"/>
        </w:pPr>
      </w:lvl>
    </w:lvlOverride>
  </w:num>
  <w:num w:numId="20">
    <w:abstractNumId w:val="1"/>
    <w:lvlOverride w:ilvl="2">
      <w:lvl w:ilvl="2">
        <w:start w:val="1"/>
        <w:numFmt w:val="lowerLetter"/>
        <w:pStyle w:val="Heading3"/>
        <w:lvlText w:val="(%3)"/>
        <w:lvlJc w:val="left"/>
        <w:pPr>
          <w:tabs>
            <w:tab w:val="num" w:pos="720"/>
          </w:tabs>
          <w:ind w:left="720" w:hanging="432"/>
        </w:pPr>
      </w:lvl>
    </w:lvlOverride>
  </w:num>
  <w:num w:numId="21">
    <w:abstractNumId w:val="1"/>
    <w:lvlOverride w:ilvl="2">
      <w:lvl w:ilvl="2">
        <w:start w:val="1"/>
        <w:numFmt w:val="lowerLetter"/>
        <w:pStyle w:val="Heading3"/>
        <w:lvlText w:val="(%3)"/>
        <w:lvlJc w:val="left"/>
        <w:pPr>
          <w:tabs>
            <w:tab w:val="num" w:pos="720"/>
          </w:tabs>
          <w:ind w:left="720" w:hanging="432"/>
        </w:pPr>
      </w:lvl>
    </w:lvlOverride>
  </w:num>
  <w:num w:numId="22">
    <w:abstractNumId w:val="1"/>
    <w:lvlOverride w:ilvl="2">
      <w:lvl w:ilvl="2">
        <w:start w:val="1"/>
        <w:numFmt w:val="lowerLetter"/>
        <w:pStyle w:val="Heading3"/>
        <w:lvlText w:val="(%3)"/>
        <w:lvlJc w:val="left"/>
        <w:pPr>
          <w:tabs>
            <w:tab w:val="num" w:pos="720"/>
          </w:tabs>
          <w:ind w:left="720" w:hanging="432"/>
        </w:pPr>
      </w:lvl>
    </w:lvlOverride>
  </w:num>
  <w:num w:numId="23">
    <w:abstractNumId w:val="1"/>
    <w:lvlOverride w:ilvl="2">
      <w:lvl w:ilvl="2">
        <w:start w:val="1"/>
        <w:numFmt w:val="lowerLetter"/>
        <w:pStyle w:val="Heading3"/>
        <w:lvlText w:val="(%3)"/>
        <w:lvlJc w:val="left"/>
        <w:pPr>
          <w:tabs>
            <w:tab w:val="num" w:pos="720"/>
          </w:tabs>
          <w:ind w:left="720" w:hanging="432"/>
        </w:pPr>
      </w:lvl>
    </w:lvlOverride>
  </w:num>
  <w:num w:numId="24">
    <w:abstractNumId w:val="1"/>
    <w:lvlOverride w:ilvl="2">
      <w:lvl w:ilvl="2">
        <w:start w:val="1"/>
        <w:numFmt w:val="lowerLetter"/>
        <w:pStyle w:val="Heading3"/>
        <w:lvlText w:val="(%3)"/>
        <w:lvlJc w:val="left"/>
        <w:pPr>
          <w:tabs>
            <w:tab w:val="num" w:pos="720"/>
          </w:tabs>
          <w:ind w:left="720" w:hanging="432"/>
        </w:pPr>
      </w:lvl>
    </w:lvlOverride>
  </w:num>
  <w:num w:numId="25">
    <w:abstractNumId w:val="1"/>
    <w:lvlOverride w:ilvl="2">
      <w:lvl w:ilvl="2">
        <w:start w:val="1"/>
        <w:numFmt w:val="lowerLetter"/>
        <w:pStyle w:val="Heading3"/>
        <w:lvlText w:val="(%3)"/>
        <w:lvlJc w:val="left"/>
        <w:pPr>
          <w:tabs>
            <w:tab w:val="num" w:pos="720"/>
          </w:tabs>
          <w:ind w:left="720" w:hanging="432"/>
        </w:pPr>
      </w:lvl>
    </w:lvlOverride>
  </w:num>
  <w:num w:numId="26">
    <w:abstractNumId w:val="1"/>
    <w:lvlOverride w:ilvl="2">
      <w:lvl w:ilvl="2">
        <w:start w:val="1"/>
        <w:numFmt w:val="lowerLetter"/>
        <w:pStyle w:val="Heading3"/>
        <w:lvlText w:val="(%3)"/>
        <w:lvlJc w:val="left"/>
        <w:pPr>
          <w:tabs>
            <w:tab w:val="num" w:pos="720"/>
          </w:tabs>
          <w:ind w:left="720" w:hanging="432"/>
        </w:pPr>
      </w:lvl>
    </w:lvlOverride>
  </w:num>
  <w:num w:numId="27">
    <w:abstractNumId w:val="1"/>
    <w:lvlOverride w:ilvl="2">
      <w:lvl w:ilvl="2">
        <w:start w:val="1"/>
        <w:numFmt w:val="lowerLetter"/>
        <w:pStyle w:val="Heading3"/>
        <w:lvlText w:val="(%3)"/>
        <w:lvlJc w:val="left"/>
        <w:pPr>
          <w:tabs>
            <w:tab w:val="num" w:pos="720"/>
          </w:tabs>
          <w:ind w:left="720" w:hanging="432"/>
        </w:pPr>
      </w:lvl>
    </w:lvlOverride>
  </w:num>
  <w:num w:numId="28">
    <w:abstractNumId w:val="1"/>
    <w:lvlOverride w:ilvl="2">
      <w:lvl w:ilvl="2">
        <w:start w:val="1"/>
        <w:numFmt w:val="lowerLetter"/>
        <w:pStyle w:val="Heading3"/>
        <w:lvlText w:val="(%3)"/>
        <w:lvlJc w:val="left"/>
        <w:pPr>
          <w:tabs>
            <w:tab w:val="num" w:pos="720"/>
          </w:tabs>
          <w:ind w:left="720" w:hanging="432"/>
        </w:pPr>
      </w:lvl>
    </w:lvlOverride>
  </w:num>
  <w:num w:numId="29">
    <w:abstractNumId w:val="1"/>
    <w:lvlOverride w:ilvl="2">
      <w:lvl w:ilvl="2">
        <w:start w:val="1"/>
        <w:numFmt w:val="lowerLetter"/>
        <w:pStyle w:val="Heading3"/>
        <w:lvlText w:val="(%3)"/>
        <w:lvlJc w:val="left"/>
        <w:pPr>
          <w:tabs>
            <w:tab w:val="num" w:pos="720"/>
          </w:tabs>
          <w:ind w:left="720" w:hanging="432"/>
        </w:pPr>
      </w:lvl>
    </w:lvlOverride>
  </w:num>
  <w:num w:numId="30">
    <w:abstractNumId w:val="1"/>
    <w:lvlOverride w:ilvl="2">
      <w:lvl w:ilvl="2">
        <w:start w:val="1"/>
        <w:numFmt w:val="lowerLetter"/>
        <w:pStyle w:val="Heading3"/>
        <w:lvlText w:val="(%3)"/>
        <w:lvlJc w:val="left"/>
        <w:pPr>
          <w:tabs>
            <w:tab w:val="num" w:pos="720"/>
          </w:tabs>
          <w:ind w:left="720" w:hanging="432"/>
        </w:pPr>
      </w:lvl>
    </w:lvlOverride>
  </w:num>
  <w:num w:numId="31">
    <w:abstractNumId w:val="1"/>
    <w:lvlOverride w:ilvl="2">
      <w:lvl w:ilvl="2">
        <w:start w:val="1"/>
        <w:numFmt w:val="lowerLetter"/>
        <w:pStyle w:val="Heading3"/>
        <w:lvlText w:val="(%3)"/>
        <w:lvlJc w:val="left"/>
        <w:pPr>
          <w:tabs>
            <w:tab w:val="num" w:pos="720"/>
          </w:tabs>
          <w:ind w:left="720" w:hanging="432"/>
        </w:pPr>
      </w:lvl>
    </w:lvlOverride>
  </w:num>
  <w:num w:numId="32">
    <w:abstractNumId w:val="1"/>
    <w:lvlOverride w:ilvl="2">
      <w:lvl w:ilvl="2">
        <w:start w:val="1"/>
        <w:numFmt w:val="lowerLetter"/>
        <w:pStyle w:val="Heading3"/>
        <w:lvlText w:val="(%3)"/>
        <w:lvlJc w:val="left"/>
        <w:pPr>
          <w:tabs>
            <w:tab w:val="num" w:pos="720"/>
          </w:tabs>
          <w:ind w:left="720" w:hanging="432"/>
        </w:pPr>
      </w:lvl>
    </w:lvlOverride>
  </w:num>
  <w:num w:numId="33">
    <w:abstractNumId w:val="1"/>
    <w:lvlOverride w:ilvl="2">
      <w:lvl w:ilvl="2">
        <w:start w:val="1"/>
        <w:numFmt w:val="lowerLetter"/>
        <w:pStyle w:val="Heading3"/>
        <w:lvlText w:val="(%3)"/>
        <w:lvlJc w:val="left"/>
        <w:pPr>
          <w:tabs>
            <w:tab w:val="num" w:pos="720"/>
          </w:tabs>
          <w:ind w:left="720" w:hanging="432"/>
        </w:pPr>
      </w:lvl>
    </w:lvlOverride>
  </w:num>
  <w:num w:numId="34">
    <w:abstractNumId w:val="1"/>
    <w:lvlOverride w:ilvl="2">
      <w:lvl w:ilvl="2">
        <w:start w:val="1"/>
        <w:numFmt w:val="lowerLetter"/>
        <w:pStyle w:val="Heading3"/>
        <w:lvlText w:val="(%3)"/>
        <w:lvlJc w:val="left"/>
        <w:pPr>
          <w:tabs>
            <w:tab w:val="num" w:pos="720"/>
          </w:tabs>
          <w:ind w:left="720" w:hanging="432"/>
        </w:pPr>
      </w:lvl>
    </w:lvlOverride>
  </w:num>
  <w:num w:numId="35">
    <w:abstractNumId w:val="1"/>
    <w:lvlOverride w:ilvl="2">
      <w:lvl w:ilvl="2">
        <w:start w:val="1"/>
        <w:numFmt w:val="lowerLetter"/>
        <w:pStyle w:val="Heading3"/>
        <w:lvlText w:val="(%3)"/>
        <w:lvlJc w:val="left"/>
        <w:pPr>
          <w:tabs>
            <w:tab w:val="num" w:pos="720"/>
          </w:tabs>
          <w:ind w:left="720" w:hanging="432"/>
        </w:pPr>
      </w:lvl>
    </w:lvlOverride>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68C"/>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2E1B"/>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6357A"/>
    <w:rsid w:val="0047298C"/>
    <w:rsid w:val="0047429E"/>
    <w:rsid w:val="00476F24"/>
    <w:rsid w:val="0048402E"/>
    <w:rsid w:val="004909E7"/>
    <w:rsid w:val="0049311D"/>
    <w:rsid w:val="004B2A91"/>
    <w:rsid w:val="004B45B0"/>
    <w:rsid w:val="004B7EA2"/>
    <w:rsid w:val="004C55B0"/>
    <w:rsid w:val="004D4A45"/>
    <w:rsid w:val="004D51F6"/>
    <w:rsid w:val="004D63B1"/>
    <w:rsid w:val="004E4179"/>
    <w:rsid w:val="004E6B1E"/>
    <w:rsid w:val="004E7160"/>
    <w:rsid w:val="004E7C38"/>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9CF"/>
    <w:rsid w:val="00651A29"/>
    <w:rsid w:val="006643C6"/>
    <w:rsid w:val="00667D6B"/>
    <w:rsid w:val="00671B0D"/>
    <w:rsid w:val="006770B2"/>
    <w:rsid w:val="00682407"/>
    <w:rsid w:val="006853B3"/>
    <w:rsid w:val="006940E1"/>
    <w:rsid w:val="006A1D39"/>
    <w:rsid w:val="006A3C72"/>
    <w:rsid w:val="006A7392"/>
    <w:rsid w:val="006B03A1"/>
    <w:rsid w:val="006B364D"/>
    <w:rsid w:val="006B67D9"/>
    <w:rsid w:val="006B6FE3"/>
    <w:rsid w:val="006C0280"/>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5F4A"/>
    <w:rsid w:val="00866893"/>
    <w:rsid w:val="00866F02"/>
    <w:rsid w:val="00867D18"/>
    <w:rsid w:val="008707F8"/>
    <w:rsid w:val="00871F9A"/>
    <w:rsid w:val="00871FD5"/>
    <w:rsid w:val="0087339D"/>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0489"/>
    <w:rsid w:val="008F143B"/>
    <w:rsid w:val="008F33C4"/>
    <w:rsid w:val="008F3882"/>
    <w:rsid w:val="008F3C40"/>
    <w:rsid w:val="008F43FE"/>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B12"/>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488C"/>
    <w:rsid w:val="00A370D7"/>
    <w:rsid w:val="00A41BB8"/>
    <w:rsid w:val="00A425EB"/>
    <w:rsid w:val="00A45CB7"/>
    <w:rsid w:val="00A47439"/>
    <w:rsid w:val="00A72F22"/>
    <w:rsid w:val="00A733BC"/>
    <w:rsid w:val="00A748A6"/>
    <w:rsid w:val="00A749C1"/>
    <w:rsid w:val="00A76A69"/>
    <w:rsid w:val="00A77D0C"/>
    <w:rsid w:val="00A824E7"/>
    <w:rsid w:val="00A83CFC"/>
    <w:rsid w:val="00A849B6"/>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454A"/>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2B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46CBB"/>
    <w:rsid w:val="00C60D93"/>
    <w:rsid w:val="00C62A7A"/>
    <w:rsid w:val="00C70809"/>
    <w:rsid w:val="00C745C3"/>
    <w:rsid w:val="00C7691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5B1F"/>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A7689"/>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27743"/>
    <w:rsid w:val="00E324A0"/>
    <w:rsid w:val="00E37495"/>
    <w:rsid w:val="00E423C0"/>
    <w:rsid w:val="00E50BC6"/>
    <w:rsid w:val="00E52E64"/>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A6014"/>
    <w:rsid w:val="00EB5B1B"/>
    <w:rsid w:val="00EC10B9"/>
    <w:rsid w:val="00ED18DC"/>
    <w:rsid w:val="00ED6201"/>
    <w:rsid w:val="00ED7A2A"/>
    <w:rsid w:val="00ED7F40"/>
    <w:rsid w:val="00EE4832"/>
    <w:rsid w:val="00EF1D7F"/>
    <w:rsid w:val="00EF4426"/>
    <w:rsid w:val="00F0137E"/>
    <w:rsid w:val="00F0148F"/>
    <w:rsid w:val="00F21786"/>
    <w:rsid w:val="00F237F4"/>
    <w:rsid w:val="00F33645"/>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7680186A"/>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10"/>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numPr>
        <w:numId w:val="5"/>
      </w:numPr>
      <w:spacing w:after="0"/>
      <w:ind w:right="0"/>
      <w:jc w:val="left"/>
      <w:outlineLvl w:val="0"/>
    </w:pPr>
  </w:style>
  <w:style w:type="paragraph" w:styleId="Heading2">
    <w:name w:val="heading 2"/>
    <w:basedOn w:val="Normal"/>
    <w:next w:val="Normal"/>
    <w:qFormat/>
    <w:pPr>
      <w:numPr>
        <w:ilvl w:val="1"/>
        <w:numId w:val="5"/>
      </w:numPr>
      <w:outlineLvl w:val="1"/>
    </w:pPr>
  </w:style>
  <w:style w:type="paragraph" w:styleId="Heading3">
    <w:name w:val="heading 3"/>
    <w:basedOn w:val="Normal"/>
    <w:next w:val="Normal"/>
    <w:link w:val="Heading3Char"/>
    <w:qFormat/>
    <w:pPr>
      <w:numPr>
        <w:ilvl w:val="2"/>
        <w:numId w:val="5"/>
      </w:numPr>
      <w:outlineLvl w:val="2"/>
    </w:pPr>
  </w:style>
  <w:style w:type="paragraph" w:styleId="Heading4">
    <w:name w:val="heading 4"/>
    <w:basedOn w:val="Normal"/>
    <w:next w:val="Normal"/>
    <w:qFormat/>
    <w:pPr>
      <w:numPr>
        <w:ilvl w:val="3"/>
        <w:numId w:val="5"/>
      </w:numPr>
      <w:outlineLvl w:val="3"/>
    </w:p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5"/>
      </w:numPr>
      <w:outlineLvl w:val="5"/>
    </w:pPr>
  </w:style>
  <w:style w:type="paragraph" w:styleId="Heading7">
    <w:name w:val="heading 7"/>
    <w:basedOn w:val="Normal"/>
    <w:next w:val="Normal"/>
    <w:qFormat/>
    <w:pPr>
      <w:numPr>
        <w:ilvl w:val="6"/>
        <w:numId w:val="5"/>
      </w:numPr>
      <w:outlineLvl w:val="6"/>
    </w:pPr>
  </w:style>
  <w:style w:type="paragraph" w:styleId="Heading8">
    <w:name w:val="heading 8"/>
    <w:basedOn w:val="Normal"/>
    <w:next w:val="Normal"/>
    <w:qFormat/>
    <w:pPr>
      <w:numPr>
        <w:ilvl w:val="7"/>
        <w:numId w:val="5"/>
      </w:numPr>
      <w:outlineLvl w:val="7"/>
    </w:pPr>
  </w:style>
  <w:style w:type="paragraph" w:styleId="Heading9">
    <w:name w:val="heading 9"/>
    <w:basedOn w:val="Normal"/>
    <w:next w:val="Normal"/>
    <w:qFormat/>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uiPriority w:val="99"/>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uiPriority w:val="99"/>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uiPriority w:val="99"/>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customStyle="1" w:styleId="ParaNoG">
    <w:name w:val="_ParaNo._G"/>
    <w:basedOn w:val="SingleTxtG"/>
    <w:rsid w:val="00C46CBB"/>
    <w:pPr>
      <w:suppressAutoHyphens/>
      <w:spacing w:line="240" w:lineRule="atLeast"/>
    </w:pPr>
    <w:rPr>
      <w:lang w:val="x-none"/>
    </w:rPr>
  </w:style>
  <w:style w:type="paragraph" w:styleId="PlainText">
    <w:name w:val="Plain Text"/>
    <w:basedOn w:val="Normal"/>
    <w:link w:val="PlainTextChar"/>
    <w:rsid w:val="00C46CBB"/>
    <w:pPr>
      <w:suppressAutoHyphens/>
      <w:spacing w:after="0" w:line="240" w:lineRule="atLeast"/>
    </w:pPr>
    <w:rPr>
      <w:rFonts w:cs="Courier New"/>
    </w:rPr>
  </w:style>
  <w:style w:type="character" w:customStyle="1" w:styleId="PlainTextChar">
    <w:name w:val="Plain Text Char"/>
    <w:basedOn w:val="DefaultParagraphFont"/>
    <w:link w:val="PlainText"/>
    <w:rsid w:val="00C46CBB"/>
    <w:rPr>
      <w:rFonts w:cs="Courier New"/>
      <w:lang w:val="en-GB"/>
    </w:rPr>
  </w:style>
  <w:style w:type="paragraph" w:styleId="BodyText">
    <w:name w:val="Body Text"/>
    <w:basedOn w:val="Normal"/>
    <w:next w:val="Normal"/>
    <w:link w:val="BodyTextChar"/>
    <w:rsid w:val="00C46CBB"/>
    <w:pPr>
      <w:suppressAutoHyphens/>
      <w:spacing w:after="0" w:line="240" w:lineRule="atLeast"/>
    </w:pPr>
  </w:style>
  <w:style w:type="character" w:customStyle="1" w:styleId="BodyTextChar">
    <w:name w:val="Body Text Char"/>
    <w:basedOn w:val="DefaultParagraphFont"/>
    <w:link w:val="BodyText"/>
    <w:rsid w:val="00C46CBB"/>
    <w:rPr>
      <w:lang w:val="en-GB"/>
    </w:rPr>
  </w:style>
  <w:style w:type="paragraph" w:styleId="BodyTextIndent">
    <w:name w:val="Body Text Indent"/>
    <w:basedOn w:val="Normal"/>
    <w:link w:val="BodyTextIndentChar"/>
    <w:rsid w:val="00C46CBB"/>
    <w:pPr>
      <w:suppressAutoHyphens/>
      <w:spacing w:after="120" w:line="240" w:lineRule="atLeast"/>
      <w:ind w:left="283"/>
    </w:pPr>
  </w:style>
  <w:style w:type="character" w:customStyle="1" w:styleId="BodyTextIndentChar">
    <w:name w:val="Body Text Indent Char"/>
    <w:basedOn w:val="DefaultParagraphFont"/>
    <w:link w:val="BodyTextIndent"/>
    <w:rsid w:val="00C46CBB"/>
    <w:rPr>
      <w:lang w:val="en-GB"/>
    </w:rPr>
  </w:style>
  <w:style w:type="paragraph" w:styleId="BlockText">
    <w:name w:val="Block Text"/>
    <w:basedOn w:val="Normal"/>
    <w:rsid w:val="00C46CBB"/>
    <w:pPr>
      <w:suppressAutoHyphens/>
      <w:spacing w:after="0" w:line="240" w:lineRule="atLeast"/>
      <w:ind w:left="1440" w:right="1440"/>
    </w:pPr>
  </w:style>
  <w:style w:type="character" w:styleId="CommentReference">
    <w:name w:val="annotation reference"/>
    <w:rsid w:val="00C46CBB"/>
    <w:rPr>
      <w:sz w:val="6"/>
    </w:rPr>
  </w:style>
  <w:style w:type="paragraph" w:styleId="CommentText">
    <w:name w:val="annotation text"/>
    <w:basedOn w:val="Normal"/>
    <w:link w:val="CommentTextChar"/>
    <w:rsid w:val="00C46CBB"/>
    <w:pPr>
      <w:suppressAutoHyphens/>
      <w:spacing w:after="0" w:line="240" w:lineRule="atLeast"/>
    </w:pPr>
  </w:style>
  <w:style w:type="character" w:customStyle="1" w:styleId="CommentTextChar">
    <w:name w:val="Comment Text Char"/>
    <w:basedOn w:val="DefaultParagraphFont"/>
    <w:link w:val="CommentText"/>
    <w:rsid w:val="00C46CBB"/>
    <w:rPr>
      <w:lang w:val="en-GB"/>
    </w:rPr>
  </w:style>
  <w:style w:type="character" w:styleId="LineNumber">
    <w:name w:val="line number"/>
    <w:rsid w:val="00C46CBB"/>
    <w:rPr>
      <w:sz w:val="14"/>
    </w:rPr>
  </w:style>
  <w:style w:type="numbering" w:styleId="111111">
    <w:name w:val="Outline List 2"/>
    <w:basedOn w:val="NoList"/>
    <w:semiHidden/>
    <w:rsid w:val="00C46CBB"/>
    <w:pPr>
      <w:numPr>
        <w:numId w:val="3"/>
      </w:numPr>
    </w:pPr>
  </w:style>
  <w:style w:type="numbering" w:styleId="1ai">
    <w:name w:val="Outline List 1"/>
    <w:basedOn w:val="NoList"/>
    <w:semiHidden/>
    <w:rsid w:val="00C46CBB"/>
    <w:pPr>
      <w:numPr>
        <w:numId w:val="4"/>
      </w:numPr>
    </w:pPr>
  </w:style>
  <w:style w:type="numbering" w:styleId="ArticleSection">
    <w:name w:val="Outline List 3"/>
    <w:basedOn w:val="NoList"/>
    <w:semiHidden/>
    <w:rsid w:val="00C46CBB"/>
    <w:pPr>
      <w:numPr>
        <w:numId w:val="12"/>
      </w:numPr>
    </w:pPr>
  </w:style>
  <w:style w:type="paragraph" w:styleId="BodyText2">
    <w:name w:val="Body Text 2"/>
    <w:basedOn w:val="Normal"/>
    <w:link w:val="BodyText2Char"/>
    <w:rsid w:val="00C46CBB"/>
    <w:pPr>
      <w:suppressAutoHyphens/>
      <w:spacing w:after="120" w:line="480" w:lineRule="auto"/>
    </w:pPr>
  </w:style>
  <w:style w:type="character" w:customStyle="1" w:styleId="BodyText2Char">
    <w:name w:val="Body Text 2 Char"/>
    <w:basedOn w:val="DefaultParagraphFont"/>
    <w:link w:val="BodyText2"/>
    <w:rsid w:val="00C46CBB"/>
    <w:rPr>
      <w:lang w:val="en-GB"/>
    </w:rPr>
  </w:style>
  <w:style w:type="paragraph" w:styleId="BodyText3">
    <w:name w:val="Body Text 3"/>
    <w:basedOn w:val="Normal"/>
    <w:link w:val="BodyText3Char"/>
    <w:rsid w:val="00C46CBB"/>
    <w:pPr>
      <w:suppressAutoHyphens/>
      <w:spacing w:after="120" w:line="240" w:lineRule="atLeast"/>
    </w:pPr>
    <w:rPr>
      <w:sz w:val="16"/>
      <w:szCs w:val="16"/>
    </w:rPr>
  </w:style>
  <w:style w:type="character" w:customStyle="1" w:styleId="BodyText3Char">
    <w:name w:val="Body Text 3 Char"/>
    <w:basedOn w:val="DefaultParagraphFont"/>
    <w:link w:val="BodyText3"/>
    <w:rsid w:val="00C46CBB"/>
    <w:rPr>
      <w:sz w:val="16"/>
      <w:szCs w:val="16"/>
      <w:lang w:val="en-GB"/>
    </w:rPr>
  </w:style>
  <w:style w:type="paragraph" w:styleId="BodyTextFirstIndent">
    <w:name w:val="Body Text First Indent"/>
    <w:basedOn w:val="BodyText"/>
    <w:link w:val="BodyTextFirstIndentChar"/>
    <w:rsid w:val="00C46CBB"/>
    <w:pPr>
      <w:spacing w:after="120"/>
      <w:ind w:firstLine="210"/>
    </w:pPr>
  </w:style>
  <w:style w:type="character" w:customStyle="1" w:styleId="BodyTextFirstIndentChar">
    <w:name w:val="Body Text First Indent Char"/>
    <w:basedOn w:val="BodyTextChar"/>
    <w:link w:val="BodyTextFirstIndent"/>
    <w:rsid w:val="00C46CBB"/>
    <w:rPr>
      <w:lang w:val="en-GB"/>
    </w:rPr>
  </w:style>
  <w:style w:type="paragraph" w:styleId="BodyTextFirstIndent2">
    <w:name w:val="Body Text First Indent 2"/>
    <w:basedOn w:val="BodyTextIndent"/>
    <w:link w:val="BodyTextFirstIndent2Char"/>
    <w:rsid w:val="00C46CBB"/>
    <w:pPr>
      <w:ind w:firstLine="210"/>
    </w:pPr>
  </w:style>
  <w:style w:type="character" w:customStyle="1" w:styleId="BodyTextFirstIndent2Char">
    <w:name w:val="Body Text First Indent 2 Char"/>
    <w:basedOn w:val="BodyTextIndentChar"/>
    <w:link w:val="BodyTextFirstIndent2"/>
    <w:rsid w:val="00C46CBB"/>
    <w:rPr>
      <w:lang w:val="en-GB"/>
    </w:rPr>
  </w:style>
  <w:style w:type="paragraph" w:styleId="BodyTextIndent2">
    <w:name w:val="Body Text Indent 2"/>
    <w:basedOn w:val="Normal"/>
    <w:link w:val="BodyTextIndent2Char"/>
    <w:rsid w:val="00C46CBB"/>
    <w:pPr>
      <w:suppressAutoHyphens/>
      <w:spacing w:after="120" w:line="480" w:lineRule="auto"/>
      <w:ind w:left="283"/>
    </w:pPr>
  </w:style>
  <w:style w:type="character" w:customStyle="1" w:styleId="BodyTextIndent2Char">
    <w:name w:val="Body Text Indent 2 Char"/>
    <w:basedOn w:val="DefaultParagraphFont"/>
    <w:link w:val="BodyTextIndent2"/>
    <w:rsid w:val="00C46CBB"/>
    <w:rPr>
      <w:lang w:val="en-GB"/>
    </w:rPr>
  </w:style>
  <w:style w:type="paragraph" w:styleId="BodyTextIndent3">
    <w:name w:val="Body Text Indent 3"/>
    <w:basedOn w:val="Normal"/>
    <w:link w:val="BodyTextIndent3Char"/>
    <w:rsid w:val="00C46CBB"/>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rsid w:val="00C46CBB"/>
    <w:rPr>
      <w:sz w:val="16"/>
      <w:szCs w:val="16"/>
      <w:lang w:val="en-GB"/>
    </w:rPr>
  </w:style>
  <w:style w:type="paragraph" w:styleId="Closing">
    <w:name w:val="Closing"/>
    <w:basedOn w:val="Normal"/>
    <w:link w:val="ClosingChar"/>
    <w:rsid w:val="00C46CBB"/>
    <w:pPr>
      <w:suppressAutoHyphens/>
      <w:spacing w:after="0" w:line="240" w:lineRule="atLeast"/>
      <w:ind w:left="4252"/>
    </w:pPr>
  </w:style>
  <w:style w:type="character" w:customStyle="1" w:styleId="ClosingChar">
    <w:name w:val="Closing Char"/>
    <w:basedOn w:val="DefaultParagraphFont"/>
    <w:link w:val="Closing"/>
    <w:rsid w:val="00C46CBB"/>
    <w:rPr>
      <w:lang w:val="en-GB"/>
    </w:rPr>
  </w:style>
  <w:style w:type="paragraph" w:styleId="Date">
    <w:name w:val="Date"/>
    <w:basedOn w:val="Normal"/>
    <w:next w:val="Normal"/>
    <w:link w:val="DateChar"/>
    <w:rsid w:val="00C46CBB"/>
    <w:pPr>
      <w:suppressAutoHyphens/>
      <w:spacing w:after="0" w:line="240" w:lineRule="atLeast"/>
    </w:pPr>
  </w:style>
  <w:style w:type="character" w:customStyle="1" w:styleId="DateChar">
    <w:name w:val="Date Char"/>
    <w:basedOn w:val="DefaultParagraphFont"/>
    <w:link w:val="Date"/>
    <w:rsid w:val="00C46CBB"/>
    <w:rPr>
      <w:lang w:val="en-GB"/>
    </w:rPr>
  </w:style>
  <w:style w:type="paragraph" w:styleId="E-mailSignature">
    <w:name w:val="E-mail Signature"/>
    <w:basedOn w:val="Normal"/>
    <w:link w:val="E-mailSignatureChar"/>
    <w:rsid w:val="00C46CBB"/>
    <w:pPr>
      <w:suppressAutoHyphens/>
      <w:spacing w:after="0" w:line="240" w:lineRule="atLeast"/>
    </w:pPr>
  </w:style>
  <w:style w:type="character" w:customStyle="1" w:styleId="E-mailSignatureChar">
    <w:name w:val="E-mail Signature Char"/>
    <w:basedOn w:val="DefaultParagraphFont"/>
    <w:link w:val="E-mailSignature"/>
    <w:rsid w:val="00C46CBB"/>
    <w:rPr>
      <w:lang w:val="en-GB"/>
    </w:rPr>
  </w:style>
  <w:style w:type="character" w:styleId="Emphasis">
    <w:name w:val="Emphasis"/>
    <w:qFormat/>
    <w:rsid w:val="00C46CBB"/>
    <w:rPr>
      <w:i/>
      <w:iCs/>
    </w:rPr>
  </w:style>
  <w:style w:type="paragraph" w:styleId="EnvelopeReturn">
    <w:name w:val="envelope return"/>
    <w:basedOn w:val="Normal"/>
    <w:rsid w:val="00C46CBB"/>
    <w:pPr>
      <w:suppressAutoHyphens/>
      <w:spacing w:after="0" w:line="240" w:lineRule="atLeast"/>
    </w:pPr>
    <w:rPr>
      <w:rFonts w:ascii="Arial" w:hAnsi="Arial" w:cs="Arial"/>
    </w:rPr>
  </w:style>
  <w:style w:type="character" w:styleId="HTMLAcronym">
    <w:name w:val="HTML Acronym"/>
    <w:basedOn w:val="DefaultParagraphFont"/>
    <w:rsid w:val="00C46CBB"/>
  </w:style>
  <w:style w:type="paragraph" w:styleId="HTMLAddress">
    <w:name w:val="HTML Address"/>
    <w:basedOn w:val="Normal"/>
    <w:link w:val="HTMLAddressChar"/>
    <w:rsid w:val="00C46CBB"/>
    <w:pPr>
      <w:suppressAutoHyphens/>
      <w:spacing w:after="0" w:line="240" w:lineRule="atLeast"/>
    </w:pPr>
    <w:rPr>
      <w:i/>
      <w:iCs/>
    </w:rPr>
  </w:style>
  <w:style w:type="character" w:customStyle="1" w:styleId="HTMLAddressChar">
    <w:name w:val="HTML Address Char"/>
    <w:basedOn w:val="DefaultParagraphFont"/>
    <w:link w:val="HTMLAddress"/>
    <w:rsid w:val="00C46CBB"/>
    <w:rPr>
      <w:i/>
      <w:iCs/>
      <w:lang w:val="en-GB"/>
    </w:rPr>
  </w:style>
  <w:style w:type="character" w:styleId="HTMLCite">
    <w:name w:val="HTML Cite"/>
    <w:rsid w:val="00C46CBB"/>
    <w:rPr>
      <w:i/>
      <w:iCs/>
    </w:rPr>
  </w:style>
  <w:style w:type="character" w:styleId="HTMLCode">
    <w:name w:val="HTML Code"/>
    <w:rsid w:val="00C46CBB"/>
    <w:rPr>
      <w:rFonts w:ascii="Courier New" w:hAnsi="Courier New" w:cs="Courier New"/>
      <w:sz w:val="20"/>
      <w:szCs w:val="20"/>
    </w:rPr>
  </w:style>
  <w:style w:type="character" w:styleId="HTMLDefinition">
    <w:name w:val="HTML Definition"/>
    <w:rsid w:val="00C46CBB"/>
    <w:rPr>
      <w:i/>
      <w:iCs/>
    </w:rPr>
  </w:style>
  <w:style w:type="character" w:styleId="HTMLKeyboard">
    <w:name w:val="HTML Keyboard"/>
    <w:rsid w:val="00C46CBB"/>
    <w:rPr>
      <w:rFonts w:ascii="Courier New" w:hAnsi="Courier New" w:cs="Courier New"/>
      <w:sz w:val="20"/>
      <w:szCs w:val="20"/>
    </w:rPr>
  </w:style>
  <w:style w:type="paragraph" w:styleId="HTMLPreformatted">
    <w:name w:val="HTML Preformatted"/>
    <w:basedOn w:val="Normal"/>
    <w:link w:val="HTMLPreformattedChar"/>
    <w:semiHidden/>
    <w:rsid w:val="00C46CBB"/>
    <w:pPr>
      <w:suppressAutoHyphens/>
      <w:spacing w:after="0" w:line="240" w:lineRule="atLeast"/>
    </w:pPr>
    <w:rPr>
      <w:rFonts w:ascii="Courier New" w:hAnsi="Courier New" w:cs="Courier New"/>
    </w:rPr>
  </w:style>
  <w:style w:type="character" w:customStyle="1" w:styleId="HTMLPreformattedChar">
    <w:name w:val="HTML Preformatted Char"/>
    <w:basedOn w:val="DefaultParagraphFont"/>
    <w:link w:val="HTMLPreformatted"/>
    <w:semiHidden/>
    <w:rsid w:val="00C46CBB"/>
    <w:rPr>
      <w:rFonts w:ascii="Courier New" w:hAnsi="Courier New" w:cs="Courier New"/>
      <w:lang w:val="en-GB"/>
    </w:rPr>
  </w:style>
  <w:style w:type="character" w:styleId="HTMLSample">
    <w:name w:val="HTML Sample"/>
    <w:rsid w:val="00C46CBB"/>
    <w:rPr>
      <w:rFonts w:ascii="Courier New" w:hAnsi="Courier New" w:cs="Courier New"/>
    </w:rPr>
  </w:style>
  <w:style w:type="character" w:styleId="HTMLTypewriter">
    <w:name w:val="HTML Typewriter"/>
    <w:rsid w:val="00C46CBB"/>
    <w:rPr>
      <w:rFonts w:ascii="Courier New" w:hAnsi="Courier New" w:cs="Courier New"/>
      <w:sz w:val="20"/>
      <w:szCs w:val="20"/>
    </w:rPr>
  </w:style>
  <w:style w:type="character" w:styleId="HTMLVariable">
    <w:name w:val="HTML Variable"/>
    <w:rsid w:val="00C46CBB"/>
    <w:rPr>
      <w:i/>
      <w:iCs/>
    </w:rPr>
  </w:style>
  <w:style w:type="paragraph" w:styleId="List">
    <w:name w:val="List"/>
    <w:basedOn w:val="Normal"/>
    <w:rsid w:val="00C46CBB"/>
    <w:pPr>
      <w:suppressAutoHyphens/>
      <w:spacing w:after="0" w:line="240" w:lineRule="atLeast"/>
      <w:ind w:left="283" w:hanging="283"/>
    </w:pPr>
  </w:style>
  <w:style w:type="paragraph" w:styleId="List2">
    <w:name w:val="List 2"/>
    <w:basedOn w:val="Normal"/>
    <w:rsid w:val="00C46CBB"/>
    <w:pPr>
      <w:suppressAutoHyphens/>
      <w:spacing w:after="0" w:line="240" w:lineRule="atLeast"/>
      <w:ind w:left="566" w:hanging="283"/>
    </w:pPr>
  </w:style>
  <w:style w:type="paragraph" w:styleId="List3">
    <w:name w:val="List 3"/>
    <w:basedOn w:val="Normal"/>
    <w:rsid w:val="00C46CBB"/>
    <w:pPr>
      <w:suppressAutoHyphens/>
      <w:spacing w:after="0" w:line="240" w:lineRule="atLeast"/>
      <w:ind w:left="849" w:hanging="283"/>
    </w:pPr>
  </w:style>
  <w:style w:type="paragraph" w:styleId="List4">
    <w:name w:val="List 4"/>
    <w:basedOn w:val="Normal"/>
    <w:rsid w:val="00C46CBB"/>
    <w:pPr>
      <w:suppressAutoHyphens/>
      <w:spacing w:after="0" w:line="240" w:lineRule="atLeast"/>
      <w:ind w:left="1132" w:hanging="283"/>
    </w:pPr>
  </w:style>
  <w:style w:type="paragraph" w:styleId="List5">
    <w:name w:val="List 5"/>
    <w:basedOn w:val="Normal"/>
    <w:rsid w:val="00C46CBB"/>
    <w:pPr>
      <w:suppressAutoHyphens/>
      <w:spacing w:after="0" w:line="240" w:lineRule="atLeast"/>
      <w:ind w:left="1415" w:hanging="283"/>
    </w:pPr>
  </w:style>
  <w:style w:type="paragraph" w:styleId="ListBullet">
    <w:name w:val="List Bullet"/>
    <w:basedOn w:val="Normal"/>
    <w:rsid w:val="00C46CBB"/>
    <w:pPr>
      <w:tabs>
        <w:tab w:val="num" w:pos="360"/>
      </w:tabs>
      <w:suppressAutoHyphens/>
      <w:spacing w:after="0" w:line="240" w:lineRule="atLeast"/>
      <w:ind w:left="360" w:hanging="360"/>
    </w:pPr>
  </w:style>
  <w:style w:type="paragraph" w:styleId="ListBullet2">
    <w:name w:val="List Bullet 2"/>
    <w:basedOn w:val="Normal"/>
    <w:rsid w:val="00C46CBB"/>
    <w:pPr>
      <w:tabs>
        <w:tab w:val="num" w:pos="643"/>
      </w:tabs>
      <w:suppressAutoHyphens/>
      <w:spacing w:after="0" w:line="240" w:lineRule="atLeast"/>
      <w:ind w:left="643" w:hanging="360"/>
    </w:pPr>
  </w:style>
  <w:style w:type="paragraph" w:styleId="ListBullet3">
    <w:name w:val="List Bullet 3"/>
    <w:basedOn w:val="Normal"/>
    <w:rsid w:val="00C46CBB"/>
    <w:pPr>
      <w:tabs>
        <w:tab w:val="num" w:pos="926"/>
      </w:tabs>
      <w:suppressAutoHyphens/>
      <w:spacing w:after="0" w:line="240" w:lineRule="atLeast"/>
      <w:ind w:left="926" w:hanging="360"/>
    </w:pPr>
  </w:style>
  <w:style w:type="paragraph" w:styleId="ListBullet4">
    <w:name w:val="List Bullet 4"/>
    <w:basedOn w:val="Normal"/>
    <w:rsid w:val="00C46CBB"/>
    <w:pPr>
      <w:tabs>
        <w:tab w:val="num" w:pos="1209"/>
      </w:tabs>
      <w:suppressAutoHyphens/>
      <w:spacing w:after="0" w:line="240" w:lineRule="atLeast"/>
      <w:ind w:left="1209" w:hanging="360"/>
    </w:pPr>
  </w:style>
  <w:style w:type="paragraph" w:styleId="ListBullet5">
    <w:name w:val="List Bullet 5"/>
    <w:basedOn w:val="Normal"/>
    <w:rsid w:val="00C46CBB"/>
    <w:pPr>
      <w:tabs>
        <w:tab w:val="num" w:pos="1492"/>
      </w:tabs>
      <w:suppressAutoHyphens/>
      <w:spacing w:after="0" w:line="240" w:lineRule="atLeast"/>
      <w:ind w:left="1492" w:hanging="360"/>
    </w:pPr>
  </w:style>
  <w:style w:type="paragraph" w:styleId="ListContinue">
    <w:name w:val="List Continue"/>
    <w:basedOn w:val="Normal"/>
    <w:rsid w:val="00C46CBB"/>
    <w:pPr>
      <w:suppressAutoHyphens/>
      <w:spacing w:after="120" w:line="240" w:lineRule="atLeast"/>
      <w:ind w:left="283"/>
    </w:pPr>
  </w:style>
  <w:style w:type="paragraph" w:styleId="ListContinue2">
    <w:name w:val="List Continue 2"/>
    <w:basedOn w:val="Normal"/>
    <w:rsid w:val="00C46CBB"/>
    <w:pPr>
      <w:suppressAutoHyphens/>
      <w:spacing w:after="120" w:line="240" w:lineRule="atLeast"/>
      <w:ind w:left="566"/>
    </w:pPr>
  </w:style>
  <w:style w:type="paragraph" w:styleId="ListContinue3">
    <w:name w:val="List Continue 3"/>
    <w:basedOn w:val="Normal"/>
    <w:rsid w:val="00C46CBB"/>
    <w:pPr>
      <w:suppressAutoHyphens/>
      <w:spacing w:after="120" w:line="240" w:lineRule="atLeast"/>
      <w:ind w:left="849"/>
    </w:pPr>
  </w:style>
  <w:style w:type="paragraph" w:styleId="ListContinue4">
    <w:name w:val="List Continue 4"/>
    <w:basedOn w:val="Normal"/>
    <w:rsid w:val="00C46CBB"/>
    <w:pPr>
      <w:suppressAutoHyphens/>
      <w:spacing w:after="120" w:line="240" w:lineRule="atLeast"/>
      <w:ind w:left="1132"/>
    </w:pPr>
  </w:style>
  <w:style w:type="paragraph" w:styleId="ListContinue5">
    <w:name w:val="List Continue 5"/>
    <w:basedOn w:val="Normal"/>
    <w:rsid w:val="00C46CBB"/>
    <w:pPr>
      <w:suppressAutoHyphens/>
      <w:spacing w:after="120" w:line="240" w:lineRule="atLeast"/>
      <w:ind w:left="1415"/>
    </w:pPr>
  </w:style>
  <w:style w:type="paragraph" w:styleId="ListNumber">
    <w:name w:val="List Number"/>
    <w:basedOn w:val="Normal"/>
    <w:rsid w:val="00C46CBB"/>
    <w:pPr>
      <w:tabs>
        <w:tab w:val="num" w:pos="360"/>
      </w:tabs>
      <w:suppressAutoHyphens/>
      <w:spacing w:after="0" w:line="240" w:lineRule="atLeast"/>
      <w:ind w:left="360" w:hanging="360"/>
    </w:pPr>
  </w:style>
  <w:style w:type="paragraph" w:styleId="ListNumber2">
    <w:name w:val="List Number 2"/>
    <w:basedOn w:val="Normal"/>
    <w:rsid w:val="00C46CBB"/>
    <w:pPr>
      <w:tabs>
        <w:tab w:val="num" w:pos="643"/>
      </w:tabs>
      <w:suppressAutoHyphens/>
      <w:spacing w:after="0" w:line="240" w:lineRule="atLeast"/>
      <w:ind w:left="643" w:hanging="360"/>
    </w:pPr>
  </w:style>
  <w:style w:type="paragraph" w:styleId="ListNumber3">
    <w:name w:val="List Number 3"/>
    <w:basedOn w:val="Normal"/>
    <w:rsid w:val="00C46CBB"/>
    <w:pPr>
      <w:tabs>
        <w:tab w:val="num" w:pos="926"/>
      </w:tabs>
      <w:suppressAutoHyphens/>
      <w:spacing w:after="0" w:line="240" w:lineRule="atLeast"/>
      <w:ind w:left="926" w:hanging="360"/>
    </w:pPr>
  </w:style>
  <w:style w:type="paragraph" w:styleId="ListNumber4">
    <w:name w:val="List Number 4"/>
    <w:basedOn w:val="Normal"/>
    <w:rsid w:val="00C46CBB"/>
    <w:pPr>
      <w:tabs>
        <w:tab w:val="num" w:pos="1209"/>
      </w:tabs>
      <w:suppressAutoHyphens/>
      <w:spacing w:after="0" w:line="240" w:lineRule="atLeast"/>
      <w:ind w:left="1209" w:hanging="360"/>
    </w:pPr>
  </w:style>
  <w:style w:type="paragraph" w:styleId="ListNumber5">
    <w:name w:val="List Number 5"/>
    <w:basedOn w:val="Normal"/>
    <w:rsid w:val="00C46CBB"/>
    <w:pPr>
      <w:tabs>
        <w:tab w:val="num" w:pos="1492"/>
      </w:tabs>
      <w:suppressAutoHyphens/>
      <w:spacing w:after="0" w:line="240" w:lineRule="atLeast"/>
      <w:ind w:left="1492" w:hanging="360"/>
    </w:pPr>
  </w:style>
  <w:style w:type="paragraph" w:styleId="MessageHeader">
    <w:name w:val="Message Header"/>
    <w:basedOn w:val="Normal"/>
    <w:link w:val="MessageHeaderChar"/>
    <w:rsid w:val="00C46CBB"/>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6CBB"/>
    <w:rPr>
      <w:rFonts w:ascii="Arial" w:hAnsi="Arial" w:cs="Arial"/>
      <w:sz w:val="24"/>
      <w:szCs w:val="24"/>
      <w:shd w:val="pct20" w:color="auto" w:fill="auto"/>
      <w:lang w:val="en-GB"/>
    </w:rPr>
  </w:style>
  <w:style w:type="paragraph" w:styleId="NormalWeb">
    <w:name w:val="Normal (Web)"/>
    <w:basedOn w:val="Normal"/>
    <w:rsid w:val="00C46CBB"/>
    <w:pPr>
      <w:suppressAutoHyphens/>
      <w:spacing w:after="0" w:line="240" w:lineRule="atLeast"/>
    </w:pPr>
    <w:rPr>
      <w:sz w:val="24"/>
      <w:szCs w:val="24"/>
    </w:rPr>
  </w:style>
  <w:style w:type="paragraph" w:styleId="NormalIndent">
    <w:name w:val="Normal Indent"/>
    <w:basedOn w:val="Normal"/>
    <w:rsid w:val="00C46CBB"/>
    <w:pPr>
      <w:suppressAutoHyphens/>
      <w:spacing w:after="0" w:line="240" w:lineRule="atLeast"/>
      <w:ind w:left="567"/>
    </w:pPr>
  </w:style>
  <w:style w:type="paragraph" w:styleId="NoteHeading">
    <w:name w:val="Note Heading"/>
    <w:basedOn w:val="Normal"/>
    <w:next w:val="Normal"/>
    <w:link w:val="NoteHeadingChar"/>
    <w:rsid w:val="00C46CBB"/>
    <w:pPr>
      <w:suppressAutoHyphens/>
      <w:spacing w:after="0" w:line="240" w:lineRule="atLeast"/>
    </w:pPr>
  </w:style>
  <w:style w:type="character" w:customStyle="1" w:styleId="NoteHeadingChar">
    <w:name w:val="Note Heading Char"/>
    <w:basedOn w:val="DefaultParagraphFont"/>
    <w:link w:val="NoteHeading"/>
    <w:rsid w:val="00C46CBB"/>
    <w:rPr>
      <w:lang w:val="en-GB"/>
    </w:rPr>
  </w:style>
  <w:style w:type="paragraph" w:styleId="Salutation">
    <w:name w:val="Salutation"/>
    <w:basedOn w:val="Normal"/>
    <w:next w:val="Normal"/>
    <w:link w:val="SalutationChar"/>
    <w:rsid w:val="00C46CBB"/>
    <w:pPr>
      <w:suppressAutoHyphens/>
      <w:spacing w:after="0" w:line="240" w:lineRule="atLeast"/>
    </w:pPr>
  </w:style>
  <w:style w:type="character" w:customStyle="1" w:styleId="SalutationChar">
    <w:name w:val="Salutation Char"/>
    <w:basedOn w:val="DefaultParagraphFont"/>
    <w:link w:val="Salutation"/>
    <w:rsid w:val="00C46CBB"/>
    <w:rPr>
      <w:lang w:val="en-GB"/>
    </w:rPr>
  </w:style>
  <w:style w:type="paragraph" w:styleId="Signature">
    <w:name w:val="Signature"/>
    <w:basedOn w:val="Normal"/>
    <w:link w:val="SignatureChar"/>
    <w:rsid w:val="00C46CBB"/>
    <w:pPr>
      <w:suppressAutoHyphens/>
      <w:spacing w:after="0" w:line="240" w:lineRule="atLeast"/>
      <w:ind w:left="4252"/>
    </w:pPr>
  </w:style>
  <w:style w:type="character" w:customStyle="1" w:styleId="SignatureChar">
    <w:name w:val="Signature Char"/>
    <w:basedOn w:val="DefaultParagraphFont"/>
    <w:link w:val="Signature"/>
    <w:rsid w:val="00C46CBB"/>
    <w:rPr>
      <w:lang w:val="en-GB"/>
    </w:rPr>
  </w:style>
  <w:style w:type="character" w:styleId="Strong">
    <w:name w:val="Strong"/>
    <w:qFormat/>
    <w:rsid w:val="00C46CBB"/>
    <w:rPr>
      <w:b/>
      <w:bCs/>
    </w:rPr>
  </w:style>
  <w:style w:type="paragraph" w:styleId="Subtitle">
    <w:name w:val="Subtitle"/>
    <w:basedOn w:val="Normal"/>
    <w:link w:val="SubtitleChar"/>
    <w:qFormat/>
    <w:rsid w:val="00C46CBB"/>
    <w:pPr>
      <w:suppressAutoHyphens/>
      <w:spacing w:after="60" w:line="240" w:lineRule="atLeast"/>
      <w:jc w:val="center"/>
      <w:outlineLvl w:val="1"/>
    </w:pPr>
    <w:rPr>
      <w:rFonts w:ascii="Arial" w:hAnsi="Arial" w:cs="Arial"/>
      <w:sz w:val="24"/>
      <w:szCs w:val="24"/>
    </w:rPr>
  </w:style>
  <w:style w:type="character" w:customStyle="1" w:styleId="SubtitleChar">
    <w:name w:val="Subtitle Char"/>
    <w:basedOn w:val="DefaultParagraphFont"/>
    <w:link w:val="Subtitle"/>
    <w:rsid w:val="00C46CBB"/>
    <w:rPr>
      <w:rFonts w:ascii="Arial" w:hAnsi="Arial" w:cs="Arial"/>
      <w:sz w:val="24"/>
      <w:szCs w:val="24"/>
      <w:lang w:val="en-GB"/>
    </w:rPr>
  </w:style>
  <w:style w:type="table" w:styleId="Table3Deffects1">
    <w:name w:val="Table 3D effects 1"/>
    <w:basedOn w:val="TableNormal"/>
    <w:semiHidden/>
    <w:rsid w:val="00C46CB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6CB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6CB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6CB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6CB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46CB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6CB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6CB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6CB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6CB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6CB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6CB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6CB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46CB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6CB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6CB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6CB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6CB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6CB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6CB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6CB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6CB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6CB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6CB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46CB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6CB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6CB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6CB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46CB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46CB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6CB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6CB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6CBB"/>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6CBB"/>
    <w:rPr>
      <w:rFonts w:ascii="Arial" w:hAnsi="Arial" w:cs="Arial"/>
      <w:b/>
      <w:bCs/>
      <w:kern w:val="28"/>
      <w:sz w:val="32"/>
      <w:szCs w:val="32"/>
      <w:lang w:val="en-GB"/>
    </w:rPr>
  </w:style>
  <w:style w:type="paragraph" w:styleId="EnvelopeAddress">
    <w:name w:val="envelope address"/>
    <w:basedOn w:val="Normal"/>
    <w:rsid w:val="00C46CBB"/>
    <w:pPr>
      <w:framePr w:w="7920" w:h="1980" w:hRule="exact" w:hSpace="180" w:wrap="auto" w:hAnchor="page" w:xAlign="center" w:yAlign="bottom"/>
      <w:suppressAutoHyphens/>
      <w:spacing w:after="0" w:line="240" w:lineRule="atLeast"/>
      <w:ind w:left="2880"/>
    </w:pPr>
    <w:rPr>
      <w:rFonts w:ascii="Arial" w:hAnsi="Arial" w:cs="Arial"/>
      <w:sz w:val="24"/>
      <w:szCs w:val="24"/>
    </w:rPr>
  </w:style>
  <w:style w:type="character" w:customStyle="1" w:styleId="FootnoteTextChar">
    <w:name w:val="Footnote Text Char"/>
    <w:aliases w:val="5_G Char"/>
    <w:link w:val="FootnoteText"/>
    <w:uiPriority w:val="99"/>
    <w:rsid w:val="00C46CBB"/>
    <w:rPr>
      <w:sz w:val="18"/>
      <w:lang w:val="en-GB"/>
    </w:rPr>
  </w:style>
  <w:style w:type="paragraph" w:customStyle="1" w:styleId="Titre11">
    <w:name w:val="Titre 11"/>
    <w:basedOn w:val="Normal"/>
    <w:rsid w:val="00C46CBB"/>
    <w:pPr>
      <w:keepNext/>
      <w:keepLines/>
      <w:suppressAutoHyphens/>
      <w:spacing w:before="480" w:after="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C46CBB"/>
    <w:pPr>
      <w:keepNext/>
      <w:keepLines/>
      <w:suppressAutoHyphens/>
      <w:spacing w:before="200" w:after="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C46CBB"/>
    <w:pPr>
      <w:suppressAutoHyphens/>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C46CBB"/>
    <w:rPr>
      <w:sz w:val="16"/>
      <w:lang w:val="en-GB"/>
    </w:rPr>
  </w:style>
  <w:style w:type="character" w:customStyle="1" w:styleId="fontstyle01">
    <w:name w:val="fontstyle01"/>
    <w:basedOn w:val="DefaultParagraphFont"/>
    <w:rsid w:val="00C46CBB"/>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unhideWhenUsed/>
    <w:rsid w:val="00C46CBB"/>
    <w:pPr>
      <w:spacing w:line="240" w:lineRule="auto"/>
    </w:pPr>
    <w:rPr>
      <w:b/>
      <w:bCs/>
    </w:rPr>
  </w:style>
  <w:style w:type="character" w:customStyle="1" w:styleId="CommentSubjectChar">
    <w:name w:val="Comment Subject Char"/>
    <w:basedOn w:val="CommentTextChar"/>
    <w:link w:val="CommentSubject"/>
    <w:rsid w:val="00C46CBB"/>
    <w:rPr>
      <w:b/>
      <w:bCs/>
      <w:lang w:val="en-GB"/>
    </w:rPr>
  </w:style>
  <w:style w:type="character" w:customStyle="1" w:styleId="Heading3Char">
    <w:name w:val="Heading 3 Char"/>
    <w:link w:val="Heading3"/>
    <w:locked/>
    <w:rsid w:val="00C46CBB"/>
    <w:rPr>
      <w:lang w:val="en-GB"/>
    </w:rPr>
  </w:style>
  <w:style w:type="character" w:customStyle="1" w:styleId="apple-converted-space">
    <w:name w:val="apple-converted-space"/>
    <w:basedOn w:val="DefaultParagraphFont"/>
    <w:rsid w:val="00C46CBB"/>
  </w:style>
  <w:style w:type="character" w:customStyle="1" w:styleId="tlid-translation">
    <w:name w:val="tlid-translation"/>
    <w:basedOn w:val="DefaultParagraphFont"/>
    <w:rsid w:val="00C46CBB"/>
  </w:style>
  <w:style w:type="paragraph" w:styleId="Revision">
    <w:name w:val="Revision"/>
    <w:hidden/>
    <w:uiPriority w:val="99"/>
    <w:semiHidden/>
    <w:rsid w:val="00C46C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C81A5-9072-433D-B337-7145FAA4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454</Words>
  <Characters>2593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3</cp:revision>
  <cp:lastPrinted>2019-09-02T12:05:00Z</cp:lastPrinted>
  <dcterms:created xsi:type="dcterms:W3CDTF">2019-09-17T13:02:00Z</dcterms:created>
  <dcterms:modified xsi:type="dcterms:W3CDTF">2019-09-17T13:09:00Z</dcterms:modified>
</cp:coreProperties>
</file>