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5A1B" w:rsidRPr="00560572" w:rsidRDefault="00215A1B" w:rsidP="00F5390C">
      <w:pPr>
        <w:spacing w:before="120" w:after="0" w:line="240" w:lineRule="atLeast"/>
        <w:rPr>
          <w:b/>
          <w:sz w:val="28"/>
          <w:szCs w:val="28"/>
        </w:rPr>
      </w:pPr>
      <w:r w:rsidRPr="00560572">
        <w:rPr>
          <w:b/>
          <w:sz w:val="28"/>
          <w:szCs w:val="28"/>
        </w:rPr>
        <w:t xml:space="preserve">Economic Commission for </w:t>
      </w:r>
      <w:smartTag w:uri="urn:schemas-microsoft-com:office:smarttags" w:element="place">
        <w:r w:rsidRPr="00560572">
          <w:rPr>
            <w:b/>
            <w:sz w:val="28"/>
            <w:szCs w:val="28"/>
          </w:rPr>
          <w:t>Europe</w:t>
        </w:r>
      </w:smartTag>
    </w:p>
    <w:p w:rsidR="00215A1B" w:rsidRPr="00560572" w:rsidRDefault="00215A1B" w:rsidP="00F5390C">
      <w:pPr>
        <w:spacing w:before="120" w:after="0" w:line="240" w:lineRule="atLeast"/>
        <w:rPr>
          <w:sz w:val="28"/>
          <w:szCs w:val="28"/>
        </w:rPr>
      </w:pPr>
      <w:r w:rsidRPr="00560572">
        <w:rPr>
          <w:sz w:val="28"/>
          <w:szCs w:val="28"/>
        </w:rPr>
        <w:t>Inland Transport Committee</w:t>
      </w:r>
    </w:p>
    <w:p w:rsidR="00215A1B" w:rsidRPr="00560572" w:rsidRDefault="00215A1B" w:rsidP="001C3A25">
      <w:pPr>
        <w:tabs>
          <w:tab w:val="left" w:pos="7938"/>
        </w:tabs>
        <w:spacing w:before="120" w:after="0" w:line="240" w:lineRule="atLeast"/>
        <w:rPr>
          <w:b/>
          <w:szCs w:val="24"/>
        </w:rPr>
      </w:pPr>
      <w:r w:rsidRPr="00560572">
        <w:rPr>
          <w:b/>
          <w:szCs w:val="24"/>
        </w:rPr>
        <w:t>Working Party on the Transport of Dangerous Goods</w:t>
      </w:r>
      <w:r w:rsidR="001C3A25" w:rsidRPr="00560572">
        <w:rPr>
          <w:b/>
          <w:szCs w:val="24"/>
        </w:rPr>
        <w:tab/>
      </w:r>
      <w:r w:rsidR="007932EC">
        <w:rPr>
          <w:b/>
          <w:szCs w:val="24"/>
        </w:rPr>
        <w:t>4 September</w:t>
      </w:r>
      <w:r w:rsidR="00FA3269">
        <w:rPr>
          <w:b/>
        </w:rPr>
        <w:t xml:space="preserve"> 201</w:t>
      </w:r>
      <w:r w:rsidR="007408A0">
        <w:rPr>
          <w:b/>
        </w:rPr>
        <w:t>9</w:t>
      </w:r>
    </w:p>
    <w:p w:rsidR="00215A1B" w:rsidRPr="00560572" w:rsidRDefault="00215A1B" w:rsidP="00AC7298">
      <w:pPr>
        <w:spacing w:before="120" w:after="120" w:line="240" w:lineRule="atLeast"/>
        <w:rPr>
          <w:b/>
        </w:rPr>
      </w:pPr>
      <w:r w:rsidRPr="00560572">
        <w:rPr>
          <w:b/>
        </w:rPr>
        <w:t xml:space="preserve">Joint Meeting of the RID Committee of Experts and the </w:t>
      </w:r>
      <w:r w:rsidRPr="00560572">
        <w:rPr>
          <w:b/>
        </w:rPr>
        <w:br/>
        <w:t>Working Party on the Transport of Dangerous Goods</w:t>
      </w:r>
    </w:p>
    <w:p w:rsidR="00C91166" w:rsidRDefault="00097793" w:rsidP="00C91166">
      <w:pPr>
        <w:spacing w:after="0" w:line="240" w:lineRule="atLeast"/>
        <w:rPr>
          <w:b/>
        </w:rPr>
      </w:pPr>
      <w:r w:rsidRPr="00560572">
        <w:t>Geneva</w:t>
      </w:r>
      <w:r w:rsidR="00215A1B" w:rsidRPr="00560572">
        <w:t xml:space="preserve">, </w:t>
      </w:r>
      <w:r w:rsidR="00DC584A" w:rsidRPr="00560572">
        <w:t>1</w:t>
      </w:r>
      <w:r w:rsidR="007408A0">
        <w:t>7</w:t>
      </w:r>
      <w:r w:rsidR="00DC584A" w:rsidRPr="00560572">
        <w:t>–</w:t>
      </w:r>
      <w:r w:rsidR="00FA28CC">
        <w:t>2</w:t>
      </w:r>
      <w:r w:rsidR="007408A0">
        <w:t>7</w:t>
      </w:r>
      <w:r w:rsidRPr="00560572">
        <w:t xml:space="preserve"> </w:t>
      </w:r>
      <w:r w:rsidR="007D5759" w:rsidRPr="00560572">
        <w:t xml:space="preserve">September </w:t>
      </w:r>
      <w:r w:rsidR="00FA3269">
        <w:t>201</w:t>
      </w:r>
      <w:r w:rsidR="007408A0">
        <w:t>9</w:t>
      </w:r>
      <w:r w:rsidR="00215A1B" w:rsidRPr="00560572">
        <w:br/>
      </w:r>
      <w:r w:rsidR="00C91166">
        <w:t>Item 5</w:t>
      </w:r>
      <w:r w:rsidR="00815214">
        <w:t xml:space="preserve"> </w:t>
      </w:r>
      <w:r w:rsidR="00C91166">
        <w:t>(b) of the provisional agenda:</w:t>
      </w:r>
      <w:r w:rsidR="00C91166">
        <w:br/>
      </w:r>
      <w:r w:rsidR="00C91166">
        <w:rPr>
          <w:b/>
        </w:rPr>
        <w:t xml:space="preserve">Proposals for amendments to RID/ADR/ADN </w:t>
      </w:r>
    </w:p>
    <w:p w:rsidR="006643C6" w:rsidRPr="00AD79E9" w:rsidRDefault="00C91166" w:rsidP="00C91166">
      <w:pPr>
        <w:spacing w:after="0" w:line="240" w:lineRule="atLeast"/>
        <w:rPr>
          <w:b/>
          <w:bCs/>
        </w:rPr>
      </w:pPr>
      <w:r>
        <w:rPr>
          <w:b/>
        </w:rPr>
        <w:t>new proposals</w:t>
      </w:r>
    </w:p>
    <w:p w:rsidR="004755FA" w:rsidRPr="004755FA" w:rsidRDefault="00C91166" w:rsidP="00C91166">
      <w:pPr>
        <w:pStyle w:val="HChG"/>
        <w:rPr>
          <w:lang w:val="en-US"/>
        </w:rPr>
      </w:pPr>
      <w:r>
        <w:rPr>
          <w:lang w:val="en-US"/>
        </w:rPr>
        <w:tab/>
      </w:r>
      <w:r>
        <w:rPr>
          <w:lang w:val="en-US"/>
        </w:rPr>
        <w:tab/>
      </w:r>
      <w:r w:rsidR="004755FA" w:rsidRPr="004755FA">
        <w:rPr>
          <w:lang w:val="en-US"/>
        </w:rPr>
        <w:t xml:space="preserve">Proposal for the use of a new designed flexible IBC for the transport of refined cobalt </w:t>
      </w:r>
      <w:proofErr w:type="spellStart"/>
      <w:r w:rsidR="004755FA" w:rsidRPr="004755FA">
        <w:rPr>
          <w:lang w:val="en-US"/>
        </w:rPr>
        <w:t>dihydroxide</w:t>
      </w:r>
      <w:proofErr w:type="spellEnd"/>
      <w:r w:rsidR="004755FA" w:rsidRPr="004755FA">
        <w:rPr>
          <w:lang w:val="en-US"/>
        </w:rPr>
        <w:t xml:space="preserve"> meeting the PG I criteria for inhalation toxicity</w:t>
      </w:r>
    </w:p>
    <w:p w:rsidR="00870DFB" w:rsidRDefault="00870DFB" w:rsidP="00C91166">
      <w:pPr>
        <w:pStyle w:val="H1G"/>
        <w:rPr>
          <w:sz w:val="20"/>
        </w:rPr>
      </w:pPr>
      <w:r w:rsidRPr="00AB3E7D">
        <w:rPr>
          <w:lang w:val="fr-FR"/>
        </w:rPr>
        <w:tab/>
      </w:r>
      <w:r w:rsidRPr="00AB3E7D">
        <w:rPr>
          <w:lang w:val="fr-FR"/>
        </w:rPr>
        <w:tab/>
      </w:r>
      <w:r w:rsidRPr="003F5258">
        <w:t xml:space="preserve">Transmitted by the </w:t>
      </w:r>
      <w:r>
        <w:t xml:space="preserve">Government of </w:t>
      </w:r>
      <w:r w:rsidR="004755FA">
        <w:t>Belgium</w:t>
      </w:r>
    </w:p>
    <w:p w:rsidR="004755FA" w:rsidRPr="00EF54E5" w:rsidRDefault="00C91166" w:rsidP="00C91166">
      <w:pPr>
        <w:pStyle w:val="HChG"/>
        <w:rPr>
          <w:lang w:val="en-US"/>
        </w:rPr>
      </w:pPr>
      <w:r>
        <w:rPr>
          <w:lang w:val="en-US"/>
        </w:rPr>
        <w:tab/>
      </w:r>
      <w:r>
        <w:rPr>
          <w:lang w:val="en-US"/>
        </w:rPr>
        <w:tab/>
      </w:r>
      <w:r w:rsidR="004755FA" w:rsidRPr="00EF54E5">
        <w:rPr>
          <w:lang w:val="en-US"/>
        </w:rPr>
        <w:t>Introduction</w:t>
      </w:r>
    </w:p>
    <w:p w:rsidR="004755FA" w:rsidRDefault="009D219B" w:rsidP="00C91166">
      <w:pPr>
        <w:pStyle w:val="SingleTxtG"/>
        <w:rPr>
          <w:lang w:val="en-US"/>
        </w:rPr>
      </w:pPr>
      <w:r>
        <w:rPr>
          <w:lang w:val="en-US"/>
        </w:rPr>
        <w:t>1.</w:t>
      </w:r>
      <w:r>
        <w:rPr>
          <w:lang w:val="en-US"/>
        </w:rPr>
        <w:tab/>
      </w:r>
      <w:r w:rsidR="004755FA" w:rsidRPr="001F7CDE">
        <w:rPr>
          <w:lang w:val="en-US"/>
        </w:rPr>
        <w:t>Cobalt</w:t>
      </w:r>
      <w:r w:rsidR="004755FA">
        <w:rPr>
          <w:lang w:val="en-US"/>
        </w:rPr>
        <w:t xml:space="preserve"> </w:t>
      </w:r>
      <w:proofErr w:type="spellStart"/>
      <w:r w:rsidR="004755FA" w:rsidRPr="001F7CDE">
        <w:rPr>
          <w:lang w:val="en-US"/>
        </w:rPr>
        <w:t>dihydroxide</w:t>
      </w:r>
      <w:proofErr w:type="spellEnd"/>
      <w:r w:rsidR="004755FA" w:rsidRPr="001F7CDE">
        <w:rPr>
          <w:lang w:val="en-US"/>
        </w:rPr>
        <w:t xml:space="preserve"> (</w:t>
      </w:r>
      <w:proofErr w:type="gramStart"/>
      <w:r w:rsidR="004755FA" w:rsidRPr="001F7CDE">
        <w:rPr>
          <w:lang w:val="en-US"/>
        </w:rPr>
        <w:t>Co(</w:t>
      </w:r>
      <w:proofErr w:type="gramEnd"/>
      <w:r w:rsidR="004755FA" w:rsidRPr="001F7CDE">
        <w:rPr>
          <w:lang w:val="en-US"/>
        </w:rPr>
        <w:t>OH)</w:t>
      </w:r>
      <w:r w:rsidR="004755FA" w:rsidRPr="00EF54E5">
        <w:rPr>
          <w:vertAlign w:val="subscript"/>
          <w:lang w:val="en-US"/>
        </w:rPr>
        <w:t>2</w:t>
      </w:r>
      <w:r w:rsidR="004755FA" w:rsidRPr="001F7CDE">
        <w:rPr>
          <w:lang w:val="en-US"/>
        </w:rPr>
        <w:t xml:space="preserve">) is a key substance used throughout the world in a wide variety of applications including for example the production of batteries, the chemical plating of metals or as an additive in paint or fertilizer. This solid substance is currently being traded on the market in various forms or formulations that, depending on the level of refinement, may possess different chemical or physical properties such as purity, humidity, particle size distribution, </w:t>
      </w:r>
      <w:proofErr w:type="gramStart"/>
      <w:r w:rsidR="004755FA" w:rsidRPr="001F7CDE">
        <w:rPr>
          <w:lang w:val="en-US"/>
        </w:rPr>
        <w:t>etc..</w:t>
      </w:r>
      <w:proofErr w:type="gramEnd"/>
      <w:r w:rsidR="004755FA" w:rsidRPr="001F7CDE">
        <w:rPr>
          <w:lang w:val="en-US"/>
        </w:rPr>
        <w:t xml:space="preserve"> </w:t>
      </w:r>
    </w:p>
    <w:p w:rsidR="004755FA" w:rsidRPr="00CA5801" w:rsidRDefault="009D219B" w:rsidP="00C91166">
      <w:pPr>
        <w:pStyle w:val="SingleTxtG"/>
        <w:rPr>
          <w:lang w:val="en-US"/>
        </w:rPr>
      </w:pPr>
      <w:r>
        <w:rPr>
          <w:lang w:val="en-US"/>
        </w:rPr>
        <w:t>2.</w:t>
      </w:r>
      <w:r>
        <w:rPr>
          <w:lang w:val="en-US"/>
        </w:rPr>
        <w:tab/>
      </w:r>
      <w:r w:rsidR="004755FA" w:rsidRPr="00CA5801">
        <w:rPr>
          <w:lang w:val="en-US"/>
        </w:rPr>
        <w:t xml:space="preserve">For the purposes of this document, “refined cobalt </w:t>
      </w:r>
      <w:proofErr w:type="spellStart"/>
      <w:r w:rsidR="004755FA" w:rsidRPr="00CA5801">
        <w:rPr>
          <w:lang w:val="en-US"/>
        </w:rPr>
        <w:t>dihydroxide</w:t>
      </w:r>
      <w:proofErr w:type="spellEnd"/>
      <w:r w:rsidR="004755FA" w:rsidRPr="00CA5801">
        <w:rPr>
          <w:lang w:val="en-US"/>
        </w:rPr>
        <w:t xml:space="preserve">” </w:t>
      </w:r>
      <w:proofErr w:type="gramStart"/>
      <w:r w:rsidR="004755FA" w:rsidRPr="00CA5801">
        <w:rPr>
          <w:lang w:val="en-US"/>
        </w:rPr>
        <w:t>is considered to be</w:t>
      </w:r>
      <w:proofErr w:type="gramEnd"/>
      <w:r w:rsidR="004755FA" w:rsidRPr="00CA5801">
        <w:rPr>
          <w:lang w:val="en-US"/>
        </w:rPr>
        <w:t xml:space="preserve"> the generally pure and refined substance with a low moisture content and fine powder form with at least 10% of its total mass likely to be dust in the respirable range, such as the aerodynamic diameter of that particle fraction is 10 microns or less.</w:t>
      </w:r>
    </w:p>
    <w:p w:rsidR="004755FA" w:rsidRDefault="009D219B" w:rsidP="00C91166">
      <w:pPr>
        <w:pStyle w:val="SingleTxtG"/>
        <w:rPr>
          <w:lang w:val="en-US"/>
        </w:rPr>
      </w:pPr>
      <w:r>
        <w:rPr>
          <w:lang w:val="en-US"/>
        </w:rPr>
        <w:t>3.</w:t>
      </w:r>
      <w:r>
        <w:rPr>
          <w:lang w:val="en-US"/>
        </w:rPr>
        <w:tab/>
      </w:r>
      <w:r w:rsidR="004755FA">
        <w:rPr>
          <w:lang w:val="en-US"/>
        </w:rPr>
        <w:t xml:space="preserve">It should be noted however, that </w:t>
      </w:r>
      <w:r w:rsidR="004755FA" w:rsidRPr="006625DA">
        <w:rPr>
          <w:lang w:val="en-US"/>
        </w:rPr>
        <w:t xml:space="preserve">other forms of cobalt </w:t>
      </w:r>
      <w:proofErr w:type="spellStart"/>
      <w:r w:rsidR="004755FA" w:rsidRPr="006625DA">
        <w:rPr>
          <w:lang w:val="en-US"/>
        </w:rPr>
        <w:t>dihydroxide</w:t>
      </w:r>
      <w:proofErr w:type="spellEnd"/>
      <w:r w:rsidR="004755FA" w:rsidRPr="006625DA">
        <w:rPr>
          <w:lang w:val="en-US"/>
        </w:rPr>
        <w:t xml:space="preserve"> are available </w:t>
      </w:r>
      <w:r w:rsidR="004755FA">
        <w:rPr>
          <w:lang w:val="en-US"/>
        </w:rPr>
        <w:t xml:space="preserve">on the market that, although referred to as a ‘refined’ material, do not fulfill the particle size requirements as specified in the paragraph above. </w:t>
      </w:r>
    </w:p>
    <w:p w:rsidR="004755FA" w:rsidRPr="009E4930" w:rsidRDefault="009D219B" w:rsidP="00C91166">
      <w:pPr>
        <w:pStyle w:val="SingleTxtG"/>
        <w:rPr>
          <w:lang w:val="en-US"/>
        </w:rPr>
      </w:pPr>
      <w:r>
        <w:rPr>
          <w:lang w:val="en-US"/>
        </w:rPr>
        <w:t>4.</w:t>
      </w:r>
      <w:r>
        <w:rPr>
          <w:lang w:val="en-US"/>
        </w:rPr>
        <w:tab/>
      </w:r>
      <w:r w:rsidR="004755FA">
        <w:rPr>
          <w:lang w:val="en-US"/>
        </w:rPr>
        <w:t xml:space="preserve">For the purpose of this paper </w:t>
      </w:r>
      <w:r w:rsidR="004755FA" w:rsidRPr="00B80080">
        <w:rPr>
          <w:lang w:val="en-US"/>
        </w:rPr>
        <w:t>“Non-refined cobalt</w:t>
      </w:r>
      <w:r w:rsidR="004755FA">
        <w:rPr>
          <w:lang w:val="en-US"/>
        </w:rPr>
        <w:t xml:space="preserve"> </w:t>
      </w:r>
      <w:proofErr w:type="spellStart"/>
      <w:r w:rsidR="004755FA" w:rsidRPr="00B80080">
        <w:rPr>
          <w:lang w:val="en-US"/>
        </w:rPr>
        <w:t>dihydroxide</w:t>
      </w:r>
      <w:proofErr w:type="spellEnd"/>
      <w:r w:rsidR="004755FA" w:rsidRPr="00B80080">
        <w:rPr>
          <w:lang w:val="en-US"/>
        </w:rPr>
        <w:t>” is</w:t>
      </w:r>
      <w:r w:rsidR="004755FA">
        <w:rPr>
          <w:lang w:val="en-US"/>
        </w:rPr>
        <w:t xml:space="preserve"> therefore</w:t>
      </w:r>
      <w:r w:rsidR="004755FA" w:rsidRPr="00B80080">
        <w:rPr>
          <w:lang w:val="en-US"/>
        </w:rPr>
        <w:t xml:space="preserve"> considered to be </w:t>
      </w:r>
      <w:r w:rsidR="004755FA" w:rsidRPr="009E4930">
        <w:rPr>
          <w:lang w:val="en-US"/>
        </w:rPr>
        <w:t xml:space="preserve">cobalt </w:t>
      </w:r>
      <w:proofErr w:type="spellStart"/>
      <w:r w:rsidR="004755FA" w:rsidRPr="009E4930">
        <w:rPr>
          <w:lang w:val="en-US"/>
        </w:rPr>
        <w:t>dihydroxide</w:t>
      </w:r>
      <w:proofErr w:type="spellEnd"/>
      <w:r w:rsidR="004755FA" w:rsidRPr="009E4930">
        <w:rPr>
          <w:lang w:val="en-US"/>
        </w:rPr>
        <w:t xml:space="preserve"> with a such a level of refinement, or no level of refinement i.e</w:t>
      </w:r>
      <w:r w:rsidR="004755FA">
        <w:rPr>
          <w:lang w:val="en-US"/>
        </w:rPr>
        <w:t>.</w:t>
      </w:r>
      <w:r w:rsidR="004755FA" w:rsidRPr="009E4930">
        <w:rPr>
          <w:lang w:val="en-US"/>
        </w:rPr>
        <w:t xml:space="preserve"> the crude material, that it does not fulfill the particle size requirement</w:t>
      </w:r>
      <w:r w:rsidR="004755FA">
        <w:rPr>
          <w:lang w:val="en-US"/>
        </w:rPr>
        <w:t xml:space="preserve"> for respirable powder</w:t>
      </w:r>
      <w:r w:rsidR="004755FA" w:rsidRPr="009E4930">
        <w:rPr>
          <w:lang w:val="en-US"/>
        </w:rPr>
        <w:t xml:space="preserve"> as specified in paragraph 2</w:t>
      </w:r>
      <w:r w:rsidR="004755FA" w:rsidRPr="006625DA">
        <w:rPr>
          <w:lang w:val="en-US"/>
        </w:rPr>
        <w:t xml:space="preserve">, </w:t>
      </w:r>
      <w:r w:rsidR="004755FA" w:rsidRPr="009E4930">
        <w:rPr>
          <w:lang w:val="en-US"/>
        </w:rPr>
        <w:t xml:space="preserve">and therefore falls outside of the scope of this document. </w:t>
      </w:r>
    </w:p>
    <w:p w:rsidR="004755FA" w:rsidRPr="00B13105" w:rsidRDefault="009D219B" w:rsidP="00C91166">
      <w:pPr>
        <w:pStyle w:val="SingleTxtG"/>
        <w:rPr>
          <w:lang w:val="en-US"/>
        </w:rPr>
      </w:pPr>
      <w:r>
        <w:rPr>
          <w:lang w:val="en-US"/>
        </w:rPr>
        <w:t>5.</w:t>
      </w:r>
      <w:r>
        <w:rPr>
          <w:lang w:val="en-US"/>
        </w:rPr>
        <w:tab/>
      </w:r>
      <w:r w:rsidR="004755FA" w:rsidRPr="00B13105">
        <w:rPr>
          <w:lang w:val="en-US"/>
        </w:rPr>
        <w:t xml:space="preserve">In the case of </w:t>
      </w:r>
      <w:r w:rsidR="004755FA">
        <w:rPr>
          <w:lang w:val="en-US"/>
        </w:rPr>
        <w:t>“</w:t>
      </w:r>
      <w:r w:rsidR="004755FA" w:rsidRPr="00B13105">
        <w:rPr>
          <w:lang w:val="en-US"/>
        </w:rPr>
        <w:t>refined cobalt</w:t>
      </w:r>
      <w:r w:rsidR="004755FA">
        <w:rPr>
          <w:lang w:val="en-US"/>
        </w:rPr>
        <w:t xml:space="preserve"> </w:t>
      </w:r>
      <w:proofErr w:type="spellStart"/>
      <w:r w:rsidR="004755FA" w:rsidRPr="00B13105">
        <w:rPr>
          <w:lang w:val="en-US"/>
        </w:rPr>
        <w:t>dihydroxide</w:t>
      </w:r>
      <w:proofErr w:type="spellEnd"/>
      <w:r w:rsidR="004755FA">
        <w:rPr>
          <w:lang w:val="en-US"/>
        </w:rPr>
        <w:t>”</w:t>
      </w:r>
      <w:r w:rsidR="004755FA" w:rsidRPr="00B13105">
        <w:rPr>
          <w:lang w:val="en-US"/>
        </w:rPr>
        <w:t xml:space="preserve"> as defined above</w:t>
      </w:r>
      <w:r w:rsidR="004755FA">
        <w:rPr>
          <w:color w:val="0070C0"/>
          <w:lang w:val="en-US"/>
        </w:rPr>
        <w:t xml:space="preserve"> </w:t>
      </w:r>
      <w:r w:rsidR="004755FA" w:rsidRPr="001F4BB5">
        <w:rPr>
          <w:lang w:val="en-US"/>
        </w:rPr>
        <w:t>in paragraph 2</w:t>
      </w:r>
      <w:r w:rsidR="004755FA" w:rsidRPr="00B13105">
        <w:rPr>
          <w:lang w:val="en-US"/>
        </w:rPr>
        <w:t>, testing for</w:t>
      </w:r>
      <w:r w:rsidR="004755FA">
        <w:rPr>
          <w:lang w:val="en-US"/>
        </w:rPr>
        <w:t xml:space="preserve"> </w:t>
      </w:r>
      <w:r w:rsidR="004755FA" w:rsidRPr="006625DA">
        <w:rPr>
          <w:lang w:val="en-US"/>
        </w:rPr>
        <w:t>inhalation</w:t>
      </w:r>
      <w:r w:rsidR="004755FA" w:rsidRPr="00B13105">
        <w:rPr>
          <w:lang w:val="en-US"/>
        </w:rPr>
        <w:t xml:space="preserve"> toxicity is required according to </w:t>
      </w:r>
      <w:r w:rsidR="004755FA">
        <w:rPr>
          <w:lang w:val="en-US"/>
        </w:rPr>
        <w:t>provisions in the definition of LC</w:t>
      </w:r>
      <w:r w:rsidR="004755FA" w:rsidRPr="00152F96">
        <w:rPr>
          <w:vertAlign w:val="subscript"/>
          <w:lang w:val="en-US"/>
        </w:rPr>
        <w:t>50</w:t>
      </w:r>
      <w:r w:rsidR="004755FA">
        <w:rPr>
          <w:lang w:val="en-US"/>
        </w:rPr>
        <w:t xml:space="preserve"> for acute toxicity </w:t>
      </w:r>
      <w:r w:rsidR="004755FA" w:rsidRPr="006625DA">
        <w:rPr>
          <w:lang w:val="en-US"/>
        </w:rPr>
        <w:t xml:space="preserve">by </w:t>
      </w:r>
      <w:r w:rsidR="004755FA">
        <w:rPr>
          <w:lang w:val="en-US"/>
        </w:rPr>
        <w:t>inhalation in p</w:t>
      </w:r>
      <w:r w:rsidR="004755FA" w:rsidRPr="00B13105">
        <w:rPr>
          <w:lang w:val="en-US"/>
        </w:rPr>
        <w:t>aragraph 2.2.61.</w:t>
      </w:r>
      <w:r w:rsidR="004755FA">
        <w:rPr>
          <w:lang w:val="en-US"/>
        </w:rPr>
        <w:t>1.</w:t>
      </w:r>
      <w:r w:rsidR="004755FA" w:rsidRPr="00B13105">
        <w:rPr>
          <w:lang w:val="en-US"/>
        </w:rPr>
        <w:t>3 of th</w:t>
      </w:r>
      <w:r w:rsidR="004755FA">
        <w:rPr>
          <w:lang w:val="en-US"/>
        </w:rPr>
        <w:t xml:space="preserve">e </w:t>
      </w:r>
      <w:r w:rsidR="004755FA" w:rsidRPr="00B13105">
        <w:rPr>
          <w:lang w:val="en-US"/>
        </w:rPr>
        <w:t>ADR</w:t>
      </w:r>
      <w:r w:rsidR="004755FA">
        <w:rPr>
          <w:lang w:val="en-US"/>
        </w:rPr>
        <w:t>.</w:t>
      </w:r>
    </w:p>
    <w:p w:rsidR="004755FA" w:rsidRDefault="00EA166C" w:rsidP="00EA166C">
      <w:pPr>
        <w:pStyle w:val="HChG"/>
        <w:rPr>
          <w:lang w:val="en-US"/>
        </w:rPr>
      </w:pPr>
      <w:r>
        <w:rPr>
          <w:lang w:val="en-US"/>
        </w:rPr>
        <w:tab/>
      </w:r>
      <w:r>
        <w:rPr>
          <w:lang w:val="en-US"/>
        </w:rPr>
        <w:tab/>
      </w:r>
      <w:r w:rsidR="004755FA" w:rsidRPr="00EF54E5">
        <w:rPr>
          <w:lang w:val="en-US"/>
        </w:rPr>
        <w:t>Background</w:t>
      </w:r>
    </w:p>
    <w:p w:rsidR="004755FA" w:rsidRDefault="009D219B" w:rsidP="009D219B">
      <w:pPr>
        <w:pStyle w:val="SingleTxtG"/>
        <w:rPr>
          <w:lang w:val="en-US"/>
        </w:rPr>
      </w:pPr>
      <w:r>
        <w:rPr>
          <w:lang w:val="en-US"/>
        </w:rPr>
        <w:t>6.</w:t>
      </w:r>
      <w:r>
        <w:rPr>
          <w:lang w:val="en-US"/>
        </w:rPr>
        <w:tab/>
      </w:r>
      <w:r w:rsidR="004755FA" w:rsidRPr="00B13105">
        <w:rPr>
          <w:lang w:val="en-US"/>
        </w:rPr>
        <w:t>Cobalt</w:t>
      </w:r>
      <w:r w:rsidR="004755FA">
        <w:rPr>
          <w:lang w:val="en-US"/>
        </w:rPr>
        <w:t xml:space="preserve"> </w:t>
      </w:r>
      <w:proofErr w:type="spellStart"/>
      <w:r w:rsidR="004755FA" w:rsidRPr="00B13105">
        <w:rPr>
          <w:lang w:val="en-US"/>
        </w:rPr>
        <w:t>dihydroxide</w:t>
      </w:r>
      <w:proofErr w:type="spellEnd"/>
      <w:r w:rsidR="004755FA" w:rsidRPr="00B13105">
        <w:rPr>
          <w:lang w:val="en-US"/>
        </w:rPr>
        <w:t>, both refined and non-refined, has been transported and shipped around the world for multiple years</w:t>
      </w:r>
      <w:r w:rsidR="004755FA">
        <w:rPr>
          <w:lang w:val="en-US"/>
        </w:rPr>
        <w:t>. C</w:t>
      </w:r>
      <w:r w:rsidR="004755FA" w:rsidRPr="006625DA">
        <w:rPr>
          <w:lang w:val="en-US"/>
        </w:rPr>
        <w:t xml:space="preserve">obalt </w:t>
      </w:r>
      <w:proofErr w:type="spellStart"/>
      <w:r w:rsidR="004755FA" w:rsidRPr="006625DA">
        <w:rPr>
          <w:lang w:val="en-US"/>
        </w:rPr>
        <w:t>dihydroxide</w:t>
      </w:r>
      <w:proofErr w:type="spellEnd"/>
      <w:r w:rsidR="004755FA" w:rsidRPr="006625DA">
        <w:rPr>
          <w:lang w:val="en-US"/>
        </w:rPr>
        <w:t xml:space="preserve"> was shipped initially as non-dangerous, then later</w:t>
      </w:r>
      <w:r w:rsidR="004755FA">
        <w:rPr>
          <w:lang w:val="en-US"/>
        </w:rPr>
        <w:t xml:space="preserve"> (in 2005)</w:t>
      </w:r>
      <w:r w:rsidR="004755FA" w:rsidRPr="006625DA">
        <w:rPr>
          <w:lang w:val="en-US"/>
        </w:rPr>
        <w:t xml:space="preserve"> when the UN 3077</w:t>
      </w:r>
      <w:r w:rsidR="004755FA">
        <w:rPr>
          <w:lang w:val="en-US"/>
        </w:rPr>
        <w:t xml:space="preserve"> </w:t>
      </w:r>
      <w:r w:rsidR="004755FA" w:rsidRPr="006625DA">
        <w:rPr>
          <w:lang w:val="en-US"/>
        </w:rPr>
        <w:t xml:space="preserve">entry was introduced to the Dangerous Goods list, it was shipped </w:t>
      </w:r>
      <w:r w:rsidR="004755FA" w:rsidRPr="00B13105">
        <w:rPr>
          <w:lang w:val="en-US"/>
        </w:rPr>
        <w:t>as a class 9 substance under the entry of UN3077, Environmentally hazardous solid, N.O.S. (cobalt</w:t>
      </w:r>
      <w:r w:rsidR="004755FA">
        <w:rPr>
          <w:lang w:val="en-US"/>
        </w:rPr>
        <w:t xml:space="preserve"> </w:t>
      </w:r>
      <w:proofErr w:type="spellStart"/>
      <w:r w:rsidR="004755FA" w:rsidRPr="00B13105">
        <w:rPr>
          <w:lang w:val="en-US"/>
        </w:rPr>
        <w:t>dihydroxide</w:t>
      </w:r>
      <w:proofErr w:type="spellEnd"/>
      <w:r w:rsidR="004755FA" w:rsidRPr="00B13105">
        <w:rPr>
          <w:lang w:val="en-US"/>
        </w:rPr>
        <w:t>) in flexible IBCs (</w:t>
      </w:r>
      <w:proofErr w:type="spellStart"/>
      <w:r w:rsidR="004755FA" w:rsidRPr="00B13105">
        <w:rPr>
          <w:lang w:val="en-US"/>
        </w:rPr>
        <w:t>fIBCs</w:t>
      </w:r>
      <w:proofErr w:type="spellEnd"/>
      <w:r w:rsidR="004755FA" w:rsidRPr="00B13105">
        <w:rPr>
          <w:lang w:val="en-US"/>
        </w:rPr>
        <w:t>) of PG III. Reference for further information is made to document UN/SCETDG/55/INF.24.</w:t>
      </w:r>
    </w:p>
    <w:p w:rsidR="004755FA" w:rsidRDefault="009D219B" w:rsidP="009D219B">
      <w:pPr>
        <w:pStyle w:val="SingleTxtG"/>
        <w:rPr>
          <w:lang w:val="en-US"/>
        </w:rPr>
      </w:pPr>
      <w:r>
        <w:rPr>
          <w:lang w:val="en-US"/>
        </w:rPr>
        <w:t>7.</w:t>
      </w:r>
      <w:r>
        <w:rPr>
          <w:lang w:val="en-US"/>
        </w:rPr>
        <w:tab/>
      </w:r>
      <w:r w:rsidR="004755FA" w:rsidRPr="00276F57">
        <w:rPr>
          <w:lang w:val="en-US"/>
        </w:rPr>
        <w:t xml:space="preserve">As such, a vast and </w:t>
      </w:r>
      <w:r w:rsidR="004755FA">
        <w:rPr>
          <w:lang w:val="en-US"/>
        </w:rPr>
        <w:t>solid</w:t>
      </w:r>
      <w:r w:rsidR="004755FA" w:rsidRPr="00276F57">
        <w:rPr>
          <w:lang w:val="en-US"/>
        </w:rPr>
        <w:t xml:space="preserve"> experience, in both the handling and the multimodal transport of this substance in </w:t>
      </w:r>
      <w:proofErr w:type="spellStart"/>
      <w:r w:rsidR="004755FA" w:rsidRPr="00276F57">
        <w:rPr>
          <w:lang w:val="en-US"/>
        </w:rPr>
        <w:t>fIBC</w:t>
      </w:r>
      <w:r w:rsidR="004755FA">
        <w:rPr>
          <w:lang w:val="en-US"/>
        </w:rPr>
        <w:t>s</w:t>
      </w:r>
      <w:proofErr w:type="spellEnd"/>
      <w:r w:rsidR="004755FA" w:rsidRPr="00276F57">
        <w:rPr>
          <w:lang w:val="en-US"/>
        </w:rPr>
        <w:t xml:space="preserve">, was built up by industry. Technical development and process automation throughout the years has led to the customization of industry’s infrastructure in order to reduce exposure and minimalize any human interventions during </w:t>
      </w:r>
      <w:r w:rsidR="004755FA">
        <w:rPr>
          <w:lang w:val="en-US"/>
        </w:rPr>
        <w:t>processing.</w:t>
      </w:r>
      <w:r w:rsidR="004755FA" w:rsidRPr="00276F57">
        <w:rPr>
          <w:lang w:val="en-US"/>
        </w:rPr>
        <w:t xml:space="preserve"> This is </w:t>
      </w:r>
      <w:r w:rsidR="004755FA" w:rsidRPr="00276F57">
        <w:rPr>
          <w:lang w:val="en-US"/>
        </w:rPr>
        <w:lastRenderedPageBreak/>
        <w:t>achieved through automated handling</w:t>
      </w:r>
      <w:r w:rsidR="004755FA">
        <w:rPr>
          <w:lang w:val="en-US"/>
        </w:rPr>
        <w:t xml:space="preserve"> of the substance</w:t>
      </w:r>
      <w:r w:rsidR="004755FA" w:rsidRPr="00276F57">
        <w:rPr>
          <w:lang w:val="en-US"/>
        </w:rPr>
        <w:t xml:space="preserve"> during both filling and emptying operations.</w:t>
      </w:r>
      <w:r w:rsidR="004755FA">
        <w:rPr>
          <w:lang w:val="en-US"/>
        </w:rPr>
        <w:t xml:space="preserve"> </w:t>
      </w:r>
      <w:r w:rsidR="004755FA" w:rsidRPr="00276F57">
        <w:rPr>
          <w:lang w:val="en-US"/>
        </w:rPr>
        <w:t xml:space="preserve">Dust extraction is added as a precaution, should there be any unexpected mechanical failure. </w:t>
      </w:r>
      <w:r w:rsidR="004755FA">
        <w:rPr>
          <w:lang w:val="en-US"/>
        </w:rPr>
        <w:t>By this means, the</w:t>
      </w:r>
      <w:r w:rsidR="004755FA" w:rsidRPr="00276F57">
        <w:rPr>
          <w:lang w:val="en-US"/>
        </w:rPr>
        <w:t xml:space="preserve"> risk </w:t>
      </w:r>
      <w:r w:rsidR="004755FA">
        <w:rPr>
          <w:lang w:val="en-US"/>
        </w:rPr>
        <w:t>of</w:t>
      </w:r>
      <w:r w:rsidR="004755FA" w:rsidRPr="00276F57">
        <w:rPr>
          <w:lang w:val="en-US"/>
        </w:rPr>
        <w:t xml:space="preserve"> exposure to any personnel involved has been reduced to an absolute minimum. </w:t>
      </w:r>
      <w:r w:rsidR="004755FA">
        <w:rPr>
          <w:lang w:val="en-US"/>
        </w:rPr>
        <w:t xml:space="preserve">Additional information related to the automated handling and the dust extraction mechanism are provided in annex 1. </w:t>
      </w:r>
    </w:p>
    <w:p w:rsidR="004755FA" w:rsidRPr="00276F57" w:rsidRDefault="009D219B" w:rsidP="009D219B">
      <w:pPr>
        <w:pStyle w:val="SingleTxtG"/>
        <w:rPr>
          <w:lang w:val="en-US"/>
        </w:rPr>
      </w:pPr>
      <w:r>
        <w:rPr>
          <w:lang w:val="en-US"/>
        </w:rPr>
        <w:t>8.</w:t>
      </w:r>
      <w:r>
        <w:rPr>
          <w:lang w:val="en-US"/>
        </w:rPr>
        <w:tab/>
      </w:r>
      <w:r w:rsidR="004755FA" w:rsidRPr="00276F57">
        <w:rPr>
          <w:lang w:val="en-US"/>
        </w:rPr>
        <w:t xml:space="preserve">Until present, no health issues related to </w:t>
      </w:r>
      <w:r w:rsidR="004755FA" w:rsidRPr="00512380">
        <w:rPr>
          <w:lang w:val="en-US"/>
        </w:rPr>
        <w:t xml:space="preserve">transport or operational </w:t>
      </w:r>
      <w:r w:rsidR="004755FA" w:rsidRPr="00276F57">
        <w:rPr>
          <w:lang w:val="en-US"/>
        </w:rPr>
        <w:t xml:space="preserve">incidents </w:t>
      </w:r>
      <w:r w:rsidR="004755FA" w:rsidRPr="000A6079">
        <w:rPr>
          <w:lang w:val="en-US"/>
        </w:rPr>
        <w:t>have been reported</w:t>
      </w:r>
      <w:r w:rsidR="004755FA" w:rsidRPr="00276F57">
        <w:rPr>
          <w:lang w:val="en-US"/>
        </w:rPr>
        <w:t xml:space="preserve"> </w:t>
      </w:r>
      <w:r w:rsidR="004755FA" w:rsidRPr="000A6079">
        <w:rPr>
          <w:lang w:val="en-US"/>
        </w:rPr>
        <w:t>during</w:t>
      </w:r>
      <w:r w:rsidR="004755FA">
        <w:rPr>
          <w:lang w:val="en-US"/>
        </w:rPr>
        <w:t xml:space="preserve"> </w:t>
      </w:r>
      <w:r w:rsidR="004755FA" w:rsidRPr="00276F57">
        <w:rPr>
          <w:lang w:val="en-US"/>
        </w:rPr>
        <w:t xml:space="preserve">the widespread use of these </w:t>
      </w:r>
      <w:proofErr w:type="spellStart"/>
      <w:r w:rsidR="004755FA" w:rsidRPr="00276F57">
        <w:rPr>
          <w:lang w:val="en-US"/>
        </w:rPr>
        <w:t>fIBCs</w:t>
      </w:r>
      <w:proofErr w:type="spellEnd"/>
      <w:r w:rsidR="004755FA" w:rsidRPr="00276F57">
        <w:rPr>
          <w:lang w:val="en-US"/>
        </w:rPr>
        <w:t>. Reference for further information is made to document UN/SCETDG/55/INF.24.</w:t>
      </w:r>
    </w:p>
    <w:p w:rsidR="004755FA" w:rsidRDefault="009D219B" w:rsidP="009D219B">
      <w:pPr>
        <w:pStyle w:val="SingleTxtG"/>
        <w:rPr>
          <w:lang w:val="en-US"/>
        </w:rPr>
      </w:pPr>
      <w:r>
        <w:rPr>
          <w:lang w:val="en-US"/>
        </w:rPr>
        <w:t>9.</w:t>
      </w:r>
      <w:r>
        <w:rPr>
          <w:lang w:val="en-US"/>
        </w:rPr>
        <w:tab/>
      </w:r>
      <w:r w:rsidR="004755FA" w:rsidRPr="00B13105">
        <w:rPr>
          <w:lang w:val="en-US"/>
        </w:rPr>
        <w:t>However, in vivo tests</w:t>
      </w:r>
      <w:r w:rsidR="004755FA">
        <w:rPr>
          <w:lang w:val="en-US"/>
        </w:rPr>
        <w:t xml:space="preserve"> </w:t>
      </w:r>
      <w:r w:rsidR="004755FA" w:rsidRPr="005F14C2">
        <w:rPr>
          <w:lang w:val="en-US"/>
        </w:rPr>
        <w:t>on rats</w:t>
      </w:r>
      <w:r w:rsidR="004755FA" w:rsidRPr="00B13105">
        <w:rPr>
          <w:lang w:val="en-US"/>
        </w:rPr>
        <w:t xml:space="preserve"> following OECD guideline 436 by using a single four-hour exposure at different concentrations of cobalt</w:t>
      </w:r>
      <w:r w:rsidR="004755FA">
        <w:rPr>
          <w:lang w:val="en-US"/>
        </w:rPr>
        <w:t xml:space="preserve"> </w:t>
      </w:r>
      <w:proofErr w:type="spellStart"/>
      <w:r w:rsidR="004755FA" w:rsidRPr="00B13105">
        <w:rPr>
          <w:lang w:val="en-US"/>
        </w:rPr>
        <w:t>dihydroxide</w:t>
      </w:r>
      <w:proofErr w:type="spellEnd"/>
      <w:r w:rsidR="004755FA" w:rsidRPr="00B13105">
        <w:rPr>
          <w:lang w:val="en-US"/>
        </w:rPr>
        <w:t xml:space="preserve"> highlighted the hazard of toxicity by inhalation for refined cobalt</w:t>
      </w:r>
      <w:r w:rsidR="004755FA">
        <w:rPr>
          <w:lang w:val="en-US"/>
        </w:rPr>
        <w:t xml:space="preserve"> </w:t>
      </w:r>
      <w:proofErr w:type="spellStart"/>
      <w:r w:rsidR="004755FA" w:rsidRPr="00B13105">
        <w:rPr>
          <w:lang w:val="en-US"/>
        </w:rPr>
        <w:t>dihydroxide</w:t>
      </w:r>
      <w:proofErr w:type="spellEnd"/>
      <w:r w:rsidR="004755FA" w:rsidRPr="00B13105">
        <w:rPr>
          <w:lang w:val="en-US"/>
        </w:rPr>
        <w:t>. These tests were performed by industry in cooperation with the Cobalt institute in the context of the REACH Regulation. Reference is made to document UN/SCETDG/55/INF.24.</w:t>
      </w:r>
    </w:p>
    <w:p w:rsidR="004755FA" w:rsidRDefault="009D219B" w:rsidP="009D219B">
      <w:pPr>
        <w:pStyle w:val="SingleTxtG"/>
        <w:rPr>
          <w:lang w:val="en-US"/>
        </w:rPr>
      </w:pPr>
      <w:r>
        <w:rPr>
          <w:lang w:val="en-US"/>
        </w:rPr>
        <w:t>10.</w:t>
      </w:r>
      <w:r>
        <w:rPr>
          <w:lang w:val="en-US"/>
        </w:rPr>
        <w:tab/>
      </w:r>
      <w:r w:rsidR="004755FA" w:rsidRPr="00B13105">
        <w:rPr>
          <w:lang w:val="en-US"/>
        </w:rPr>
        <w:t xml:space="preserve">In compliance with the testing method prescribed in 2.2.61.1.3 of the ADR, additional in vivo tests were performed following OECD guideline 436 by means of a single </w:t>
      </w:r>
      <w:r w:rsidR="004755FA">
        <w:rPr>
          <w:lang w:val="en-US"/>
        </w:rPr>
        <w:t>one</w:t>
      </w:r>
      <w:r w:rsidR="004755FA" w:rsidRPr="00B13105">
        <w:rPr>
          <w:lang w:val="en-US"/>
        </w:rPr>
        <w:t>-hour inhalation exposure to cobalt</w:t>
      </w:r>
      <w:r w:rsidR="004755FA">
        <w:rPr>
          <w:lang w:val="en-US"/>
        </w:rPr>
        <w:t xml:space="preserve"> </w:t>
      </w:r>
      <w:proofErr w:type="spellStart"/>
      <w:r w:rsidR="004755FA" w:rsidRPr="00B13105">
        <w:rPr>
          <w:lang w:val="en-US"/>
        </w:rPr>
        <w:t>dihydroxide</w:t>
      </w:r>
      <w:proofErr w:type="spellEnd"/>
      <w:r w:rsidR="004755FA" w:rsidRPr="00B13105">
        <w:rPr>
          <w:lang w:val="en-US"/>
        </w:rPr>
        <w:t xml:space="preserve">. The preliminary tests indicated that the criteria for packing group I for inhalation toxicity, as described in paragraph 2.2.61.1.7, were met since premature death of all male and female rats was observed within 3 days after exposure to a concentration of 0.22 mg cobalt hydroxide per </w:t>
      </w:r>
      <w:r w:rsidR="004755FA">
        <w:rPr>
          <w:lang w:val="en-US"/>
        </w:rPr>
        <w:t>l</w:t>
      </w:r>
      <w:r w:rsidR="004755FA" w:rsidRPr="00B13105">
        <w:rPr>
          <w:lang w:val="en-US"/>
        </w:rPr>
        <w:t xml:space="preserve">iter air for one continuous hour. </w:t>
      </w:r>
    </w:p>
    <w:p w:rsidR="004755FA" w:rsidRPr="00700DC4" w:rsidRDefault="009D219B" w:rsidP="009D219B">
      <w:pPr>
        <w:pStyle w:val="SingleTxtG"/>
        <w:rPr>
          <w:lang w:val="en-US"/>
        </w:rPr>
      </w:pPr>
      <w:r>
        <w:rPr>
          <w:lang w:val="en-US"/>
        </w:rPr>
        <w:t>11.</w:t>
      </w:r>
      <w:r>
        <w:rPr>
          <w:lang w:val="en-US"/>
        </w:rPr>
        <w:tab/>
      </w:r>
      <w:r w:rsidR="004755FA" w:rsidRPr="00B13105">
        <w:rPr>
          <w:lang w:val="en-US"/>
        </w:rPr>
        <w:t xml:space="preserve">On the basis of this </w:t>
      </w:r>
      <w:r w:rsidR="004755FA" w:rsidRPr="00B831AE">
        <w:rPr>
          <w:lang w:val="en-US"/>
        </w:rPr>
        <w:t xml:space="preserve">test </w:t>
      </w:r>
      <w:r w:rsidR="004755FA" w:rsidRPr="00B13105">
        <w:rPr>
          <w:lang w:val="en-US"/>
        </w:rPr>
        <w:t>information, during the 55</w:t>
      </w:r>
      <w:r w:rsidR="004755FA" w:rsidRPr="00B13105">
        <w:rPr>
          <w:vertAlign w:val="superscript"/>
          <w:lang w:val="en-US"/>
        </w:rPr>
        <w:t>th</w:t>
      </w:r>
      <w:r w:rsidR="004755FA" w:rsidRPr="00B13105">
        <w:rPr>
          <w:lang w:val="en-US"/>
        </w:rPr>
        <w:t xml:space="preserve"> meeting of the UNSCETDG, there was consensus that </w:t>
      </w:r>
      <w:r w:rsidR="004755FA" w:rsidRPr="00B831AE">
        <w:rPr>
          <w:lang w:val="en-US"/>
        </w:rPr>
        <w:t xml:space="preserve">currently, in absence of a specific UN-number for solid, toxic by inhalation, </w:t>
      </w:r>
      <w:r w:rsidR="004755FA" w:rsidRPr="00B13105">
        <w:rPr>
          <w:lang w:val="en-US"/>
        </w:rPr>
        <w:t>the most appropriate class and entry in the dangerous goods list for the transport of refined cobalt</w:t>
      </w:r>
      <w:r w:rsidR="004755FA">
        <w:rPr>
          <w:lang w:val="en-US"/>
        </w:rPr>
        <w:t xml:space="preserve"> </w:t>
      </w:r>
      <w:proofErr w:type="spellStart"/>
      <w:r w:rsidR="004755FA" w:rsidRPr="00B13105">
        <w:rPr>
          <w:lang w:val="en-US"/>
        </w:rPr>
        <w:t>dihydroxide</w:t>
      </w:r>
      <w:proofErr w:type="spellEnd"/>
      <w:r w:rsidR="004755FA" w:rsidRPr="00B13105">
        <w:rPr>
          <w:lang w:val="en-US"/>
        </w:rPr>
        <w:t>, meeting the criteria for packing group I for inhalation toxicity by dusts, is</w:t>
      </w:r>
      <w:r w:rsidR="004755FA">
        <w:rPr>
          <w:lang w:val="en-US"/>
        </w:rPr>
        <w:t xml:space="preserve"> class 6.1 and entry</w:t>
      </w:r>
      <w:r w:rsidR="004755FA" w:rsidRPr="00B13105">
        <w:rPr>
          <w:lang w:val="en-US"/>
        </w:rPr>
        <w:t xml:space="preserve"> </w:t>
      </w:r>
      <w:r w:rsidR="004755FA" w:rsidRPr="00700DC4">
        <w:rPr>
          <w:lang w:val="en-US"/>
        </w:rPr>
        <w:t>UN3288 , TOXIC SOLID, INORGANIC, N.O.S  (cobalt</w:t>
      </w:r>
      <w:r w:rsidR="004755FA">
        <w:rPr>
          <w:lang w:val="en-US"/>
        </w:rPr>
        <w:t xml:space="preserve"> </w:t>
      </w:r>
      <w:proofErr w:type="spellStart"/>
      <w:r w:rsidR="004755FA" w:rsidRPr="00700DC4">
        <w:rPr>
          <w:lang w:val="en-US"/>
        </w:rPr>
        <w:t>dihydroxide</w:t>
      </w:r>
      <w:proofErr w:type="spellEnd"/>
      <w:r w:rsidR="004755FA" w:rsidRPr="00700DC4">
        <w:rPr>
          <w:lang w:val="en-US"/>
        </w:rPr>
        <w:t xml:space="preserve">), PG I. </w:t>
      </w:r>
    </w:p>
    <w:p w:rsidR="004755FA" w:rsidRDefault="009D219B" w:rsidP="009D219B">
      <w:pPr>
        <w:pStyle w:val="HChG"/>
        <w:rPr>
          <w:lang w:val="en-US"/>
        </w:rPr>
      </w:pPr>
      <w:r>
        <w:rPr>
          <w:lang w:val="en-US"/>
        </w:rPr>
        <w:tab/>
      </w:r>
      <w:r>
        <w:rPr>
          <w:lang w:val="en-US"/>
        </w:rPr>
        <w:tab/>
      </w:r>
      <w:r w:rsidR="004755FA" w:rsidRPr="00EF54E5">
        <w:rPr>
          <w:lang w:val="en-US"/>
        </w:rPr>
        <w:t>Discussion</w:t>
      </w:r>
    </w:p>
    <w:p w:rsidR="004755FA" w:rsidRPr="00B13105" w:rsidRDefault="009D219B" w:rsidP="009D219B">
      <w:pPr>
        <w:pStyle w:val="SingleTxtG"/>
        <w:rPr>
          <w:lang w:val="en-US"/>
        </w:rPr>
      </w:pPr>
      <w:r>
        <w:rPr>
          <w:lang w:val="en-US"/>
        </w:rPr>
        <w:t>12.</w:t>
      </w:r>
      <w:r>
        <w:rPr>
          <w:lang w:val="en-US"/>
        </w:rPr>
        <w:tab/>
      </w:r>
      <w:r w:rsidR="004755FA" w:rsidRPr="00B13105">
        <w:rPr>
          <w:lang w:val="en-US"/>
        </w:rPr>
        <w:t xml:space="preserve">However, the packing instruction </w:t>
      </w:r>
      <w:r w:rsidR="004755FA">
        <w:rPr>
          <w:lang w:val="en-US"/>
        </w:rPr>
        <w:t xml:space="preserve">IBC07 </w:t>
      </w:r>
      <w:r w:rsidR="004755FA" w:rsidRPr="00B13105">
        <w:rPr>
          <w:lang w:val="en-US"/>
        </w:rPr>
        <w:t xml:space="preserve">assigned to UN3288, TOXIC SOLID, INORGANIC, N.O.S, PG I </w:t>
      </w:r>
      <w:proofErr w:type="gramStart"/>
      <w:r w:rsidR="004755FA" w:rsidRPr="00B13105">
        <w:rPr>
          <w:lang w:val="en-US"/>
        </w:rPr>
        <w:t>does</w:t>
      </w:r>
      <w:proofErr w:type="gramEnd"/>
      <w:r w:rsidR="004755FA" w:rsidRPr="00B13105">
        <w:rPr>
          <w:lang w:val="en-US"/>
        </w:rPr>
        <w:t xml:space="preserve"> not allow the use of flexible IBC’s. As such, </w:t>
      </w:r>
      <w:proofErr w:type="spellStart"/>
      <w:r w:rsidR="004755FA" w:rsidRPr="00B13105">
        <w:rPr>
          <w:lang w:val="en-US"/>
        </w:rPr>
        <w:t>fIBCs</w:t>
      </w:r>
      <w:proofErr w:type="spellEnd"/>
      <w:r w:rsidR="004755FA" w:rsidRPr="00B13105">
        <w:rPr>
          <w:lang w:val="en-US"/>
        </w:rPr>
        <w:t xml:space="preserve"> would no longer be allowed to be used for the transport of refined cobalt</w:t>
      </w:r>
      <w:r w:rsidR="004755FA">
        <w:rPr>
          <w:lang w:val="en-US"/>
        </w:rPr>
        <w:t xml:space="preserve"> </w:t>
      </w:r>
      <w:proofErr w:type="spellStart"/>
      <w:r w:rsidR="004755FA" w:rsidRPr="00B13105">
        <w:rPr>
          <w:lang w:val="en-US"/>
        </w:rPr>
        <w:t>dihydroxide</w:t>
      </w:r>
      <w:proofErr w:type="spellEnd"/>
      <w:r w:rsidR="004755FA" w:rsidRPr="00B13105">
        <w:rPr>
          <w:lang w:val="en-US"/>
        </w:rPr>
        <w:t xml:space="preserve"> that meets the criteria for PG I due to inhalation toxicity.</w:t>
      </w:r>
    </w:p>
    <w:p w:rsidR="004755FA" w:rsidRPr="000A6079" w:rsidRDefault="009D219B" w:rsidP="009D219B">
      <w:pPr>
        <w:pStyle w:val="SingleTxtG"/>
        <w:rPr>
          <w:lang w:val="en-US"/>
        </w:rPr>
      </w:pPr>
      <w:r>
        <w:rPr>
          <w:lang w:val="en-US"/>
        </w:rPr>
        <w:t>13.</w:t>
      </w:r>
      <w:r>
        <w:rPr>
          <w:lang w:val="en-US"/>
        </w:rPr>
        <w:tab/>
      </w:r>
      <w:r w:rsidR="004755FA" w:rsidRPr="008F1B5B">
        <w:rPr>
          <w:lang w:val="en-US"/>
        </w:rPr>
        <w:t xml:space="preserve">Prohibition of the use of </w:t>
      </w:r>
      <w:proofErr w:type="spellStart"/>
      <w:r w:rsidR="004755FA" w:rsidRPr="008F1B5B">
        <w:rPr>
          <w:lang w:val="en-US"/>
        </w:rPr>
        <w:t>fIBCs</w:t>
      </w:r>
      <w:proofErr w:type="spellEnd"/>
      <w:r w:rsidR="004755FA" w:rsidRPr="008F1B5B">
        <w:rPr>
          <w:lang w:val="en-US"/>
        </w:rPr>
        <w:t xml:space="preserve"> for the transport of refined cobalt </w:t>
      </w:r>
      <w:proofErr w:type="spellStart"/>
      <w:r w:rsidR="004755FA" w:rsidRPr="008F1B5B">
        <w:rPr>
          <w:lang w:val="en-US"/>
        </w:rPr>
        <w:t>dihydroxide</w:t>
      </w:r>
      <w:proofErr w:type="spellEnd"/>
      <w:r w:rsidR="004755FA" w:rsidRPr="008F1B5B">
        <w:rPr>
          <w:lang w:val="en-US"/>
        </w:rPr>
        <w:t xml:space="preserve"> meeting the criteria for packing group I for inhalation toxicity would impose the introduction and use of alternative </w:t>
      </w:r>
      <w:proofErr w:type="spellStart"/>
      <w:r w:rsidR="004755FA" w:rsidRPr="008F1B5B">
        <w:rPr>
          <w:lang w:val="en-US"/>
        </w:rPr>
        <w:t>packagings</w:t>
      </w:r>
      <w:proofErr w:type="spellEnd"/>
      <w:r w:rsidR="004755FA">
        <w:rPr>
          <w:lang w:val="en-US"/>
        </w:rPr>
        <w:t xml:space="preserve">, such as drums or other small </w:t>
      </w:r>
      <w:proofErr w:type="spellStart"/>
      <w:r w:rsidR="004755FA">
        <w:rPr>
          <w:lang w:val="en-US"/>
        </w:rPr>
        <w:t>packagings</w:t>
      </w:r>
      <w:proofErr w:type="spellEnd"/>
      <w:r w:rsidR="004755FA">
        <w:rPr>
          <w:lang w:val="en-US"/>
        </w:rPr>
        <w:t>,</w:t>
      </w:r>
      <w:r w:rsidR="004755FA" w:rsidRPr="008F1B5B">
        <w:rPr>
          <w:lang w:val="en-US"/>
        </w:rPr>
        <w:t xml:space="preserve"> that are </w:t>
      </w:r>
      <w:r w:rsidR="004755FA">
        <w:rPr>
          <w:lang w:val="en-US"/>
        </w:rPr>
        <w:t>not</w:t>
      </w:r>
      <w:r w:rsidR="004755FA" w:rsidRPr="008F1B5B">
        <w:rPr>
          <w:lang w:val="en-US"/>
        </w:rPr>
        <w:t xml:space="preserve"> compatible </w:t>
      </w:r>
      <w:r w:rsidR="004755FA">
        <w:rPr>
          <w:lang w:val="en-US"/>
        </w:rPr>
        <w:t>with</w:t>
      </w:r>
      <w:r w:rsidR="004755FA" w:rsidRPr="008F1B5B">
        <w:rPr>
          <w:lang w:val="en-US"/>
        </w:rPr>
        <w:t xml:space="preserve"> current </w:t>
      </w:r>
      <w:r w:rsidR="004755FA">
        <w:rPr>
          <w:lang w:val="en-US"/>
        </w:rPr>
        <w:t xml:space="preserve">automated </w:t>
      </w:r>
      <w:r w:rsidR="004755FA" w:rsidRPr="008F1B5B">
        <w:rPr>
          <w:lang w:val="en-US"/>
        </w:rPr>
        <w:t xml:space="preserve">infrastructure. </w:t>
      </w:r>
      <w:proofErr w:type="gramStart"/>
      <w:r w:rsidR="004755FA">
        <w:rPr>
          <w:lang w:val="en-US"/>
        </w:rPr>
        <w:t>As a consequence</w:t>
      </w:r>
      <w:proofErr w:type="gramEnd"/>
      <w:r w:rsidR="004755FA">
        <w:rPr>
          <w:lang w:val="en-US"/>
        </w:rPr>
        <w:t xml:space="preserve">, </w:t>
      </w:r>
      <w:r w:rsidR="004755FA" w:rsidRPr="008F1B5B">
        <w:rPr>
          <w:lang w:val="en-US"/>
        </w:rPr>
        <w:t xml:space="preserve">additional human interventions </w:t>
      </w:r>
      <w:r w:rsidR="004755FA" w:rsidRPr="000A6079">
        <w:rPr>
          <w:lang w:val="en-US"/>
        </w:rPr>
        <w:t>and handling</w:t>
      </w:r>
      <w:r w:rsidR="004755FA">
        <w:rPr>
          <w:lang w:val="en-US"/>
        </w:rPr>
        <w:t xml:space="preserve"> </w:t>
      </w:r>
      <w:r w:rsidR="004755FA" w:rsidRPr="000A6079">
        <w:rPr>
          <w:lang w:val="en-US"/>
        </w:rPr>
        <w:t>would be required</w:t>
      </w:r>
      <w:r w:rsidR="004755FA" w:rsidRPr="008F1B5B">
        <w:rPr>
          <w:lang w:val="en-US"/>
        </w:rPr>
        <w:t xml:space="preserve"> during</w:t>
      </w:r>
      <w:r w:rsidR="004755FA">
        <w:rPr>
          <w:lang w:val="en-US"/>
        </w:rPr>
        <w:t xml:space="preserve"> </w:t>
      </w:r>
      <w:r w:rsidR="004755FA" w:rsidRPr="008F1B5B">
        <w:rPr>
          <w:lang w:val="en-US"/>
        </w:rPr>
        <w:t>processing, packaging, filling and emptying operations</w:t>
      </w:r>
      <w:r w:rsidR="004755FA">
        <w:rPr>
          <w:lang w:val="en-US"/>
        </w:rPr>
        <w:t xml:space="preserve">. This would result in an </w:t>
      </w:r>
      <w:r w:rsidR="004755FA" w:rsidRPr="008F1B5B">
        <w:rPr>
          <w:lang w:val="en-US"/>
        </w:rPr>
        <w:t xml:space="preserve">elevated level </w:t>
      </w:r>
      <w:r w:rsidR="004755FA">
        <w:rPr>
          <w:lang w:val="en-US"/>
        </w:rPr>
        <w:t xml:space="preserve">of dust </w:t>
      </w:r>
      <w:r w:rsidR="004755FA" w:rsidRPr="008F1B5B">
        <w:rPr>
          <w:lang w:val="en-US"/>
        </w:rPr>
        <w:t>at the workplac</w:t>
      </w:r>
      <w:r w:rsidR="004755FA">
        <w:rPr>
          <w:lang w:val="en-US"/>
        </w:rPr>
        <w:t>e</w:t>
      </w:r>
      <w:r w:rsidR="004755FA" w:rsidRPr="000A6079">
        <w:rPr>
          <w:lang w:val="en-US"/>
        </w:rPr>
        <w:t xml:space="preserve"> and hence a higher risk of exposure</w:t>
      </w:r>
      <w:r w:rsidR="004755FA" w:rsidRPr="008F1B5B">
        <w:rPr>
          <w:lang w:val="en-US"/>
        </w:rPr>
        <w:t>, whereas over the years,</w:t>
      </w:r>
      <w:r w:rsidR="004755FA">
        <w:rPr>
          <w:lang w:val="en-US"/>
        </w:rPr>
        <w:t xml:space="preserve"> </w:t>
      </w:r>
      <w:r w:rsidR="004755FA" w:rsidRPr="000A6079">
        <w:rPr>
          <w:lang w:val="en-US"/>
        </w:rPr>
        <w:t>a lot of efforts has been made by industry to reduce the</w:t>
      </w:r>
      <w:r w:rsidR="004755FA" w:rsidRPr="008F1B5B">
        <w:rPr>
          <w:lang w:val="en-US"/>
        </w:rPr>
        <w:t xml:space="preserve"> risks </w:t>
      </w:r>
      <w:r w:rsidR="004755FA" w:rsidRPr="000A6079">
        <w:rPr>
          <w:lang w:val="en-US"/>
        </w:rPr>
        <w:t>of exposure.</w:t>
      </w:r>
    </w:p>
    <w:p w:rsidR="004755FA" w:rsidRDefault="009D219B" w:rsidP="009D219B">
      <w:pPr>
        <w:pStyle w:val="HChG"/>
        <w:rPr>
          <w:lang w:val="en-US"/>
        </w:rPr>
      </w:pPr>
      <w:r>
        <w:rPr>
          <w:lang w:val="en-US"/>
        </w:rPr>
        <w:tab/>
      </w:r>
      <w:r>
        <w:rPr>
          <w:lang w:val="en-US"/>
        </w:rPr>
        <w:tab/>
      </w:r>
      <w:r w:rsidR="004755FA">
        <w:rPr>
          <w:lang w:val="en-US"/>
        </w:rPr>
        <w:t xml:space="preserve">New technological developments </w:t>
      </w:r>
    </w:p>
    <w:p w:rsidR="004755FA" w:rsidRDefault="009D219B" w:rsidP="009D219B">
      <w:pPr>
        <w:pStyle w:val="SingleTxtG"/>
        <w:rPr>
          <w:lang w:val="en-US"/>
        </w:rPr>
      </w:pPr>
      <w:r>
        <w:rPr>
          <w:lang w:val="en-US"/>
        </w:rPr>
        <w:t>14.</w:t>
      </w:r>
      <w:r>
        <w:rPr>
          <w:lang w:val="en-US"/>
        </w:rPr>
        <w:tab/>
      </w:r>
      <w:r w:rsidR="004755FA" w:rsidRPr="00C1735B">
        <w:rPr>
          <w:lang w:val="en-US"/>
        </w:rPr>
        <w:t xml:space="preserve">Improved technology and materials over the decades since </w:t>
      </w:r>
      <w:proofErr w:type="spellStart"/>
      <w:r w:rsidR="004755FA">
        <w:rPr>
          <w:lang w:val="en-US"/>
        </w:rPr>
        <w:t>fIBCs</w:t>
      </w:r>
      <w:proofErr w:type="spellEnd"/>
      <w:r w:rsidR="004755FA" w:rsidRPr="00C1735B">
        <w:rPr>
          <w:lang w:val="en-US"/>
        </w:rPr>
        <w:t xml:space="preserve"> were first introduced ha</w:t>
      </w:r>
      <w:r w:rsidR="004755FA">
        <w:rPr>
          <w:lang w:val="en-US"/>
        </w:rPr>
        <w:t xml:space="preserve">ve </w:t>
      </w:r>
      <w:r w:rsidR="004755FA" w:rsidRPr="00C1735B">
        <w:rPr>
          <w:lang w:val="en-US"/>
        </w:rPr>
        <w:t xml:space="preserve">improved the containment of </w:t>
      </w:r>
      <w:r w:rsidR="004755FA">
        <w:rPr>
          <w:lang w:val="en-US"/>
        </w:rPr>
        <w:t>materials packed</w:t>
      </w:r>
      <w:r w:rsidR="004755FA" w:rsidRPr="00C1735B">
        <w:rPr>
          <w:lang w:val="en-US"/>
        </w:rPr>
        <w:t xml:space="preserve"> and reduced the potential for loss of any dust.</w:t>
      </w:r>
    </w:p>
    <w:p w:rsidR="004755FA" w:rsidRPr="00B212D5" w:rsidRDefault="009D219B" w:rsidP="009D219B">
      <w:pPr>
        <w:pStyle w:val="SingleTxtG"/>
        <w:rPr>
          <w:lang w:val="en-US"/>
        </w:rPr>
      </w:pPr>
      <w:r>
        <w:rPr>
          <w:lang w:val="en-US"/>
        </w:rPr>
        <w:t>15.</w:t>
      </w:r>
      <w:r>
        <w:rPr>
          <w:lang w:val="en-US"/>
        </w:rPr>
        <w:tab/>
      </w:r>
      <w:r w:rsidR="004755FA" w:rsidRPr="00B212D5">
        <w:rPr>
          <w:lang w:val="en-US"/>
        </w:rPr>
        <w:t xml:space="preserve">Since the primary hazard of class 6.1 ‘refined cobalt </w:t>
      </w:r>
      <w:proofErr w:type="spellStart"/>
      <w:r w:rsidR="004755FA" w:rsidRPr="00B212D5">
        <w:rPr>
          <w:lang w:val="en-US"/>
        </w:rPr>
        <w:t>dihydroxide</w:t>
      </w:r>
      <w:proofErr w:type="spellEnd"/>
      <w:r w:rsidR="004755FA" w:rsidRPr="00B212D5">
        <w:rPr>
          <w:lang w:val="en-US"/>
        </w:rPr>
        <w:t xml:space="preserve">’ is acute toxicity by inhalation, it is a prerequisite that no matter or dust in any form </w:t>
      </w:r>
      <w:proofErr w:type="gramStart"/>
      <w:r w:rsidR="004755FA" w:rsidRPr="00B212D5">
        <w:rPr>
          <w:lang w:val="en-US"/>
        </w:rPr>
        <w:t>is allowed to</w:t>
      </w:r>
      <w:proofErr w:type="gramEnd"/>
      <w:r w:rsidR="004755FA" w:rsidRPr="00B212D5">
        <w:rPr>
          <w:lang w:val="en-US"/>
        </w:rPr>
        <w:t xml:space="preserve"> escape the packaging during transport and create a hazardous environment.</w:t>
      </w:r>
    </w:p>
    <w:p w:rsidR="004755FA" w:rsidRPr="00E4645C" w:rsidRDefault="009D219B" w:rsidP="009D219B">
      <w:pPr>
        <w:pStyle w:val="SingleTxtG"/>
      </w:pPr>
      <w:r>
        <w:rPr>
          <w:lang w:val="en-US"/>
        </w:rPr>
        <w:t>16.</w:t>
      </w:r>
      <w:r>
        <w:rPr>
          <w:lang w:val="en-US"/>
        </w:rPr>
        <w:tab/>
      </w:r>
      <w:r w:rsidR="004755FA" w:rsidRPr="00E4645C">
        <w:rPr>
          <w:lang w:val="en-US"/>
        </w:rPr>
        <w:t>Bearing this in mind a new design for a 13H3 flexible IBC was developed and further optimized</w:t>
      </w:r>
      <w:r w:rsidR="004755FA">
        <w:rPr>
          <w:lang w:val="en-US"/>
        </w:rPr>
        <w:t xml:space="preserve"> in Belgium</w:t>
      </w:r>
      <w:r w:rsidR="004755FA" w:rsidRPr="00E4645C">
        <w:rPr>
          <w:lang w:val="en-US"/>
        </w:rPr>
        <w:t>. This flexible IBC is a made from polypropylene and contains an inner liner</w:t>
      </w:r>
      <w:r w:rsidR="004755FA">
        <w:rPr>
          <w:lang w:val="en-US"/>
        </w:rPr>
        <w:t xml:space="preserve"> of </w:t>
      </w:r>
      <w:proofErr w:type="gramStart"/>
      <w:r w:rsidR="004755FA">
        <w:rPr>
          <w:lang w:val="en-US"/>
        </w:rPr>
        <w:t>low density</w:t>
      </w:r>
      <w:proofErr w:type="gramEnd"/>
      <w:r w:rsidR="004755FA">
        <w:rPr>
          <w:lang w:val="en-US"/>
        </w:rPr>
        <w:t xml:space="preserve"> polyethylene (LDPE)</w:t>
      </w:r>
      <w:r w:rsidR="004755FA" w:rsidRPr="00E4645C">
        <w:rPr>
          <w:lang w:val="en-US"/>
        </w:rPr>
        <w:t xml:space="preserve">. The </w:t>
      </w:r>
      <w:proofErr w:type="spellStart"/>
      <w:r w:rsidR="004755FA">
        <w:rPr>
          <w:lang w:val="en-US"/>
        </w:rPr>
        <w:t>f</w:t>
      </w:r>
      <w:r w:rsidR="004755FA" w:rsidRPr="00E4645C">
        <w:rPr>
          <w:lang w:val="en-US"/>
        </w:rPr>
        <w:t>IBC</w:t>
      </w:r>
      <w:proofErr w:type="spellEnd"/>
      <w:r w:rsidR="004755FA" w:rsidRPr="00E4645C">
        <w:rPr>
          <w:lang w:val="en-US"/>
        </w:rPr>
        <w:t xml:space="preserve"> consists of a double layered filling spout at the top and a double layered discharge spout at the bottom. </w:t>
      </w:r>
      <w:proofErr w:type="gramStart"/>
      <w:r w:rsidR="004755FA" w:rsidRPr="00E4645C">
        <w:rPr>
          <w:lang w:val="en-US"/>
        </w:rPr>
        <w:t>Additionally</w:t>
      </w:r>
      <w:proofErr w:type="gramEnd"/>
      <w:r w:rsidR="004755FA" w:rsidRPr="00E4645C">
        <w:rPr>
          <w:lang w:val="en-US"/>
        </w:rPr>
        <w:t xml:space="preserve"> the discharge spout of the </w:t>
      </w:r>
      <w:proofErr w:type="spellStart"/>
      <w:r w:rsidR="004755FA" w:rsidRPr="00E4645C">
        <w:rPr>
          <w:lang w:val="en-US"/>
        </w:rPr>
        <w:t>fIBC</w:t>
      </w:r>
      <w:proofErr w:type="spellEnd"/>
      <w:r w:rsidR="004755FA" w:rsidRPr="00E4645C">
        <w:rPr>
          <w:lang w:val="en-US"/>
        </w:rPr>
        <w:t xml:space="preserve"> is coated and has a protective sleeve and a protective flap as supplementary safety measurements.</w:t>
      </w:r>
    </w:p>
    <w:p w:rsidR="004755FA" w:rsidRPr="00FA6917" w:rsidRDefault="009D219B" w:rsidP="009D219B">
      <w:pPr>
        <w:pStyle w:val="SingleTxtG"/>
        <w:rPr>
          <w:color w:val="FF0000"/>
        </w:rPr>
      </w:pPr>
      <w:r>
        <w:rPr>
          <w:lang w:val="en-US"/>
        </w:rPr>
        <w:lastRenderedPageBreak/>
        <w:t>17.</w:t>
      </w:r>
      <w:r>
        <w:rPr>
          <w:lang w:val="en-US"/>
        </w:rPr>
        <w:tab/>
      </w:r>
      <w:r w:rsidR="004755FA" w:rsidRPr="00FA6917">
        <w:rPr>
          <w:lang w:val="en-US"/>
        </w:rPr>
        <w:t xml:space="preserve">This </w:t>
      </w:r>
      <w:proofErr w:type="spellStart"/>
      <w:r w:rsidR="004755FA" w:rsidRPr="00FA6917">
        <w:rPr>
          <w:lang w:val="en-US"/>
        </w:rPr>
        <w:t>fIBC</w:t>
      </w:r>
      <w:proofErr w:type="spellEnd"/>
      <w:r w:rsidR="004755FA" w:rsidRPr="00FA6917">
        <w:rPr>
          <w:lang w:val="en-US"/>
        </w:rPr>
        <w:t xml:space="preserve"> was tested in accordance with the test provisions from chapter 6.5.6 of the ADR. A top lift test, a drop test, a topple test, a </w:t>
      </w:r>
      <w:r w:rsidR="004755FA" w:rsidRPr="00E4645C">
        <w:rPr>
          <w:lang w:val="en-US"/>
        </w:rPr>
        <w:t>righting</w:t>
      </w:r>
      <w:r w:rsidR="004755FA" w:rsidRPr="00FA6917">
        <w:rPr>
          <w:lang w:val="en-US"/>
        </w:rPr>
        <w:t xml:space="preserve"> test and a tear test were performed. It should be noted that the tested </w:t>
      </w:r>
      <w:proofErr w:type="spellStart"/>
      <w:r w:rsidR="004755FA" w:rsidRPr="00FA6917">
        <w:rPr>
          <w:lang w:val="en-US"/>
        </w:rPr>
        <w:t>fIBC</w:t>
      </w:r>
      <w:proofErr w:type="spellEnd"/>
      <w:r w:rsidR="004755FA" w:rsidRPr="00FA6917">
        <w:rPr>
          <w:lang w:val="en-US"/>
        </w:rPr>
        <w:t xml:space="preserve"> meets the test criteria for PG I for the drop test and the topple test as specified in paragraphs 6.5.6.9.4 and 6.5.6.11.4 of the ADR. It should also be noted that the drop, topple and </w:t>
      </w:r>
      <w:r w:rsidR="004755FA" w:rsidRPr="00E4645C">
        <w:rPr>
          <w:lang w:val="en-US"/>
        </w:rPr>
        <w:t>righting</w:t>
      </w:r>
      <w:r w:rsidR="004755FA" w:rsidRPr="00FA6917">
        <w:rPr>
          <w:lang w:val="en-US"/>
        </w:rPr>
        <w:t xml:space="preserve"> test were performed with the actual </w:t>
      </w:r>
      <w:r w:rsidR="004755FA">
        <w:rPr>
          <w:lang w:val="en-US"/>
        </w:rPr>
        <w:t>substance</w:t>
      </w:r>
      <w:r w:rsidR="004755FA" w:rsidRPr="00FA6917">
        <w:rPr>
          <w:lang w:val="en-US"/>
        </w:rPr>
        <w:t xml:space="preserve"> for which it is intended to be transported</w:t>
      </w:r>
      <w:r w:rsidR="004755FA">
        <w:rPr>
          <w:lang w:val="en-US"/>
        </w:rPr>
        <w:t xml:space="preserve"> </w:t>
      </w:r>
      <w:r w:rsidR="004755FA" w:rsidRPr="000A6079">
        <w:rPr>
          <w:lang w:val="en-US"/>
        </w:rPr>
        <w:t xml:space="preserve">(i.e. refined cobalt </w:t>
      </w:r>
      <w:proofErr w:type="spellStart"/>
      <w:r w:rsidR="004755FA" w:rsidRPr="000A6079">
        <w:rPr>
          <w:lang w:val="en-US"/>
        </w:rPr>
        <w:t>dihydroxide</w:t>
      </w:r>
      <w:proofErr w:type="spellEnd"/>
      <w:r w:rsidR="004755FA" w:rsidRPr="000A6079">
        <w:rPr>
          <w:lang w:val="en-US"/>
        </w:rPr>
        <w:t>)</w:t>
      </w:r>
      <w:r w:rsidR="004755FA" w:rsidRPr="00FA6917">
        <w:rPr>
          <w:lang w:val="en-US"/>
        </w:rPr>
        <w:t>. In this way, refined cobalt</w:t>
      </w:r>
      <w:r w:rsidR="004755FA">
        <w:rPr>
          <w:lang w:val="en-US"/>
        </w:rPr>
        <w:t xml:space="preserve"> </w:t>
      </w:r>
      <w:proofErr w:type="spellStart"/>
      <w:r w:rsidR="004755FA" w:rsidRPr="00FA6917">
        <w:rPr>
          <w:lang w:val="en-US"/>
        </w:rPr>
        <w:t>dihydroxide</w:t>
      </w:r>
      <w:proofErr w:type="spellEnd"/>
      <w:r w:rsidR="004755FA" w:rsidRPr="00FA6917">
        <w:rPr>
          <w:lang w:val="en-US"/>
        </w:rPr>
        <w:t>, with a purity of nearly 100% and a particle size distribution such that 85% of its total mass is in the respirable range of 10</w:t>
      </w:r>
      <w:r w:rsidR="00822877">
        <w:rPr>
          <w:lang w:val="en-US"/>
        </w:rPr>
        <w:t xml:space="preserve"> </w:t>
      </w:r>
      <w:r w:rsidR="004755FA" w:rsidRPr="00FA6917">
        <w:rPr>
          <w:lang w:val="en-US"/>
        </w:rPr>
        <w:t xml:space="preserve">µm or less, thus meeting the criteria in ADR in 2.2.61.1.3, was used as filling medium during the tests. For reference, </w:t>
      </w:r>
      <w:r w:rsidR="004755FA" w:rsidRPr="00117CC2">
        <w:rPr>
          <w:lang w:val="en-US"/>
        </w:rPr>
        <w:t>the particle size distribution as well as</w:t>
      </w:r>
      <w:r w:rsidR="004755FA" w:rsidRPr="00FA6917">
        <w:rPr>
          <w:lang w:val="en-US"/>
        </w:rPr>
        <w:t xml:space="preserve"> </w:t>
      </w:r>
      <w:r w:rsidR="004755FA" w:rsidRPr="00E4645C">
        <w:rPr>
          <w:lang w:val="en-US"/>
        </w:rPr>
        <w:t xml:space="preserve">a generic </w:t>
      </w:r>
      <w:r w:rsidR="004755FA" w:rsidRPr="00FA6917">
        <w:rPr>
          <w:lang w:val="en-US"/>
        </w:rPr>
        <w:t>S</w:t>
      </w:r>
      <w:r w:rsidR="004755FA">
        <w:rPr>
          <w:lang w:val="en-US"/>
        </w:rPr>
        <w:t xml:space="preserve">afety Data Sheet (SDS) </w:t>
      </w:r>
      <w:r w:rsidR="004755FA" w:rsidRPr="00E4645C">
        <w:rPr>
          <w:lang w:val="en-US"/>
        </w:rPr>
        <w:t xml:space="preserve">of refined cobalt </w:t>
      </w:r>
      <w:proofErr w:type="spellStart"/>
      <w:r w:rsidR="004755FA" w:rsidRPr="00E4645C">
        <w:rPr>
          <w:lang w:val="en-US"/>
        </w:rPr>
        <w:t>dihydroxide</w:t>
      </w:r>
      <w:proofErr w:type="spellEnd"/>
      <w:r w:rsidR="004755FA" w:rsidRPr="00E4645C">
        <w:rPr>
          <w:lang w:val="en-US"/>
        </w:rPr>
        <w:t xml:space="preserve"> </w:t>
      </w:r>
      <w:r w:rsidR="004755FA" w:rsidRPr="005F5ED2">
        <w:rPr>
          <w:lang w:val="en-US"/>
        </w:rPr>
        <w:t>are</w:t>
      </w:r>
      <w:r w:rsidR="004755FA" w:rsidRPr="00E4645C">
        <w:rPr>
          <w:lang w:val="en-US"/>
        </w:rPr>
        <w:t xml:space="preserve"> </w:t>
      </w:r>
      <w:r w:rsidR="004755FA" w:rsidRPr="00FA6917">
        <w:rPr>
          <w:lang w:val="en-US"/>
        </w:rPr>
        <w:t xml:space="preserve">added in </w:t>
      </w:r>
      <w:r w:rsidR="004755FA">
        <w:rPr>
          <w:lang w:val="en-US"/>
        </w:rPr>
        <w:t>a</w:t>
      </w:r>
      <w:r w:rsidR="004755FA" w:rsidRPr="00FA6917">
        <w:rPr>
          <w:lang w:val="en-US"/>
        </w:rPr>
        <w:t>nnex</w:t>
      </w:r>
      <w:r w:rsidR="00822877">
        <w:rPr>
          <w:lang w:val="en-US"/>
        </w:rPr>
        <w:t>es</w:t>
      </w:r>
      <w:r w:rsidR="004755FA">
        <w:rPr>
          <w:lang w:val="en-US"/>
        </w:rPr>
        <w:t xml:space="preserve"> 2 and 3</w:t>
      </w:r>
      <w:r w:rsidR="004755FA" w:rsidRPr="00FA6917">
        <w:rPr>
          <w:lang w:val="en-US"/>
        </w:rPr>
        <w:t xml:space="preserve"> to this document. </w:t>
      </w:r>
      <w:r w:rsidR="004755FA">
        <w:rPr>
          <w:lang w:val="en-US"/>
        </w:rPr>
        <w:t xml:space="preserve"> </w:t>
      </w:r>
    </w:p>
    <w:p w:rsidR="004755FA" w:rsidRPr="00FA6917" w:rsidRDefault="009D219B" w:rsidP="009D219B">
      <w:pPr>
        <w:pStyle w:val="SingleTxtG"/>
        <w:rPr>
          <w:color w:val="FF0000"/>
        </w:rPr>
      </w:pPr>
      <w:r>
        <w:rPr>
          <w:lang w:val="en-US"/>
        </w:rPr>
        <w:t>18.</w:t>
      </w:r>
      <w:r>
        <w:rPr>
          <w:lang w:val="en-US"/>
        </w:rPr>
        <w:tab/>
      </w:r>
      <w:r w:rsidR="004755FA" w:rsidRPr="00FA6917">
        <w:rPr>
          <w:lang w:val="en-US"/>
        </w:rPr>
        <w:t xml:space="preserve">Notwithstanding the fact that the criteria for passing the </w:t>
      </w:r>
      <w:proofErr w:type="gramStart"/>
      <w:r w:rsidR="004755FA" w:rsidRPr="00FA6917">
        <w:rPr>
          <w:lang w:val="en-US"/>
        </w:rPr>
        <w:t>above mentioned</w:t>
      </w:r>
      <w:proofErr w:type="gramEnd"/>
      <w:r w:rsidR="004755FA" w:rsidRPr="00FA6917">
        <w:rPr>
          <w:lang w:val="en-US"/>
        </w:rPr>
        <w:t xml:space="preserve"> tests in 6.5.6.9.5 and 6.5.6.11.5 for flexible IBC’s allow for a ‘slight discharge’ at the closures or the stitch holes, </w:t>
      </w:r>
      <w:r w:rsidR="004755FA">
        <w:rPr>
          <w:lang w:val="en-US"/>
        </w:rPr>
        <w:t>n</w:t>
      </w:r>
      <w:r w:rsidR="004755FA" w:rsidRPr="00FA6917">
        <w:rPr>
          <w:lang w:val="en-US"/>
        </w:rPr>
        <w:t>o loss of content or egress of dust was observed during the final tests.</w:t>
      </w:r>
      <w:r w:rsidR="004755FA">
        <w:rPr>
          <w:lang w:val="en-US"/>
        </w:rPr>
        <w:t xml:space="preserve"> </w:t>
      </w:r>
      <w:r w:rsidR="004755FA" w:rsidRPr="003F02FD">
        <w:rPr>
          <w:lang w:val="en-US"/>
        </w:rPr>
        <w:t xml:space="preserve">Due to the toxic inhalation nature of this hazard any loss of content is unacceptable.  </w:t>
      </w:r>
      <w:r w:rsidR="004755FA" w:rsidRPr="00FA6917">
        <w:rPr>
          <w:lang w:val="en-US"/>
        </w:rPr>
        <w:t xml:space="preserve">In this way, this new and improved design of a 13H3 </w:t>
      </w:r>
      <w:proofErr w:type="spellStart"/>
      <w:r w:rsidR="004755FA" w:rsidRPr="00FA6917">
        <w:rPr>
          <w:lang w:val="en-US"/>
        </w:rPr>
        <w:t>fIBC</w:t>
      </w:r>
      <w:proofErr w:type="spellEnd"/>
      <w:r w:rsidR="004755FA" w:rsidRPr="00FA6917">
        <w:rPr>
          <w:lang w:val="en-US"/>
        </w:rPr>
        <w:t xml:space="preserve">, that was approved by the competent authority for packaging in Belgium, </w:t>
      </w:r>
      <w:r w:rsidR="004755FA" w:rsidRPr="003F02FD">
        <w:rPr>
          <w:lang w:val="en-US"/>
        </w:rPr>
        <w:t>exceeds</w:t>
      </w:r>
      <w:r w:rsidR="004755FA" w:rsidRPr="009E4930">
        <w:rPr>
          <w:lang w:val="en-US"/>
        </w:rPr>
        <w:t xml:space="preserve"> </w:t>
      </w:r>
      <w:r w:rsidR="004755FA" w:rsidRPr="00FA6917">
        <w:rPr>
          <w:lang w:val="en-US"/>
        </w:rPr>
        <w:t>the current criteria as specified in the ADR.</w:t>
      </w:r>
    </w:p>
    <w:p w:rsidR="004755FA" w:rsidRDefault="009D219B" w:rsidP="009D219B">
      <w:pPr>
        <w:pStyle w:val="SingleTxtG"/>
        <w:rPr>
          <w:color w:val="FF0000"/>
          <w:lang w:val="en-US"/>
        </w:rPr>
      </w:pPr>
      <w:r>
        <w:rPr>
          <w:lang w:val="en-US"/>
        </w:rPr>
        <w:t>19.</w:t>
      </w:r>
      <w:r>
        <w:rPr>
          <w:lang w:val="en-US"/>
        </w:rPr>
        <w:tab/>
      </w:r>
      <w:r w:rsidR="004755FA" w:rsidRPr="00964F82">
        <w:rPr>
          <w:lang w:val="en-US"/>
        </w:rPr>
        <w:t xml:space="preserve">Upon request of interested competent authorities a copy of the certificate of approval </w:t>
      </w:r>
      <w:r w:rsidR="004755FA">
        <w:rPr>
          <w:lang w:val="en-US"/>
        </w:rPr>
        <w:t xml:space="preserve">and accompanying </w:t>
      </w:r>
      <w:r w:rsidR="004755FA" w:rsidRPr="00964F82">
        <w:rPr>
          <w:lang w:val="en-US"/>
        </w:rPr>
        <w:t>test report, as issued by the competent authority for packaging in Belgium, or</w:t>
      </w:r>
      <w:r w:rsidR="004755FA">
        <w:rPr>
          <w:lang w:val="en-US"/>
        </w:rPr>
        <w:t xml:space="preserve"> other</w:t>
      </w:r>
      <w:r w:rsidR="004755FA" w:rsidRPr="00964F82">
        <w:rPr>
          <w:lang w:val="en-US"/>
        </w:rPr>
        <w:t xml:space="preserve"> additional information related to the performed tests can be provided.</w:t>
      </w:r>
      <w:r w:rsidR="004755FA" w:rsidRPr="00964F82">
        <w:rPr>
          <w:color w:val="FF0000"/>
          <w:lang w:val="en-US"/>
        </w:rPr>
        <w:t xml:space="preserve"> </w:t>
      </w:r>
    </w:p>
    <w:p w:rsidR="004755FA" w:rsidRPr="003F02FD" w:rsidRDefault="009D219B" w:rsidP="009D219B">
      <w:pPr>
        <w:pStyle w:val="HChG"/>
        <w:rPr>
          <w:lang w:val="en-US"/>
        </w:rPr>
      </w:pPr>
      <w:r>
        <w:rPr>
          <w:lang w:val="en-US"/>
        </w:rPr>
        <w:tab/>
      </w:r>
      <w:r>
        <w:rPr>
          <w:lang w:val="en-US"/>
        </w:rPr>
        <w:tab/>
      </w:r>
      <w:r w:rsidR="004755FA" w:rsidRPr="003F02FD">
        <w:rPr>
          <w:lang w:val="en-US"/>
        </w:rPr>
        <w:t>Proposal</w:t>
      </w:r>
    </w:p>
    <w:p w:rsidR="004755FA" w:rsidRDefault="009D219B" w:rsidP="009D219B">
      <w:pPr>
        <w:pStyle w:val="SingleTxtG"/>
        <w:rPr>
          <w:lang w:val="en-US"/>
        </w:rPr>
      </w:pPr>
      <w:r>
        <w:rPr>
          <w:lang w:val="en-US"/>
        </w:rPr>
        <w:t>20.</w:t>
      </w:r>
      <w:r>
        <w:rPr>
          <w:lang w:val="en-US"/>
        </w:rPr>
        <w:tab/>
      </w:r>
      <w:r w:rsidR="004755FA">
        <w:rPr>
          <w:lang w:val="en-US"/>
        </w:rPr>
        <w:t xml:space="preserve">The co-authors of this paper believe that the appropriate level of safety for the transport of ‘refined cobalt </w:t>
      </w:r>
      <w:proofErr w:type="spellStart"/>
      <w:r w:rsidR="004755FA">
        <w:rPr>
          <w:lang w:val="en-US"/>
        </w:rPr>
        <w:t>dihydroxide</w:t>
      </w:r>
      <w:proofErr w:type="spellEnd"/>
      <w:r w:rsidR="004755FA">
        <w:rPr>
          <w:lang w:val="en-US"/>
        </w:rPr>
        <w:t>’, meeting the criteria for PG I for inhalation toxicity, can be attained:</w:t>
      </w:r>
    </w:p>
    <w:p w:rsidR="004755FA" w:rsidRDefault="004755FA" w:rsidP="009D219B">
      <w:pPr>
        <w:pStyle w:val="Bullet1G"/>
        <w:rPr>
          <w:lang w:val="en-US"/>
        </w:rPr>
      </w:pPr>
      <w:proofErr w:type="gramStart"/>
      <w:r>
        <w:rPr>
          <w:lang w:val="en-US"/>
        </w:rPr>
        <w:t>by t</w:t>
      </w:r>
      <w:r w:rsidRPr="00D140C7">
        <w:rPr>
          <w:lang w:val="en-US"/>
        </w:rPr>
        <w:t>he use of</w:t>
      </w:r>
      <w:proofErr w:type="gramEnd"/>
      <w:r w:rsidRPr="00D140C7">
        <w:rPr>
          <w:lang w:val="en-US"/>
        </w:rPr>
        <w:t xml:space="preserve"> an improved</w:t>
      </w:r>
      <w:r>
        <w:rPr>
          <w:lang w:val="en-US"/>
        </w:rPr>
        <w:t xml:space="preserve"> </w:t>
      </w:r>
      <w:r w:rsidRPr="00D140C7">
        <w:rPr>
          <w:lang w:val="en-US"/>
        </w:rPr>
        <w:t>flexible IBC</w:t>
      </w:r>
      <w:r>
        <w:rPr>
          <w:lang w:val="en-US"/>
        </w:rPr>
        <w:t xml:space="preserve"> meeting the requirements described in the provisions below in E.1</w:t>
      </w:r>
      <w:r w:rsidR="00822877">
        <w:rPr>
          <w:lang w:val="en-US"/>
        </w:rPr>
        <w:t>;</w:t>
      </w:r>
      <w:r w:rsidRPr="00D140C7">
        <w:rPr>
          <w:lang w:val="en-US"/>
        </w:rPr>
        <w:t xml:space="preserve"> </w:t>
      </w:r>
    </w:p>
    <w:p w:rsidR="004755FA" w:rsidRDefault="004755FA" w:rsidP="009D219B">
      <w:pPr>
        <w:pStyle w:val="Bullet1G"/>
        <w:rPr>
          <w:lang w:val="en-US"/>
        </w:rPr>
      </w:pPr>
      <w:r w:rsidRPr="004060D8">
        <w:rPr>
          <w:lang w:val="en-US"/>
        </w:rPr>
        <w:t xml:space="preserve">as well as by imposing specific </w:t>
      </w:r>
      <w:r>
        <w:rPr>
          <w:lang w:val="en-US"/>
        </w:rPr>
        <w:t>handling and transport provisions</w:t>
      </w:r>
      <w:r w:rsidRPr="004060D8">
        <w:rPr>
          <w:lang w:val="en-US"/>
        </w:rPr>
        <w:t xml:space="preserve"> for loading, unloading and transport</w:t>
      </w:r>
      <w:r>
        <w:rPr>
          <w:lang w:val="en-US"/>
        </w:rPr>
        <w:t xml:space="preserve"> as described in provisions below in E.2</w:t>
      </w:r>
      <w:r w:rsidRPr="004060D8">
        <w:rPr>
          <w:lang w:val="en-US"/>
        </w:rPr>
        <w:t>.</w:t>
      </w:r>
    </w:p>
    <w:p w:rsidR="004755FA" w:rsidRPr="0087273C" w:rsidRDefault="009D219B" w:rsidP="009D219B">
      <w:pPr>
        <w:pStyle w:val="SingleTxtG"/>
        <w:rPr>
          <w:lang w:val="en-US"/>
        </w:rPr>
      </w:pPr>
      <w:r>
        <w:rPr>
          <w:lang w:val="en-US"/>
        </w:rPr>
        <w:t>21.</w:t>
      </w:r>
      <w:r>
        <w:rPr>
          <w:lang w:val="en-US"/>
        </w:rPr>
        <w:tab/>
      </w:r>
      <w:r w:rsidR="004755FA" w:rsidRPr="0087273C">
        <w:rPr>
          <w:lang w:val="en-US"/>
        </w:rPr>
        <w:t xml:space="preserve">The proposed provisions in the paragraphs below will not only imply a significant improvement over the current way of </w:t>
      </w:r>
      <w:proofErr w:type="gramStart"/>
      <w:r w:rsidR="004755FA" w:rsidRPr="0087273C">
        <w:rPr>
          <w:lang w:val="en-US"/>
        </w:rPr>
        <w:t>transport, but</w:t>
      </w:r>
      <w:proofErr w:type="gramEnd"/>
      <w:r w:rsidR="004755FA" w:rsidRPr="0087273C">
        <w:rPr>
          <w:lang w:val="en-US"/>
        </w:rPr>
        <w:t xml:space="preserve"> will also allow to maintain and benefit from ‘the good practices’ that have been established throughout the years. These provisions serve as a basis for a multilateral agreement (MA) for the use of an improved </w:t>
      </w:r>
      <w:proofErr w:type="spellStart"/>
      <w:r w:rsidR="004755FA" w:rsidRPr="0087273C">
        <w:rPr>
          <w:lang w:val="en-US"/>
        </w:rPr>
        <w:t>fIBC</w:t>
      </w:r>
      <w:proofErr w:type="spellEnd"/>
      <w:r w:rsidR="004755FA" w:rsidRPr="0087273C">
        <w:rPr>
          <w:lang w:val="en-US"/>
        </w:rPr>
        <w:t xml:space="preserve"> for the transport of refined cobalt </w:t>
      </w:r>
      <w:proofErr w:type="spellStart"/>
      <w:r w:rsidR="004755FA" w:rsidRPr="0087273C">
        <w:rPr>
          <w:lang w:val="en-US"/>
        </w:rPr>
        <w:t>dihydroxide</w:t>
      </w:r>
      <w:proofErr w:type="spellEnd"/>
      <w:r w:rsidR="004755FA" w:rsidRPr="0087273C">
        <w:rPr>
          <w:lang w:val="en-US"/>
        </w:rPr>
        <w:t>. During the time the discussions on this topic are ongoing at the UN</w:t>
      </w:r>
      <w:r w:rsidR="00822877">
        <w:rPr>
          <w:lang w:val="en-US"/>
        </w:rPr>
        <w:t xml:space="preserve"> </w:t>
      </w:r>
      <w:r w:rsidR="004755FA" w:rsidRPr="0087273C">
        <w:rPr>
          <w:lang w:val="en-US"/>
        </w:rPr>
        <w:t>Sub</w:t>
      </w:r>
      <w:r w:rsidR="00822877">
        <w:rPr>
          <w:lang w:val="en-US"/>
        </w:rPr>
        <w:t>-</w:t>
      </w:r>
      <w:r w:rsidR="004755FA" w:rsidRPr="0087273C">
        <w:rPr>
          <w:lang w:val="en-US"/>
        </w:rPr>
        <w:t xml:space="preserve">Committee of Experts on the Transport of Dangerous Goods meetings, this MA can serve as a safe transitional solution in order to not impede the transport and processing of cobalt </w:t>
      </w:r>
      <w:proofErr w:type="spellStart"/>
      <w:r w:rsidR="004755FA" w:rsidRPr="0087273C">
        <w:rPr>
          <w:lang w:val="en-US"/>
        </w:rPr>
        <w:t>dihydroxide</w:t>
      </w:r>
      <w:proofErr w:type="spellEnd"/>
      <w:r w:rsidR="004755FA" w:rsidRPr="0087273C">
        <w:rPr>
          <w:lang w:val="en-US"/>
        </w:rPr>
        <w:t xml:space="preserve">. </w:t>
      </w:r>
    </w:p>
    <w:p w:rsidR="004755FA" w:rsidRPr="00964F82" w:rsidRDefault="004755FA" w:rsidP="009D219B">
      <w:pPr>
        <w:ind w:left="1134"/>
        <w:jc w:val="both"/>
        <w:rPr>
          <w:i/>
          <w:iCs/>
          <w:color w:val="FF0000"/>
          <w:lang w:val="en-US"/>
        </w:rPr>
      </w:pPr>
      <w:proofErr w:type="gramStart"/>
      <w:r w:rsidRPr="00EF54E5">
        <w:rPr>
          <w:i/>
          <w:iCs/>
          <w:lang w:val="en-US"/>
        </w:rPr>
        <w:t xml:space="preserve">E.1 </w:t>
      </w:r>
      <w:r>
        <w:rPr>
          <w:i/>
          <w:iCs/>
          <w:lang w:val="en-US"/>
        </w:rPr>
        <w:t xml:space="preserve"> I</w:t>
      </w:r>
      <w:r w:rsidRPr="00EF54E5">
        <w:rPr>
          <w:i/>
          <w:iCs/>
          <w:lang w:val="en-US"/>
        </w:rPr>
        <w:t>mproved</w:t>
      </w:r>
      <w:proofErr w:type="gramEnd"/>
      <w:r w:rsidRPr="00EF54E5">
        <w:rPr>
          <w:i/>
          <w:iCs/>
          <w:lang w:val="en-US"/>
        </w:rPr>
        <w:t xml:space="preserve"> flexible IBC</w:t>
      </w:r>
    </w:p>
    <w:p w:rsidR="004755FA" w:rsidRPr="000654B5" w:rsidRDefault="007932EC" w:rsidP="009D219B">
      <w:pPr>
        <w:pStyle w:val="SingleTxtG"/>
        <w:rPr>
          <w:lang w:val="en-US"/>
        </w:rPr>
      </w:pPr>
      <w:r>
        <w:rPr>
          <w:lang w:val="en-US"/>
        </w:rPr>
        <w:t>22.</w:t>
      </w:r>
      <w:r>
        <w:rPr>
          <w:lang w:val="en-US"/>
        </w:rPr>
        <w:tab/>
      </w:r>
      <w:r w:rsidR="004755FA" w:rsidRPr="000654B5">
        <w:rPr>
          <w:lang w:val="en-US"/>
        </w:rPr>
        <w:t>In order to</w:t>
      </w:r>
      <w:r w:rsidR="004755FA" w:rsidRPr="000A6079">
        <w:rPr>
          <w:lang w:val="en-US"/>
        </w:rPr>
        <w:t xml:space="preserve"> provide</w:t>
      </w:r>
      <w:r w:rsidR="004755FA" w:rsidRPr="000654B5">
        <w:rPr>
          <w:lang w:val="en-US"/>
        </w:rPr>
        <w:t xml:space="preserve"> a level playing field, the Belgian competent authorities are of the opinion that any optimized design for a </w:t>
      </w:r>
      <w:proofErr w:type="spellStart"/>
      <w:r w:rsidR="004755FA" w:rsidRPr="000654B5">
        <w:rPr>
          <w:lang w:val="en-US"/>
        </w:rPr>
        <w:t>fIBC</w:t>
      </w:r>
      <w:proofErr w:type="spellEnd"/>
      <w:r w:rsidR="004755FA" w:rsidRPr="000654B5">
        <w:rPr>
          <w:lang w:val="en-US"/>
        </w:rPr>
        <w:t xml:space="preserve"> of the type 13H3 or 13H4 may be used for the transport of refined cobalt </w:t>
      </w:r>
      <w:proofErr w:type="spellStart"/>
      <w:r w:rsidR="004755FA" w:rsidRPr="000654B5">
        <w:rPr>
          <w:lang w:val="en-US"/>
        </w:rPr>
        <w:t>dihydroxide</w:t>
      </w:r>
      <w:proofErr w:type="spellEnd"/>
      <w:r w:rsidR="004755FA" w:rsidRPr="000654B5">
        <w:rPr>
          <w:lang w:val="en-US"/>
        </w:rPr>
        <w:t xml:space="preserve"> meeting the criteria for packing group I for inhalation toxicity </w:t>
      </w:r>
      <w:r w:rsidR="004755FA" w:rsidRPr="000A6079">
        <w:rPr>
          <w:lang w:val="en-US"/>
        </w:rPr>
        <w:t>as long as</w:t>
      </w:r>
      <w:r w:rsidR="004755FA" w:rsidRPr="000654B5">
        <w:rPr>
          <w:lang w:val="en-US"/>
        </w:rPr>
        <w:t xml:space="preserve"> the packaging has been tested and approved in accordance with the applicable provisions of chapter 6.5.6 of the ADR. </w:t>
      </w:r>
      <w:r w:rsidR="004755FA" w:rsidRPr="000A6079">
        <w:rPr>
          <w:lang w:val="en-US"/>
        </w:rPr>
        <w:t>In addition to these</w:t>
      </w:r>
      <w:r w:rsidR="004755FA" w:rsidRPr="000654B5">
        <w:rPr>
          <w:lang w:val="en-US"/>
        </w:rPr>
        <w:t xml:space="preserve"> provisions, no egress of dust or loss of matter of any kind shall be observed during testing</w:t>
      </w:r>
      <w:r w:rsidR="004755FA">
        <w:rPr>
          <w:lang w:val="en-US"/>
        </w:rPr>
        <w:t xml:space="preserve">, </w:t>
      </w:r>
      <w:r w:rsidR="004755FA" w:rsidRPr="000A6079">
        <w:rPr>
          <w:lang w:val="en-US"/>
        </w:rPr>
        <w:t>and</w:t>
      </w:r>
      <w:r w:rsidR="004755FA">
        <w:rPr>
          <w:lang w:val="en-US"/>
        </w:rPr>
        <w:t xml:space="preserve"> t</w:t>
      </w:r>
      <w:r w:rsidR="004755FA" w:rsidRPr="000654B5">
        <w:rPr>
          <w:lang w:val="en-US"/>
        </w:rPr>
        <w:t xml:space="preserve">he drop, topple and righting test </w:t>
      </w:r>
      <w:r w:rsidR="004755FA" w:rsidRPr="000A6079">
        <w:rPr>
          <w:lang w:val="en-US"/>
        </w:rPr>
        <w:t>shall</w:t>
      </w:r>
      <w:r w:rsidR="004755FA">
        <w:rPr>
          <w:lang w:val="en-US"/>
        </w:rPr>
        <w:t xml:space="preserve"> </w:t>
      </w:r>
      <w:r w:rsidR="004755FA" w:rsidRPr="000654B5">
        <w:rPr>
          <w:lang w:val="en-US"/>
        </w:rPr>
        <w:t xml:space="preserve">be performed with the actual refined cobalt </w:t>
      </w:r>
      <w:proofErr w:type="spellStart"/>
      <w:r w:rsidR="004755FA" w:rsidRPr="000654B5">
        <w:rPr>
          <w:lang w:val="en-US"/>
        </w:rPr>
        <w:t>dihydroxide</w:t>
      </w:r>
      <w:proofErr w:type="spellEnd"/>
      <w:r w:rsidR="004755FA" w:rsidRPr="000654B5">
        <w:rPr>
          <w:lang w:val="en-US"/>
        </w:rPr>
        <w:t xml:space="preserve"> for which it is intended to be used.</w:t>
      </w:r>
    </w:p>
    <w:p w:rsidR="004755FA" w:rsidRPr="00997BE0" w:rsidRDefault="004755FA" w:rsidP="007932EC">
      <w:pPr>
        <w:ind w:left="1134"/>
        <w:jc w:val="both"/>
        <w:rPr>
          <w:i/>
          <w:iCs/>
          <w:lang w:val="en-US"/>
        </w:rPr>
      </w:pPr>
      <w:r>
        <w:rPr>
          <w:i/>
          <w:iCs/>
          <w:lang w:val="en-US"/>
        </w:rPr>
        <w:t>E</w:t>
      </w:r>
      <w:r w:rsidRPr="00EF54E5">
        <w:rPr>
          <w:i/>
          <w:iCs/>
          <w:lang w:val="en-US"/>
        </w:rPr>
        <w:t>.2 additional handling and transport requirements</w:t>
      </w:r>
    </w:p>
    <w:p w:rsidR="004755FA" w:rsidRPr="00997BE0" w:rsidRDefault="007932EC" w:rsidP="009D219B">
      <w:pPr>
        <w:pStyle w:val="SingleTxtG"/>
        <w:rPr>
          <w:lang w:val="en-US"/>
        </w:rPr>
      </w:pPr>
      <w:r>
        <w:rPr>
          <w:lang w:val="en-US"/>
        </w:rPr>
        <w:t>23.</w:t>
      </w:r>
      <w:r>
        <w:rPr>
          <w:lang w:val="en-US"/>
        </w:rPr>
        <w:tab/>
      </w:r>
      <w:r w:rsidR="004755FA">
        <w:rPr>
          <w:lang w:val="en-US"/>
        </w:rPr>
        <w:t>In addition to the applicable provisions of the ADR</w:t>
      </w:r>
      <w:r w:rsidR="004755FA" w:rsidRPr="00BB03C9">
        <w:rPr>
          <w:color w:val="0070C0"/>
          <w:lang w:val="en-US"/>
        </w:rPr>
        <w:t>,</w:t>
      </w:r>
      <w:r w:rsidR="004755FA">
        <w:rPr>
          <w:lang w:val="en-US"/>
        </w:rPr>
        <w:t xml:space="preserve"> t</w:t>
      </w:r>
      <w:r w:rsidR="004755FA" w:rsidRPr="00997BE0">
        <w:rPr>
          <w:lang w:val="en-US"/>
        </w:rPr>
        <w:t xml:space="preserve">he European standard EN12195-1:2010 or the IMO/ILO/UNECE CTU Packing Code of Practice for Packing of Cargo Transport Units </w:t>
      </w:r>
      <w:r w:rsidR="004755FA" w:rsidRPr="0087273C">
        <w:rPr>
          <w:lang w:val="en-US"/>
        </w:rPr>
        <w:t>shall</w:t>
      </w:r>
      <w:r w:rsidR="004755FA">
        <w:rPr>
          <w:lang w:val="en-US"/>
        </w:rPr>
        <w:t xml:space="preserve"> </w:t>
      </w:r>
      <w:r w:rsidR="004755FA" w:rsidRPr="00997BE0">
        <w:rPr>
          <w:lang w:val="en-US"/>
        </w:rPr>
        <w:t>be respected /implemented for securing of the cargo.</w:t>
      </w:r>
    </w:p>
    <w:p w:rsidR="004755FA" w:rsidRPr="00964F82" w:rsidRDefault="007932EC" w:rsidP="009D219B">
      <w:pPr>
        <w:pStyle w:val="SingleTxtG"/>
        <w:rPr>
          <w:lang w:val="en-US"/>
        </w:rPr>
      </w:pPr>
      <w:r>
        <w:rPr>
          <w:lang w:val="en-US"/>
        </w:rPr>
        <w:t>24.</w:t>
      </w:r>
      <w:r>
        <w:rPr>
          <w:lang w:val="en-US"/>
        </w:rPr>
        <w:tab/>
      </w:r>
      <w:r w:rsidR="004755FA" w:rsidRPr="00446964">
        <w:rPr>
          <w:lang w:val="en-US"/>
        </w:rPr>
        <w:t xml:space="preserve">The following </w:t>
      </w:r>
      <w:r w:rsidR="004755FA">
        <w:rPr>
          <w:lang w:val="en-US"/>
        </w:rPr>
        <w:t>additional provisions</w:t>
      </w:r>
      <w:r w:rsidR="004755FA" w:rsidRPr="00446964">
        <w:rPr>
          <w:lang w:val="en-US"/>
        </w:rPr>
        <w:t xml:space="preserve"> </w:t>
      </w:r>
      <w:r w:rsidR="004755FA">
        <w:rPr>
          <w:lang w:val="en-US"/>
        </w:rPr>
        <w:t>shall be implemented</w:t>
      </w:r>
      <w:r w:rsidR="004755FA" w:rsidRPr="00446964">
        <w:rPr>
          <w:lang w:val="en-US"/>
        </w:rPr>
        <w:t xml:space="preserve"> </w:t>
      </w:r>
      <w:r w:rsidR="004755FA">
        <w:rPr>
          <w:lang w:val="en-US"/>
        </w:rPr>
        <w:t>in order to</w:t>
      </w:r>
      <w:r w:rsidR="004755FA" w:rsidRPr="00446964">
        <w:rPr>
          <w:lang w:val="en-US"/>
        </w:rPr>
        <w:t xml:space="preserve"> reduce the physical hazards to which the cargo is exposed</w:t>
      </w:r>
      <w:r w:rsidR="004755FA">
        <w:rPr>
          <w:lang w:val="en-US"/>
        </w:rPr>
        <w:t xml:space="preserve"> during transport and handling</w:t>
      </w:r>
      <w:r w:rsidR="004755FA" w:rsidRPr="00446964">
        <w:rPr>
          <w:lang w:val="en-US"/>
        </w:rPr>
        <w:t>:</w:t>
      </w:r>
    </w:p>
    <w:p w:rsidR="004755FA" w:rsidRPr="009F412F" w:rsidRDefault="004755FA" w:rsidP="007932EC">
      <w:pPr>
        <w:pStyle w:val="Bullet1G"/>
        <w:rPr>
          <w:lang w:val="en-US"/>
        </w:rPr>
      </w:pPr>
      <w:r>
        <w:rPr>
          <w:lang w:val="en-US"/>
        </w:rPr>
        <w:lastRenderedPageBreak/>
        <w:t>Transport shall be done in closed cargo transport units (CTU).</w:t>
      </w:r>
      <w:r w:rsidRPr="009F412F">
        <w:rPr>
          <w:lang w:val="en-US"/>
        </w:rPr>
        <w:t xml:space="preserve"> </w:t>
      </w:r>
      <w:r>
        <w:rPr>
          <w:lang w:val="en-US"/>
        </w:rPr>
        <w:t xml:space="preserve">Alternatively, </w:t>
      </w:r>
      <w:r w:rsidRPr="00583958">
        <w:rPr>
          <w:lang w:val="en-US"/>
        </w:rPr>
        <w:t>sheeted vehicles</w:t>
      </w:r>
      <w:r>
        <w:rPr>
          <w:lang w:val="en-US"/>
        </w:rPr>
        <w:t xml:space="preserve"> (SV)</w:t>
      </w:r>
      <w:r w:rsidRPr="00583958">
        <w:rPr>
          <w:lang w:val="en-US"/>
        </w:rPr>
        <w:t xml:space="preserve"> </w:t>
      </w:r>
      <w:r>
        <w:rPr>
          <w:lang w:val="en-US"/>
        </w:rPr>
        <w:t>are allowed for road transport. T</w:t>
      </w:r>
      <w:r w:rsidRPr="00583958">
        <w:rPr>
          <w:lang w:val="en-US"/>
        </w:rPr>
        <w:t>he sheet shall be of an impermeable and non-combustible material.</w:t>
      </w:r>
      <w:r w:rsidRPr="009F412F">
        <w:rPr>
          <w:lang w:val="en-US"/>
        </w:rPr>
        <w:t xml:space="preserve"> </w:t>
      </w:r>
    </w:p>
    <w:p w:rsidR="004755FA" w:rsidRPr="009F412F" w:rsidRDefault="004755FA" w:rsidP="007932EC">
      <w:pPr>
        <w:pStyle w:val="Bullet1G"/>
        <w:rPr>
          <w:color w:val="0070C0"/>
          <w:lang w:val="en-US"/>
        </w:rPr>
      </w:pPr>
      <w:r>
        <w:rPr>
          <w:lang w:val="en-US"/>
        </w:rPr>
        <w:t xml:space="preserve">No other goods of any kind, dangerous or non-dangerous, shall be transported with refined cobalt </w:t>
      </w:r>
      <w:proofErr w:type="spellStart"/>
      <w:r>
        <w:rPr>
          <w:lang w:val="en-US"/>
        </w:rPr>
        <w:t>dihydroxide</w:t>
      </w:r>
      <w:proofErr w:type="spellEnd"/>
      <w:r>
        <w:rPr>
          <w:lang w:val="en-US"/>
        </w:rPr>
        <w:t xml:space="preserve"> meeting the criteria for PG I for inhalation toxicity in </w:t>
      </w:r>
      <w:proofErr w:type="spellStart"/>
      <w:r>
        <w:rPr>
          <w:lang w:val="en-US"/>
        </w:rPr>
        <w:t>fIBCs</w:t>
      </w:r>
      <w:proofErr w:type="spellEnd"/>
      <w:r>
        <w:rPr>
          <w:lang w:val="en-US"/>
        </w:rPr>
        <w:t xml:space="preserve"> in the same CTU or SV at the same time.</w:t>
      </w:r>
    </w:p>
    <w:p w:rsidR="004755FA" w:rsidRPr="00404B41" w:rsidRDefault="004755FA" w:rsidP="007932EC">
      <w:pPr>
        <w:pStyle w:val="Bullet1G"/>
        <w:rPr>
          <w:iCs/>
          <w:lang w:val="en-US"/>
        </w:rPr>
      </w:pPr>
      <w:r w:rsidRPr="00404B41">
        <w:rPr>
          <w:lang w:val="en-US"/>
        </w:rPr>
        <w:t xml:space="preserve">Before loading, an interior and exterior inspection of the CTU or SV shall be performed by the consignor. During these inspections, special attention shall be given that: </w:t>
      </w:r>
    </w:p>
    <w:p w:rsidR="004755FA" w:rsidRPr="00EF54E5" w:rsidRDefault="00822877" w:rsidP="00822877">
      <w:pPr>
        <w:pStyle w:val="Bullet2G"/>
        <w:numPr>
          <w:ilvl w:val="0"/>
          <w:numId w:val="0"/>
        </w:numPr>
        <w:ind w:left="2835" w:hanging="567"/>
        <w:rPr>
          <w:i/>
          <w:iCs/>
          <w:lang w:val="en-US"/>
        </w:rPr>
      </w:pPr>
      <w:r>
        <w:rPr>
          <w:lang w:val="en-US"/>
        </w:rPr>
        <w:t>-</w:t>
      </w:r>
      <w:r>
        <w:rPr>
          <w:lang w:val="en-US"/>
        </w:rPr>
        <w:tab/>
      </w:r>
      <w:r w:rsidR="007932EC">
        <w:rPr>
          <w:lang w:val="en-US"/>
        </w:rPr>
        <w:t>T</w:t>
      </w:r>
      <w:r w:rsidR="004755FA" w:rsidRPr="00EF54E5">
        <w:rPr>
          <w:lang w:val="en-US"/>
        </w:rPr>
        <w:t xml:space="preserve">he CTU </w:t>
      </w:r>
      <w:r w:rsidR="004755FA">
        <w:rPr>
          <w:lang w:val="en-US"/>
        </w:rPr>
        <w:t xml:space="preserve">or SV </w:t>
      </w:r>
      <w:r w:rsidR="004755FA" w:rsidRPr="00EF54E5">
        <w:rPr>
          <w:lang w:val="en-US"/>
        </w:rPr>
        <w:t>is free from major damage, with no broken flooring or protrusions such as nails, bolts, special fittings etc. which could cause injury to persons or damage to the cargo</w:t>
      </w:r>
      <w:r>
        <w:rPr>
          <w:lang w:val="en-US"/>
        </w:rPr>
        <w:t>;</w:t>
      </w:r>
    </w:p>
    <w:p w:rsidR="004755FA" w:rsidRDefault="00822877" w:rsidP="00822877">
      <w:pPr>
        <w:pStyle w:val="Bullet2G"/>
        <w:numPr>
          <w:ilvl w:val="0"/>
          <w:numId w:val="0"/>
        </w:numPr>
        <w:ind w:left="2835" w:hanging="567"/>
        <w:rPr>
          <w:i/>
          <w:iCs/>
          <w:lang w:val="en-US"/>
        </w:rPr>
      </w:pPr>
      <w:r>
        <w:rPr>
          <w:lang w:val="en-US"/>
        </w:rPr>
        <w:t>-</w:t>
      </w:r>
      <w:r>
        <w:rPr>
          <w:lang w:val="en-US"/>
        </w:rPr>
        <w:tab/>
      </w:r>
      <w:r w:rsidR="004755FA" w:rsidRPr="00EF54E5">
        <w:rPr>
          <w:lang w:val="en-US"/>
        </w:rPr>
        <w:t>The interior and exterior of a CTU</w:t>
      </w:r>
      <w:r w:rsidR="004755FA">
        <w:rPr>
          <w:lang w:val="en-US"/>
        </w:rPr>
        <w:t xml:space="preserve"> or SV</w:t>
      </w:r>
      <w:r w:rsidR="004755FA" w:rsidRPr="00EF54E5">
        <w:rPr>
          <w:lang w:val="en-US"/>
        </w:rPr>
        <w:t xml:space="preserve"> shall be inspected prior to loading to ensure that there is no damage that could affect its integrity or that of the packages to be loaded in it.</w:t>
      </w:r>
    </w:p>
    <w:p w:rsidR="004755FA" w:rsidRDefault="004755FA" w:rsidP="007932EC">
      <w:pPr>
        <w:pStyle w:val="Bullet1G"/>
        <w:rPr>
          <w:lang w:val="en-US"/>
        </w:rPr>
      </w:pPr>
      <w:r>
        <w:rPr>
          <w:lang w:val="en-US"/>
        </w:rPr>
        <w:t xml:space="preserve">The cargo shall be loaded onto a full plastic load board. Alternatively, wooden pallets may be used but the </w:t>
      </w:r>
      <w:proofErr w:type="spellStart"/>
      <w:r>
        <w:rPr>
          <w:lang w:val="en-US"/>
        </w:rPr>
        <w:t>fIBC</w:t>
      </w:r>
      <w:proofErr w:type="spellEnd"/>
      <w:r>
        <w:rPr>
          <w:lang w:val="en-US"/>
        </w:rPr>
        <w:t xml:space="preserve"> shall be protected from direct contact with the timber from the pallets by means of a slip sheet or equivalent. </w:t>
      </w:r>
    </w:p>
    <w:p w:rsidR="004755FA" w:rsidRPr="00730BFC" w:rsidRDefault="004755FA" w:rsidP="007932EC">
      <w:pPr>
        <w:pStyle w:val="Bullet1G"/>
        <w:rPr>
          <w:lang w:val="en-US"/>
        </w:rPr>
      </w:pPr>
      <w:bookmarkStart w:id="0" w:name="_Hlk16580391"/>
      <w:r>
        <w:rPr>
          <w:lang w:val="en-US"/>
        </w:rPr>
        <w:t xml:space="preserve">The palletized load shall be sufficiently secured by means of either shrink-wrapping or stretch-wrapping of </w:t>
      </w:r>
      <w:proofErr w:type="gramStart"/>
      <w:r>
        <w:rPr>
          <w:lang w:val="en-US"/>
        </w:rPr>
        <w:t>sufficient</w:t>
      </w:r>
      <w:proofErr w:type="gramEnd"/>
      <w:r>
        <w:rPr>
          <w:lang w:val="en-US"/>
        </w:rPr>
        <w:t xml:space="preserve"> strength.</w:t>
      </w:r>
    </w:p>
    <w:bookmarkEnd w:id="0"/>
    <w:p w:rsidR="004755FA" w:rsidRPr="00BB03C9" w:rsidRDefault="004755FA" w:rsidP="007932EC">
      <w:pPr>
        <w:pStyle w:val="Bullet1G"/>
        <w:rPr>
          <w:lang w:val="en-US"/>
        </w:rPr>
      </w:pPr>
      <w:r>
        <w:rPr>
          <w:lang w:val="en-US"/>
        </w:rPr>
        <w:t xml:space="preserve">The unit loads shall be tightly stowed </w:t>
      </w:r>
      <w:r w:rsidRPr="0087273C">
        <w:rPr>
          <w:lang w:val="en-US"/>
        </w:rPr>
        <w:t>so that void space</w:t>
      </w:r>
      <w:r>
        <w:rPr>
          <w:lang w:val="en-US"/>
        </w:rPr>
        <w:t>s are reduced to a minimum.</w:t>
      </w:r>
      <w:r w:rsidRPr="00323DA2">
        <w:rPr>
          <w:lang w:val="en-US"/>
        </w:rPr>
        <w:t xml:space="preserve"> </w:t>
      </w:r>
      <w:r>
        <w:rPr>
          <w:lang w:val="en-US"/>
        </w:rPr>
        <w:t>In case of a full container load, any void spaces shall be filled by means of dunnage bags to avoid any shifting of the cargo.</w:t>
      </w:r>
    </w:p>
    <w:p w:rsidR="004755FA" w:rsidRDefault="004755FA" w:rsidP="007932EC">
      <w:pPr>
        <w:pStyle w:val="Bullet1G"/>
        <w:rPr>
          <w:lang w:val="en-US"/>
        </w:rPr>
      </w:pPr>
      <w:r>
        <w:rPr>
          <w:lang w:val="en-US"/>
        </w:rPr>
        <w:t xml:space="preserve">The unit loads shall be adequately protected from any direct contact with other securing materials that might harm the unit load during transport.  By example the unit loads shall be protected from any transverse battens, intended to restrain the cargo in front of the door, by means of cardboard or plywood of </w:t>
      </w:r>
      <w:proofErr w:type="gramStart"/>
      <w:r>
        <w:rPr>
          <w:lang w:val="en-US"/>
        </w:rPr>
        <w:t>sufficient</w:t>
      </w:r>
      <w:proofErr w:type="gramEnd"/>
      <w:r>
        <w:rPr>
          <w:lang w:val="en-US"/>
        </w:rPr>
        <w:t xml:space="preserve"> strength.</w:t>
      </w:r>
    </w:p>
    <w:p w:rsidR="004755FA" w:rsidRDefault="004755FA" w:rsidP="007932EC">
      <w:pPr>
        <w:pStyle w:val="Bullet1G"/>
        <w:rPr>
          <w:lang w:val="en-US"/>
        </w:rPr>
      </w:pPr>
      <w:r>
        <w:rPr>
          <w:lang w:val="en-US"/>
        </w:rPr>
        <w:t xml:space="preserve">The use of nails, for example used for scantlings or timber battens, shall be reduced to an absolute minimum. </w:t>
      </w:r>
      <w:r w:rsidRPr="00895909">
        <w:rPr>
          <w:lang w:val="en-US"/>
        </w:rPr>
        <w:t>Any</w:t>
      </w:r>
      <w:r>
        <w:rPr>
          <w:lang w:val="en-US"/>
        </w:rPr>
        <w:t xml:space="preserve"> direct contact with the unit load shall be avoided.</w:t>
      </w:r>
    </w:p>
    <w:p w:rsidR="004755FA" w:rsidRDefault="004755FA" w:rsidP="007932EC">
      <w:pPr>
        <w:pStyle w:val="Bullet1G"/>
        <w:rPr>
          <w:lang w:val="en-US"/>
        </w:rPr>
      </w:pPr>
      <w:r w:rsidRPr="00D63666">
        <w:rPr>
          <w:lang w:val="en-US"/>
        </w:rPr>
        <w:t>If</w:t>
      </w:r>
      <w:r>
        <w:rPr>
          <w:lang w:val="en-US"/>
        </w:rPr>
        <w:t xml:space="preserve"> lashings are used for securing the cargo, it shall be observed that no unit loads are overstressed or are at risk of being damaged during transport.</w:t>
      </w:r>
    </w:p>
    <w:p w:rsidR="004755FA" w:rsidRPr="001A5D4A" w:rsidRDefault="007932EC" w:rsidP="009D219B">
      <w:pPr>
        <w:pStyle w:val="SingleTxtG"/>
        <w:rPr>
          <w:i/>
          <w:iCs/>
          <w:color w:val="FF0000"/>
          <w:lang w:val="en-US"/>
        </w:rPr>
      </w:pPr>
      <w:r>
        <w:rPr>
          <w:lang w:val="en-US"/>
        </w:rPr>
        <w:t>25.</w:t>
      </w:r>
      <w:r>
        <w:rPr>
          <w:lang w:val="en-US"/>
        </w:rPr>
        <w:tab/>
      </w:r>
      <w:r w:rsidR="004755FA" w:rsidRPr="001A5D4A">
        <w:rPr>
          <w:lang w:val="en-US"/>
        </w:rPr>
        <w:t>Before and during loading, the packages containing the cargo shall be inspected</w:t>
      </w:r>
      <w:r w:rsidR="004755FA">
        <w:rPr>
          <w:lang w:val="en-US"/>
        </w:rPr>
        <w:t>. Any packages found to be damaged, leaking or sifting shall not be packed into a CTU or SV.</w:t>
      </w:r>
    </w:p>
    <w:p w:rsidR="004755FA" w:rsidRDefault="007932EC" w:rsidP="009D219B">
      <w:pPr>
        <w:pStyle w:val="SingleTxtG"/>
        <w:rPr>
          <w:lang w:val="en-US"/>
        </w:rPr>
      </w:pPr>
      <w:r>
        <w:rPr>
          <w:lang w:val="en-US"/>
        </w:rPr>
        <w:t>26.</w:t>
      </w:r>
      <w:r>
        <w:rPr>
          <w:lang w:val="en-US"/>
        </w:rPr>
        <w:tab/>
      </w:r>
      <w:r w:rsidR="004755FA" w:rsidRPr="001A5D4A">
        <w:rPr>
          <w:lang w:val="en-US"/>
        </w:rPr>
        <w:t xml:space="preserve">Particular attention shall be </w:t>
      </w:r>
      <w:r w:rsidR="004755FA">
        <w:rPr>
          <w:lang w:val="en-US"/>
        </w:rPr>
        <w:t>given</w:t>
      </w:r>
      <w:r w:rsidR="004755FA" w:rsidRPr="001A5D4A">
        <w:rPr>
          <w:lang w:val="en-US"/>
        </w:rPr>
        <w:t xml:space="preserve"> to the handling of packages during their preparation for transport</w:t>
      </w:r>
      <w:r w:rsidR="004755FA">
        <w:rPr>
          <w:lang w:val="en-US"/>
        </w:rPr>
        <w:t xml:space="preserve">. The </w:t>
      </w:r>
      <w:r w:rsidR="004755FA" w:rsidRPr="001A5D4A">
        <w:rPr>
          <w:lang w:val="en-US"/>
        </w:rPr>
        <w:t xml:space="preserve">method of loading </w:t>
      </w:r>
      <w:r w:rsidR="004755FA">
        <w:rPr>
          <w:lang w:val="en-US"/>
        </w:rPr>
        <w:t xml:space="preserve">shall be such that </w:t>
      </w:r>
      <w:r w:rsidR="004755FA" w:rsidRPr="001A5D4A">
        <w:rPr>
          <w:lang w:val="en-US"/>
        </w:rPr>
        <w:t xml:space="preserve">accidental damage is not caused through </w:t>
      </w:r>
      <w:r w:rsidR="004755FA" w:rsidRPr="00D63666">
        <w:rPr>
          <w:lang w:val="en-US"/>
        </w:rPr>
        <w:t>dragging or</w:t>
      </w:r>
      <w:r w:rsidR="004755FA" w:rsidRPr="001A5D4A">
        <w:rPr>
          <w:lang w:val="en-US"/>
        </w:rPr>
        <w:t xml:space="preserve"> mishandling.</w:t>
      </w:r>
    </w:p>
    <w:p w:rsidR="004755FA" w:rsidRPr="00583F77" w:rsidRDefault="007932EC" w:rsidP="009D219B">
      <w:pPr>
        <w:pStyle w:val="SingleTxtG"/>
        <w:rPr>
          <w:lang w:val="en-US"/>
        </w:rPr>
      </w:pPr>
      <w:r>
        <w:rPr>
          <w:lang w:val="en-US"/>
        </w:rPr>
        <w:t>27.</w:t>
      </w:r>
      <w:r>
        <w:rPr>
          <w:lang w:val="en-US"/>
        </w:rPr>
        <w:tab/>
      </w:r>
      <w:r w:rsidR="004755FA">
        <w:rPr>
          <w:lang w:val="en-US"/>
        </w:rPr>
        <w:t xml:space="preserve">Depending on the level of refinement and the </w:t>
      </w:r>
      <w:r w:rsidR="004755FA" w:rsidRPr="006749FC">
        <w:rPr>
          <w:lang w:val="en-US"/>
        </w:rPr>
        <w:t>particle size</w:t>
      </w:r>
      <w:r w:rsidR="004755FA">
        <w:rPr>
          <w:lang w:val="en-US"/>
        </w:rPr>
        <w:t xml:space="preserve">, refined cobalt </w:t>
      </w:r>
      <w:proofErr w:type="spellStart"/>
      <w:r w:rsidR="004755FA">
        <w:rPr>
          <w:lang w:val="en-US"/>
        </w:rPr>
        <w:t>dihydroxide</w:t>
      </w:r>
      <w:proofErr w:type="spellEnd"/>
      <w:r w:rsidR="004755FA">
        <w:rPr>
          <w:lang w:val="en-US"/>
        </w:rPr>
        <w:t xml:space="preserve"> may contain very fine particles. As a result</w:t>
      </w:r>
      <w:r w:rsidR="004755FA" w:rsidRPr="00583F77">
        <w:rPr>
          <w:lang w:val="en-US"/>
        </w:rPr>
        <w:t xml:space="preserve"> </w:t>
      </w:r>
      <w:r w:rsidR="004755FA">
        <w:rPr>
          <w:lang w:val="en-US"/>
        </w:rPr>
        <w:t xml:space="preserve">of its natural flow </w:t>
      </w:r>
      <w:r w:rsidR="004755FA" w:rsidRPr="00583F77">
        <w:rPr>
          <w:lang w:val="en-US"/>
        </w:rPr>
        <w:t>a</w:t>
      </w:r>
      <w:r w:rsidR="004755FA">
        <w:rPr>
          <w:lang w:val="en-US"/>
        </w:rPr>
        <w:t>nd the settling of the product a significant</w:t>
      </w:r>
      <w:r w:rsidR="004755FA" w:rsidRPr="00583F77">
        <w:rPr>
          <w:lang w:val="en-US"/>
        </w:rPr>
        <w:t xml:space="preserve"> reduction of the</w:t>
      </w:r>
      <w:r w:rsidR="004755FA">
        <w:rPr>
          <w:lang w:val="en-US"/>
        </w:rPr>
        <w:t xml:space="preserve"> volume</w:t>
      </w:r>
      <w:r w:rsidR="004755FA" w:rsidRPr="00583F77">
        <w:rPr>
          <w:lang w:val="en-US"/>
        </w:rPr>
        <w:t xml:space="preserve"> </w:t>
      </w:r>
      <w:r w:rsidR="004755FA">
        <w:rPr>
          <w:lang w:val="en-US"/>
        </w:rPr>
        <w:t xml:space="preserve">is observed after </w:t>
      </w:r>
      <w:r w:rsidR="004755FA" w:rsidRPr="00583F77">
        <w:rPr>
          <w:lang w:val="en-US"/>
        </w:rPr>
        <w:t xml:space="preserve">filling of the </w:t>
      </w:r>
      <w:proofErr w:type="spellStart"/>
      <w:r w:rsidR="004755FA" w:rsidRPr="00583F77">
        <w:rPr>
          <w:lang w:val="en-US"/>
        </w:rPr>
        <w:t>fIBC</w:t>
      </w:r>
      <w:proofErr w:type="spellEnd"/>
      <w:r w:rsidR="004755FA">
        <w:rPr>
          <w:lang w:val="en-US"/>
        </w:rPr>
        <w:t>.</w:t>
      </w:r>
      <w:r w:rsidR="004755FA" w:rsidRPr="00846F48">
        <w:rPr>
          <w:color w:val="FF0000"/>
          <w:lang w:val="en-US"/>
        </w:rPr>
        <w:t xml:space="preserve"> </w:t>
      </w:r>
      <w:r w:rsidR="004755FA" w:rsidRPr="00583F77">
        <w:rPr>
          <w:lang w:val="en-US"/>
        </w:rPr>
        <w:t xml:space="preserve">For this </w:t>
      </w:r>
      <w:proofErr w:type="gramStart"/>
      <w:r w:rsidR="004755FA" w:rsidRPr="00583F77">
        <w:rPr>
          <w:lang w:val="en-US"/>
        </w:rPr>
        <w:t>reason</w:t>
      </w:r>
      <w:proofErr w:type="gramEnd"/>
      <w:r w:rsidR="004755FA" w:rsidRPr="00583F77">
        <w:rPr>
          <w:lang w:val="en-US"/>
        </w:rPr>
        <w:t xml:space="preserve"> the following requirements shall be taken into account:</w:t>
      </w:r>
    </w:p>
    <w:p w:rsidR="004755FA" w:rsidRDefault="004755FA" w:rsidP="007932EC">
      <w:pPr>
        <w:pStyle w:val="Bullet1G"/>
        <w:rPr>
          <w:lang w:val="en-US"/>
        </w:rPr>
      </w:pPr>
      <w:r>
        <w:rPr>
          <w:lang w:val="en-US"/>
        </w:rPr>
        <w:t>No stacking of unit loads within the CTU or SV is allowed under any circumstances. In compliance with 6.5.2.2.2 of the ADR</w:t>
      </w:r>
      <w:r w:rsidR="00822877">
        <w:rPr>
          <w:lang w:val="en-US"/>
        </w:rPr>
        <w:t>,</w:t>
      </w:r>
      <w:r>
        <w:rPr>
          <w:lang w:val="en-US"/>
        </w:rPr>
        <w:t xml:space="preserve"> every </w:t>
      </w:r>
      <w:proofErr w:type="spellStart"/>
      <w:r>
        <w:rPr>
          <w:lang w:val="en-US"/>
        </w:rPr>
        <w:t>fIBC</w:t>
      </w:r>
      <w:proofErr w:type="spellEnd"/>
      <w:r>
        <w:rPr>
          <w:lang w:val="en-US"/>
        </w:rPr>
        <w:t xml:space="preserve"> shall accordingly be marked with the symbol for ‘IBCs NOT capable of being stacked’.   </w:t>
      </w:r>
    </w:p>
    <w:p w:rsidR="004755FA" w:rsidRPr="00846F48" w:rsidRDefault="004755FA" w:rsidP="007932EC">
      <w:pPr>
        <w:pStyle w:val="Bullet1G"/>
        <w:rPr>
          <w:lang w:val="en-US"/>
        </w:rPr>
      </w:pPr>
      <w:r>
        <w:rPr>
          <w:lang w:val="en-US"/>
        </w:rPr>
        <w:t>In order to avoid inadequate securing, t</w:t>
      </w:r>
      <w:r w:rsidRPr="00846F48">
        <w:rPr>
          <w:lang w:val="en-US"/>
        </w:rPr>
        <w:t xml:space="preserve">he cargo shall only be palletized, shrink-or stretch wrapped, loaded and secured in the CTU </w:t>
      </w:r>
      <w:r>
        <w:rPr>
          <w:lang w:val="en-US"/>
        </w:rPr>
        <w:t>or SV with</w:t>
      </w:r>
      <w:r w:rsidRPr="00846F48">
        <w:rPr>
          <w:lang w:val="en-US"/>
        </w:rPr>
        <w:t xml:space="preserve"> a delay</w:t>
      </w:r>
      <w:r>
        <w:rPr>
          <w:lang w:val="en-US"/>
        </w:rPr>
        <w:t xml:space="preserve"> after</w:t>
      </w:r>
      <w:r w:rsidRPr="00846F48">
        <w:rPr>
          <w:lang w:val="en-US"/>
        </w:rPr>
        <w:t xml:space="preserve"> filling, allowing the product to sufficiently ‘</w:t>
      </w:r>
      <w:r w:rsidRPr="006749FC">
        <w:rPr>
          <w:lang w:val="en-US"/>
        </w:rPr>
        <w:t>settle</w:t>
      </w:r>
      <w:r w:rsidRPr="00846F48">
        <w:rPr>
          <w:lang w:val="en-US"/>
        </w:rPr>
        <w:t>’ and the reduction in volume to take place.</w:t>
      </w:r>
      <w:r>
        <w:rPr>
          <w:lang w:val="en-US"/>
        </w:rPr>
        <w:t xml:space="preserve"> It is up to the manufacturer</w:t>
      </w:r>
      <w:r w:rsidRPr="00D63666">
        <w:rPr>
          <w:lang w:val="en-US"/>
        </w:rPr>
        <w:t>/consignor</w:t>
      </w:r>
      <w:r>
        <w:rPr>
          <w:lang w:val="en-US"/>
        </w:rPr>
        <w:t xml:space="preserve"> to determine this delay, </w:t>
      </w:r>
      <w:proofErr w:type="gramStart"/>
      <w:r>
        <w:rPr>
          <w:lang w:val="en-US"/>
        </w:rPr>
        <w:t>taking into account</w:t>
      </w:r>
      <w:proofErr w:type="gramEnd"/>
      <w:r>
        <w:rPr>
          <w:lang w:val="en-US"/>
        </w:rPr>
        <w:t xml:space="preserve"> the unique physical properties of the refined cobalt </w:t>
      </w:r>
      <w:proofErr w:type="spellStart"/>
      <w:r>
        <w:rPr>
          <w:lang w:val="en-US"/>
        </w:rPr>
        <w:t>dihydroxide</w:t>
      </w:r>
      <w:proofErr w:type="spellEnd"/>
      <w:r>
        <w:rPr>
          <w:lang w:val="en-US"/>
        </w:rPr>
        <w:t>.</w:t>
      </w:r>
    </w:p>
    <w:p w:rsidR="004755FA" w:rsidRDefault="007932EC" w:rsidP="009D219B">
      <w:pPr>
        <w:pStyle w:val="SingleTxtG"/>
        <w:rPr>
          <w:lang w:val="en-US"/>
        </w:rPr>
      </w:pPr>
      <w:r>
        <w:rPr>
          <w:lang w:val="en-US"/>
        </w:rPr>
        <w:t>28.</w:t>
      </w:r>
      <w:r>
        <w:rPr>
          <w:lang w:val="en-US"/>
        </w:rPr>
        <w:tab/>
      </w:r>
      <w:r w:rsidR="004755FA" w:rsidRPr="00243CED">
        <w:rPr>
          <w:lang w:val="en-US"/>
        </w:rPr>
        <w:t>The</w:t>
      </w:r>
      <w:r w:rsidR="004755FA">
        <w:rPr>
          <w:lang w:val="en-US"/>
        </w:rPr>
        <w:t xml:space="preserve"> consignor shall, in addition to any other relevant and obligatory information concerning the consignment, inform any other parties involved in transport and the supply chain of the consignment that:</w:t>
      </w:r>
    </w:p>
    <w:p w:rsidR="004755FA" w:rsidRDefault="004755FA" w:rsidP="007932EC">
      <w:pPr>
        <w:pStyle w:val="Bullet1G"/>
        <w:rPr>
          <w:lang w:val="en-US"/>
        </w:rPr>
      </w:pPr>
      <w:r>
        <w:rPr>
          <w:lang w:val="en-US"/>
        </w:rPr>
        <w:t>The cargo is toxic by inhalation</w:t>
      </w:r>
    </w:p>
    <w:p w:rsidR="004755FA" w:rsidRDefault="004755FA" w:rsidP="007932EC">
      <w:pPr>
        <w:pStyle w:val="Bullet1G"/>
        <w:rPr>
          <w:lang w:val="en-US"/>
        </w:rPr>
      </w:pPr>
      <w:r w:rsidRPr="00E14390">
        <w:rPr>
          <w:lang w:val="en-US"/>
        </w:rPr>
        <w:lastRenderedPageBreak/>
        <w:t>Before opening the doors of the CTU</w:t>
      </w:r>
      <w:r>
        <w:rPr>
          <w:lang w:val="en-US"/>
        </w:rPr>
        <w:t xml:space="preserve"> or SV</w:t>
      </w:r>
      <w:r w:rsidRPr="00E14390">
        <w:rPr>
          <w:lang w:val="en-US"/>
        </w:rPr>
        <w:t>, the nature of the contents and the possibility that leakages may have caused an unsafe condition</w:t>
      </w:r>
      <w:r>
        <w:rPr>
          <w:lang w:val="en-US"/>
        </w:rPr>
        <w:t xml:space="preserve"> and toxic environment</w:t>
      </w:r>
      <w:r w:rsidRPr="00E14390">
        <w:rPr>
          <w:lang w:val="en-US"/>
        </w:rPr>
        <w:t>,</w:t>
      </w:r>
      <w:r>
        <w:rPr>
          <w:lang w:val="en-US"/>
        </w:rPr>
        <w:t xml:space="preserve"> </w:t>
      </w:r>
      <w:r w:rsidRPr="00E14390">
        <w:rPr>
          <w:lang w:val="en-US"/>
        </w:rPr>
        <w:t>shall be considered.</w:t>
      </w:r>
    </w:p>
    <w:p w:rsidR="004755FA" w:rsidRDefault="004755FA" w:rsidP="007932EC">
      <w:pPr>
        <w:pStyle w:val="Bullet1G"/>
        <w:rPr>
          <w:lang w:val="en-US"/>
        </w:rPr>
      </w:pPr>
      <w:r>
        <w:rPr>
          <w:lang w:val="en-US"/>
        </w:rPr>
        <w:t xml:space="preserve">Suitable personal protective clothing shall be worn when opening the CTU or SV. </w:t>
      </w:r>
    </w:p>
    <w:p w:rsidR="004755FA" w:rsidRPr="00172AF9" w:rsidRDefault="004755FA" w:rsidP="007932EC">
      <w:pPr>
        <w:pStyle w:val="Bullet1G"/>
        <w:rPr>
          <w:lang w:val="en-US"/>
        </w:rPr>
      </w:pPr>
      <w:r>
        <w:rPr>
          <w:lang w:val="en-US"/>
        </w:rPr>
        <w:t xml:space="preserve">After opening and before commencing unloading, the cargo shall be inspected for leakage or damage. </w:t>
      </w:r>
    </w:p>
    <w:p w:rsidR="004755FA" w:rsidRDefault="004755FA" w:rsidP="007932EC">
      <w:pPr>
        <w:pStyle w:val="Bullet1G"/>
        <w:rPr>
          <w:lang w:val="en-US"/>
        </w:rPr>
      </w:pPr>
      <w:r w:rsidRPr="00906CC3">
        <w:rPr>
          <w:lang w:val="en-US"/>
        </w:rPr>
        <w:t>After unloading</w:t>
      </w:r>
      <w:r>
        <w:rPr>
          <w:lang w:val="en-US"/>
        </w:rPr>
        <w:t xml:space="preserve"> it shall be</w:t>
      </w:r>
      <w:r w:rsidRPr="00906CC3">
        <w:rPr>
          <w:lang w:val="en-US"/>
        </w:rPr>
        <w:t xml:space="preserve"> ensure</w:t>
      </w:r>
      <w:r>
        <w:rPr>
          <w:lang w:val="en-US"/>
        </w:rPr>
        <w:t>d</w:t>
      </w:r>
      <w:r w:rsidRPr="00906CC3">
        <w:rPr>
          <w:lang w:val="en-US"/>
        </w:rPr>
        <w:t xml:space="preserve"> that there is no contamination </w:t>
      </w:r>
      <w:r>
        <w:rPr>
          <w:lang w:val="en-US"/>
        </w:rPr>
        <w:t>of the CTU or SV.</w:t>
      </w:r>
    </w:p>
    <w:p w:rsidR="007932EC" w:rsidRDefault="007932EC">
      <w:pPr>
        <w:spacing w:after="0"/>
        <w:rPr>
          <w:lang w:val="en-US"/>
        </w:rPr>
      </w:pPr>
      <w:r>
        <w:rPr>
          <w:lang w:val="en-US"/>
        </w:rPr>
        <w:br w:type="page"/>
      </w:r>
    </w:p>
    <w:p w:rsidR="00C03A88" w:rsidRDefault="009D219B" w:rsidP="009D219B">
      <w:pPr>
        <w:pStyle w:val="HChG"/>
        <w:rPr>
          <w:b w:val="0"/>
          <w:lang w:val="en-US"/>
        </w:rPr>
      </w:pPr>
      <w:r>
        <w:rPr>
          <w:lang w:val="en-US"/>
        </w:rPr>
        <w:lastRenderedPageBreak/>
        <w:tab/>
      </w:r>
      <w:r>
        <w:rPr>
          <w:lang w:val="en-US"/>
        </w:rPr>
        <w:tab/>
      </w:r>
      <w:r w:rsidR="004755FA">
        <w:rPr>
          <w:lang w:val="en-US"/>
        </w:rPr>
        <w:t>Annex</w:t>
      </w:r>
      <w:r w:rsidR="00822877">
        <w:rPr>
          <w:lang w:val="en-US"/>
        </w:rPr>
        <w:t>es</w:t>
      </w:r>
      <w:bookmarkStart w:id="1" w:name="_GoBack"/>
      <w:bookmarkEnd w:id="1"/>
    </w:p>
    <w:p w:rsidR="004755FA" w:rsidRDefault="004755FA" w:rsidP="009D219B">
      <w:pPr>
        <w:pStyle w:val="SingleTxtG"/>
        <w:rPr>
          <w:lang w:val="en-US"/>
        </w:rPr>
      </w:pPr>
      <w:r>
        <w:rPr>
          <w:lang w:val="en-US"/>
        </w:rPr>
        <w:t>Annex 1: Big bag filling and discharge</w:t>
      </w:r>
    </w:p>
    <w:p w:rsidR="004755FA" w:rsidRDefault="004755FA" w:rsidP="009D219B">
      <w:pPr>
        <w:pStyle w:val="SingleTxtG"/>
        <w:rPr>
          <w:lang w:val="en-US"/>
        </w:rPr>
      </w:pPr>
      <w:r>
        <w:rPr>
          <w:lang w:val="en-US"/>
        </w:rPr>
        <w:t xml:space="preserve">Annex 2: Refined </w:t>
      </w:r>
      <w:proofErr w:type="spellStart"/>
      <w:r>
        <w:rPr>
          <w:lang w:val="en-US"/>
        </w:rPr>
        <w:t>Cobaltdihydroxide</w:t>
      </w:r>
      <w:proofErr w:type="spellEnd"/>
      <w:r>
        <w:rPr>
          <w:lang w:val="en-US"/>
        </w:rPr>
        <w:t xml:space="preserve"> particle size information</w:t>
      </w:r>
    </w:p>
    <w:p w:rsidR="004755FA" w:rsidRDefault="004755FA" w:rsidP="009D219B">
      <w:pPr>
        <w:pStyle w:val="SingleTxtG"/>
        <w:rPr>
          <w:lang w:val="en-US"/>
        </w:rPr>
      </w:pPr>
      <w:r>
        <w:rPr>
          <w:lang w:val="en-US"/>
        </w:rPr>
        <w:t xml:space="preserve">Annex 3: Generic draft SDS </w:t>
      </w:r>
      <w:proofErr w:type="spellStart"/>
      <w:r>
        <w:rPr>
          <w:lang w:val="en-US"/>
        </w:rPr>
        <w:t>cobaltdihydroxide</w:t>
      </w:r>
      <w:proofErr w:type="spellEnd"/>
    </w:p>
    <w:p w:rsidR="004755FA" w:rsidRDefault="004755FA" w:rsidP="004755FA">
      <w:pPr>
        <w:ind w:left="360"/>
        <w:rPr>
          <w:lang w:val="en-US"/>
        </w:rPr>
      </w:pPr>
    </w:p>
    <w:p w:rsidR="00C22AB0" w:rsidRDefault="00C22AB0" w:rsidP="004755FA">
      <w:pPr>
        <w:ind w:left="360"/>
      </w:pPr>
      <w:r>
        <w:object w:dxaOrig="1520" w:dyaOrig="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45pt" o:ole="">
            <v:imagedata r:id="rId8" o:title=""/>
          </v:shape>
          <o:OLEObject Type="Embed" ProgID="Acrobat.Document.DC" ShapeID="_x0000_i1025" DrawAspect="Icon" ObjectID="_1629292249" r:id="rId9"/>
        </w:object>
      </w:r>
      <w:r>
        <w:t xml:space="preserve">                              </w:t>
      </w:r>
      <w:r>
        <w:object w:dxaOrig="1520" w:dyaOrig="985">
          <v:shape id="_x0000_i1026" type="#_x0000_t75" style="width:76.3pt;height:49.45pt" o:ole="">
            <v:imagedata r:id="rId10" o:title=""/>
          </v:shape>
          <o:OLEObject Type="Embed" ProgID="Acrobat.Document.DC" ShapeID="_x0000_i1026" DrawAspect="Icon" ObjectID="_1629292250" r:id="rId11"/>
        </w:object>
      </w:r>
      <w:r>
        <w:t xml:space="preserve">                           </w:t>
      </w:r>
      <w:r>
        <w:object w:dxaOrig="1520" w:dyaOrig="985">
          <v:shape id="_x0000_i1027" type="#_x0000_t75" style="width:76.3pt;height:49.45pt" o:ole="">
            <v:imagedata r:id="rId12" o:title=""/>
          </v:shape>
          <o:OLEObject Type="Embed" ProgID="Acrobat.Document.DC" ShapeID="_x0000_i1027" DrawAspect="Icon" ObjectID="_1629292251" r:id="rId13"/>
        </w:object>
      </w:r>
    </w:p>
    <w:p w:rsidR="00C22AB0" w:rsidRPr="007932EC" w:rsidRDefault="007932EC" w:rsidP="007932EC">
      <w:pPr>
        <w:spacing w:before="240" w:after="0" w:line="240" w:lineRule="atLeast"/>
        <w:jc w:val="center"/>
        <w:rPr>
          <w:u w:val="single"/>
        </w:rPr>
      </w:pPr>
      <w:r>
        <w:rPr>
          <w:u w:val="single"/>
        </w:rPr>
        <w:tab/>
      </w:r>
      <w:r>
        <w:rPr>
          <w:u w:val="single"/>
        </w:rPr>
        <w:tab/>
      </w:r>
      <w:r>
        <w:rPr>
          <w:u w:val="single"/>
        </w:rPr>
        <w:tab/>
      </w:r>
    </w:p>
    <w:p w:rsidR="00C22AB0" w:rsidRPr="004755FA" w:rsidRDefault="00C22AB0" w:rsidP="004755FA">
      <w:pPr>
        <w:ind w:left="360"/>
        <w:rPr>
          <w:lang w:val="en-US"/>
        </w:rPr>
      </w:pPr>
    </w:p>
    <w:sectPr w:rsidR="00C22AB0" w:rsidRPr="004755FA" w:rsidSect="004B100E">
      <w:headerReference w:type="even" r:id="rId14"/>
      <w:headerReference w:type="default" r:id="rId15"/>
      <w:footerReference w:type="even" r:id="rId16"/>
      <w:footerReference w:type="default" r:id="rId17"/>
      <w:headerReference w:type="first" r:id="rId18"/>
      <w:endnotePr>
        <w:numFmt w:val="decimal"/>
      </w:endnotePr>
      <w:pgSz w:w="11907" w:h="16840" w:code="9"/>
      <w:pgMar w:top="1418" w:right="1134" w:bottom="1134" w:left="1134" w:header="851"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28CE" w:rsidRDefault="00F028CE"/>
  </w:endnote>
  <w:endnote w:type="continuationSeparator" w:id="0">
    <w:p w:rsidR="00F028CE" w:rsidRDefault="00F028CE"/>
  </w:endnote>
  <w:endnote w:type="continuationNotice" w:id="1">
    <w:p w:rsidR="00F028CE" w:rsidRDefault="00F028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6A1" w:rsidRPr="003B3A7E" w:rsidRDefault="002B16A1" w:rsidP="003B3A7E">
    <w:pPr>
      <w:pStyle w:val="Footer"/>
    </w:pPr>
    <w:r>
      <w:rPr>
        <w:rStyle w:val="PageNumber"/>
      </w:rPr>
      <w:fldChar w:fldCharType="begin"/>
    </w:r>
    <w:r>
      <w:rPr>
        <w:rStyle w:val="PageNumber"/>
      </w:rPr>
      <w:instrText xml:space="preserve"> PAGE </w:instrText>
    </w:r>
    <w:r>
      <w:rPr>
        <w:rStyle w:val="PageNumber"/>
      </w:rPr>
      <w:fldChar w:fldCharType="separate"/>
    </w:r>
    <w:r w:rsidR="00082FAE">
      <w:rPr>
        <w:rStyle w:val="PageNumber"/>
        <w:noProof/>
      </w:rPr>
      <w:t>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6A1" w:rsidRDefault="002B16A1" w:rsidP="003B3A7E">
    <w:pPr>
      <w:pStyle w:val="Footer"/>
      <w:jc w:val="right"/>
    </w:pPr>
    <w:r>
      <w:rPr>
        <w:rStyle w:val="PageNumber"/>
      </w:rPr>
      <w:fldChar w:fldCharType="begin"/>
    </w:r>
    <w:r>
      <w:rPr>
        <w:rStyle w:val="PageNumber"/>
      </w:rPr>
      <w:instrText xml:space="preserve"> PAGE </w:instrText>
    </w:r>
    <w:r>
      <w:rPr>
        <w:rStyle w:val="PageNumber"/>
      </w:rPr>
      <w:fldChar w:fldCharType="separate"/>
    </w:r>
    <w:r w:rsidR="00082FAE">
      <w:rPr>
        <w:rStyle w:val="PageNumber"/>
        <w:noProof/>
      </w:rPr>
      <w:t>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28CE" w:rsidRPr="000B175B" w:rsidRDefault="00F028CE" w:rsidP="000B175B">
      <w:pPr>
        <w:tabs>
          <w:tab w:val="right" w:pos="2155"/>
        </w:tabs>
        <w:spacing w:after="80"/>
        <w:ind w:left="680"/>
        <w:rPr>
          <w:u w:val="single"/>
        </w:rPr>
      </w:pPr>
      <w:r>
        <w:rPr>
          <w:u w:val="single"/>
        </w:rPr>
        <w:tab/>
      </w:r>
    </w:p>
  </w:footnote>
  <w:footnote w:type="continuationSeparator" w:id="0">
    <w:p w:rsidR="00F028CE" w:rsidRPr="00FC68B7" w:rsidRDefault="00F028CE" w:rsidP="00FC68B7">
      <w:pPr>
        <w:tabs>
          <w:tab w:val="left" w:pos="2155"/>
        </w:tabs>
        <w:spacing w:after="80"/>
        <w:ind w:left="680"/>
        <w:rPr>
          <w:u w:val="single"/>
        </w:rPr>
      </w:pPr>
      <w:r>
        <w:rPr>
          <w:u w:val="single"/>
        </w:rPr>
        <w:tab/>
      </w:r>
    </w:p>
  </w:footnote>
  <w:footnote w:type="continuationNotice" w:id="1">
    <w:p w:rsidR="00F028CE" w:rsidRDefault="00F028C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6A1" w:rsidRPr="0009455D" w:rsidRDefault="002B16A1">
    <w:pPr>
      <w:pStyle w:val="Header"/>
      <w:rPr>
        <w:lang w:val="fr-CH"/>
      </w:rPr>
    </w:pPr>
    <w:r>
      <w:rPr>
        <w:lang w:val="fr-CH"/>
      </w:rPr>
      <w:t>INF.</w:t>
    </w:r>
    <w:r w:rsidR="00626709">
      <w:rPr>
        <w:lang w:val="fr-CH"/>
      </w:rPr>
      <w:t>2</w:t>
    </w:r>
    <w:r w:rsidR="00E71DC6">
      <w:rPr>
        <w:lang w:val="fr-CH"/>
      </w:rPr>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3F23" w:rsidRDefault="006C3F23">
    <w:pPr>
      <w:pStyle w:val="Header"/>
    </w:pPr>
    <w:r>
      <w:t>I</w:t>
    </w:r>
    <w:r w:rsidR="00794D74">
      <w:t>NF</w:t>
    </w:r>
    <w:r>
      <w:t>.</w:t>
    </w:r>
    <w:r w:rsidR="007932EC">
      <w:t>2</w:t>
    </w:r>
    <w:r w:rsidR="00E71DC6">
      <w:t>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6A1" w:rsidRPr="00560572" w:rsidRDefault="002B16A1" w:rsidP="00E37495">
    <w:pPr>
      <w:pStyle w:val="Header"/>
      <w:pBdr>
        <w:bottom w:val="single" w:sz="4" w:space="1" w:color="auto"/>
      </w:pBdr>
      <w:jc w:val="right"/>
      <w:rPr>
        <w:sz w:val="28"/>
        <w:szCs w:val="28"/>
      </w:rPr>
    </w:pPr>
    <w:r w:rsidRPr="00560572">
      <w:rPr>
        <w:sz w:val="28"/>
        <w:szCs w:val="28"/>
      </w:rPr>
      <w:t>INF.</w:t>
    </w:r>
    <w:r w:rsidR="00626709">
      <w:rPr>
        <w:sz w:val="28"/>
        <w:szCs w:val="28"/>
      </w:rPr>
      <w:t>2</w:t>
    </w:r>
    <w:r w:rsidR="00E71DC6">
      <w:rPr>
        <w:sz w:val="28"/>
        <w:szCs w:val="28"/>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AFEC36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C49F8"/>
    <w:multiLevelType w:val="hybridMultilevel"/>
    <w:tmpl w:val="FFD08D26"/>
    <w:lvl w:ilvl="0" w:tplc="2FB47626">
      <w:start w:val="1"/>
      <w:numFmt w:val="decimal"/>
      <w:lvlText w:val="%1."/>
      <w:lvlJc w:val="left"/>
      <w:pPr>
        <w:tabs>
          <w:tab w:val="num" w:pos="0"/>
        </w:tabs>
        <w:ind w:left="1134" w:firstLine="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B0A091A"/>
    <w:multiLevelType w:val="hybridMultilevel"/>
    <w:tmpl w:val="7E3C30BE"/>
    <w:lvl w:ilvl="0" w:tplc="AE7C750A">
      <w:numFmt w:val="bullet"/>
      <w:lvlText w:val="-"/>
      <w:lvlJc w:val="left"/>
      <w:pPr>
        <w:ind w:left="360" w:hanging="360"/>
      </w:pPr>
      <w:rPr>
        <w:rFonts w:ascii="Calibri" w:eastAsiaTheme="minorHAnsi" w:hAnsi="Calibri" w:cs="Calibri" w:hint="default"/>
      </w:r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15:restartNumberingAfterBreak="0">
    <w:nsid w:val="1BAC3BC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3" w15:restartNumberingAfterBreak="0">
    <w:nsid w:val="1D211FE1"/>
    <w:multiLevelType w:val="hybridMultilevel"/>
    <w:tmpl w:val="9B185678"/>
    <w:lvl w:ilvl="0" w:tplc="872035EA">
      <w:start w:val="10"/>
      <w:numFmt w:val="decimal"/>
      <w:lvlText w:val="%1."/>
      <w:lvlJc w:val="left"/>
      <w:pPr>
        <w:tabs>
          <w:tab w:val="num" w:pos="1695"/>
        </w:tabs>
        <w:ind w:left="1695" w:hanging="555"/>
      </w:pPr>
      <w:rPr>
        <w:rFonts w:hint="default"/>
      </w:rPr>
    </w:lvl>
    <w:lvl w:ilvl="1" w:tplc="04090019" w:tentative="1">
      <w:start w:val="1"/>
      <w:numFmt w:val="lowerLetter"/>
      <w:lvlText w:val="%2."/>
      <w:lvlJc w:val="left"/>
      <w:pPr>
        <w:tabs>
          <w:tab w:val="num" w:pos="2220"/>
        </w:tabs>
        <w:ind w:left="2220" w:hanging="360"/>
      </w:pPr>
    </w:lvl>
    <w:lvl w:ilvl="2" w:tplc="0409001B" w:tentative="1">
      <w:start w:val="1"/>
      <w:numFmt w:val="lowerRoman"/>
      <w:lvlText w:val="%3."/>
      <w:lvlJc w:val="right"/>
      <w:pPr>
        <w:tabs>
          <w:tab w:val="num" w:pos="2940"/>
        </w:tabs>
        <w:ind w:left="2940" w:hanging="180"/>
      </w:pPr>
    </w:lvl>
    <w:lvl w:ilvl="3" w:tplc="0409000F" w:tentative="1">
      <w:start w:val="1"/>
      <w:numFmt w:val="decimal"/>
      <w:lvlText w:val="%4."/>
      <w:lvlJc w:val="left"/>
      <w:pPr>
        <w:tabs>
          <w:tab w:val="num" w:pos="3660"/>
        </w:tabs>
        <w:ind w:left="3660" w:hanging="360"/>
      </w:pPr>
    </w:lvl>
    <w:lvl w:ilvl="4" w:tplc="04090019" w:tentative="1">
      <w:start w:val="1"/>
      <w:numFmt w:val="lowerLetter"/>
      <w:lvlText w:val="%5."/>
      <w:lvlJc w:val="left"/>
      <w:pPr>
        <w:tabs>
          <w:tab w:val="num" w:pos="4380"/>
        </w:tabs>
        <w:ind w:left="4380" w:hanging="360"/>
      </w:pPr>
    </w:lvl>
    <w:lvl w:ilvl="5" w:tplc="0409001B" w:tentative="1">
      <w:start w:val="1"/>
      <w:numFmt w:val="lowerRoman"/>
      <w:lvlText w:val="%6."/>
      <w:lvlJc w:val="right"/>
      <w:pPr>
        <w:tabs>
          <w:tab w:val="num" w:pos="5100"/>
        </w:tabs>
        <w:ind w:left="5100" w:hanging="180"/>
      </w:pPr>
    </w:lvl>
    <w:lvl w:ilvl="6" w:tplc="0409000F" w:tentative="1">
      <w:start w:val="1"/>
      <w:numFmt w:val="decimal"/>
      <w:lvlText w:val="%7."/>
      <w:lvlJc w:val="left"/>
      <w:pPr>
        <w:tabs>
          <w:tab w:val="num" w:pos="5820"/>
        </w:tabs>
        <w:ind w:left="5820" w:hanging="360"/>
      </w:pPr>
    </w:lvl>
    <w:lvl w:ilvl="7" w:tplc="04090019" w:tentative="1">
      <w:start w:val="1"/>
      <w:numFmt w:val="lowerLetter"/>
      <w:lvlText w:val="%8."/>
      <w:lvlJc w:val="left"/>
      <w:pPr>
        <w:tabs>
          <w:tab w:val="num" w:pos="6540"/>
        </w:tabs>
        <w:ind w:left="6540" w:hanging="360"/>
      </w:pPr>
    </w:lvl>
    <w:lvl w:ilvl="8" w:tplc="0409001B" w:tentative="1">
      <w:start w:val="1"/>
      <w:numFmt w:val="lowerRoman"/>
      <w:lvlText w:val="%9."/>
      <w:lvlJc w:val="right"/>
      <w:pPr>
        <w:tabs>
          <w:tab w:val="num" w:pos="7260"/>
        </w:tabs>
        <w:ind w:left="7260" w:hanging="180"/>
      </w:pPr>
    </w:lvl>
  </w:abstractNum>
  <w:abstractNum w:abstractNumId="14" w15:restartNumberingAfterBreak="0">
    <w:nsid w:val="1DD123F6"/>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1E253887"/>
    <w:multiLevelType w:val="hybridMultilevel"/>
    <w:tmpl w:val="497EC7CC"/>
    <w:lvl w:ilvl="0" w:tplc="FAE4B376">
      <w:start w:val="1"/>
      <w:numFmt w:val="bullet"/>
      <w:lvlText w:val="•"/>
      <w:lvlJc w:val="left"/>
      <w:pPr>
        <w:tabs>
          <w:tab w:val="num" w:pos="2268"/>
        </w:tabs>
        <w:ind w:left="2268" w:hanging="17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A12325"/>
    <w:multiLevelType w:val="hybridMultilevel"/>
    <w:tmpl w:val="FF0E5B48"/>
    <w:lvl w:ilvl="0" w:tplc="6D5E22D8">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516559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356D5EC3"/>
    <w:multiLevelType w:val="multilevel"/>
    <w:tmpl w:val="9B185678"/>
    <w:lvl w:ilvl="0">
      <w:start w:val="10"/>
      <w:numFmt w:val="decimal"/>
      <w:lvlText w:val="%1."/>
      <w:lvlJc w:val="left"/>
      <w:pPr>
        <w:tabs>
          <w:tab w:val="num" w:pos="1695"/>
        </w:tabs>
        <w:ind w:left="1695" w:hanging="555"/>
      </w:pPr>
      <w:rPr>
        <w:rFonts w:hint="default"/>
      </w:rPr>
    </w:lvl>
    <w:lvl w:ilvl="1">
      <w:start w:val="1"/>
      <w:numFmt w:val="lowerLetter"/>
      <w:lvlText w:val="%2."/>
      <w:lvlJc w:val="left"/>
      <w:pPr>
        <w:tabs>
          <w:tab w:val="num" w:pos="2220"/>
        </w:tabs>
        <w:ind w:left="2220" w:hanging="360"/>
      </w:pPr>
    </w:lvl>
    <w:lvl w:ilvl="2">
      <w:start w:val="1"/>
      <w:numFmt w:val="lowerRoman"/>
      <w:lvlText w:val="%3."/>
      <w:lvlJc w:val="right"/>
      <w:pPr>
        <w:tabs>
          <w:tab w:val="num" w:pos="2940"/>
        </w:tabs>
        <w:ind w:left="2940" w:hanging="180"/>
      </w:pPr>
    </w:lvl>
    <w:lvl w:ilvl="3">
      <w:start w:val="1"/>
      <w:numFmt w:val="decimal"/>
      <w:lvlText w:val="%4."/>
      <w:lvlJc w:val="left"/>
      <w:pPr>
        <w:tabs>
          <w:tab w:val="num" w:pos="3660"/>
        </w:tabs>
        <w:ind w:left="3660" w:hanging="360"/>
      </w:pPr>
    </w:lvl>
    <w:lvl w:ilvl="4">
      <w:start w:val="1"/>
      <w:numFmt w:val="lowerLetter"/>
      <w:lvlText w:val="%5."/>
      <w:lvlJc w:val="left"/>
      <w:pPr>
        <w:tabs>
          <w:tab w:val="num" w:pos="4380"/>
        </w:tabs>
        <w:ind w:left="4380" w:hanging="360"/>
      </w:pPr>
    </w:lvl>
    <w:lvl w:ilvl="5">
      <w:start w:val="1"/>
      <w:numFmt w:val="lowerRoman"/>
      <w:lvlText w:val="%6."/>
      <w:lvlJc w:val="right"/>
      <w:pPr>
        <w:tabs>
          <w:tab w:val="num" w:pos="5100"/>
        </w:tabs>
        <w:ind w:left="5100" w:hanging="180"/>
      </w:pPr>
    </w:lvl>
    <w:lvl w:ilvl="6">
      <w:start w:val="1"/>
      <w:numFmt w:val="decimal"/>
      <w:lvlText w:val="%7."/>
      <w:lvlJc w:val="left"/>
      <w:pPr>
        <w:tabs>
          <w:tab w:val="num" w:pos="5820"/>
        </w:tabs>
        <w:ind w:left="5820" w:hanging="360"/>
      </w:pPr>
    </w:lvl>
    <w:lvl w:ilvl="7">
      <w:start w:val="1"/>
      <w:numFmt w:val="lowerLetter"/>
      <w:lvlText w:val="%8."/>
      <w:lvlJc w:val="left"/>
      <w:pPr>
        <w:tabs>
          <w:tab w:val="num" w:pos="6540"/>
        </w:tabs>
        <w:ind w:left="6540" w:hanging="360"/>
      </w:pPr>
    </w:lvl>
    <w:lvl w:ilvl="8">
      <w:start w:val="1"/>
      <w:numFmt w:val="lowerRoman"/>
      <w:lvlText w:val="%9."/>
      <w:lvlJc w:val="right"/>
      <w:pPr>
        <w:tabs>
          <w:tab w:val="num" w:pos="7260"/>
        </w:tabs>
        <w:ind w:left="7260" w:hanging="180"/>
      </w:pPr>
    </w:lvl>
  </w:abstractNum>
  <w:abstractNum w:abstractNumId="19" w15:restartNumberingAfterBreak="0">
    <w:nsid w:val="38B77138"/>
    <w:multiLevelType w:val="hybridMultilevel"/>
    <w:tmpl w:val="E82C8D8E"/>
    <w:lvl w:ilvl="0" w:tplc="588A3AEC">
      <w:start w:val="1"/>
      <w:numFmt w:val="decimal"/>
      <w:lvlText w:val="%1."/>
      <w:lvlJc w:val="left"/>
      <w:pPr>
        <w:tabs>
          <w:tab w:val="num" w:pos="1695"/>
        </w:tabs>
        <w:ind w:left="1695" w:hanging="555"/>
      </w:pPr>
      <w:rPr>
        <w:rFonts w:hint="default"/>
      </w:rPr>
    </w:lvl>
    <w:lvl w:ilvl="1" w:tplc="04090019" w:tentative="1">
      <w:start w:val="1"/>
      <w:numFmt w:val="lowerLetter"/>
      <w:lvlText w:val="%2."/>
      <w:lvlJc w:val="left"/>
      <w:pPr>
        <w:tabs>
          <w:tab w:val="num" w:pos="2220"/>
        </w:tabs>
        <w:ind w:left="2220" w:hanging="360"/>
      </w:pPr>
    </w:lvl>
    <w:lvl w:ilvl="2" w:tplc="0409001B" w:tentative="1">
      <w:start w:val="1"/>
      <w:numFmt w:val="lowerRoman"/>
      <w:lvlText w:val="%3."/>
      <w:lvlJc w:val="right"/>
      <w:pPr>
        <w:tabs>
          <w:tab w:val="num" w:pos="2940"/>
        </w:tabs>
        <w:ind w:left="2940" w:hanging="180"/>
      </w:pPr>
    </w:lvl>
    <w:lvl w:ilvl="3" w:tplc="0409000F" w:tentative="1">
      <w:start w:val="1"/>
      <w:numFmt w:val="decimal"/>
      <w:lvlText w:val="%4."/>
      <w:lvlJc w:val="left"/>
      <w:pPr>
        <w:tabs>
          <w:tab w:val="num" w:pos="3660"/>
        </w:tabs>
        <w:ind w:left="3660" w:hanging="360"/>
      </w:pPr>
    </w:lvl>
    <w:lvl w:ilvl="4" w:tplc="04090019" w:tentative="1">
      <w:start w:val="1"/>
      <w:numFmt w:val="lowerLetter"/>
      <w:lvlText w:val="%5."/>
      <w:lvlJc w:val="left"/>
      <w:pPr>
        <w:tabs>
          <w:tab w:val="num" w:pos="4380"/>
        </w:tabs>
        <w:ind w:left="4380" w:hanging="360"/>
      </w:pPr>
    </w:lvl>
    <w:lvl w:ilvl="5" w:tplc="0409001B" w:tentative="1">
      <w:start w:val="1"/>
      <w:numFmt w:val="lowerRoman"/>
      <w:lvlText w:val="%6."/>
      <w:lvlJc w:val="right"/>
      <w:pPr>
        <w:tabs>
          <w:tab w:val="num" w:pos="5100"/>
        </w:tabs>
        <w:ind w:left="5100" w:hanging="180"/>
      </w:pPr>
    </w:lvl>
    <w:lvl w:ilvl="6" w:tplc="0409000F" w:tentative="1">
      <w:start w:val="1"/>
      <w:numFmt w:val="decimal"/>
      <w:lvlText w:val="%7."/>
      <w:lvlJc w:val="left"/>
      <w:pPr>
        <w:tabs>
          <w:tab w:val="num" w:pos="5820"/>
        </w:tabs>
        <w:ind w:left="5820" w:hanging="360"/>
      </w:pPr>
    </w:lvl>
    <w:lvl w:ilvl="7" w:tplc="04090019" w:tentative="1">
      <w:start w:val="1"/>
      <w:numFmt w:val="lowerLetter"/>
      <w:lvlText w:val="%8."/>
      <w:lvlJc w:val="left"/>
      <w:pPr>
        <w:tabs>
          <w:tab w:val="num" w:pos="6540"/>
        </w:tabs>
        <w:ind w:left="6540" w:hanging="360"/>
      </w:pPr>
    </w:lvl>
    <w:lvl w:ilvl="8" w:tplc="0409001B" w:tentative="1">
      <w:start w:val="1"/>
      <w:numFmt w:val="lowerRoman"/>
      <w:lvlText w:val="%9."/>
      <w:lvlJc w:val="right"/>
      <w:pPr>
        <w:tabs>
          <w:tab w:val="num" w:pos="7260"/>
        </w:tabs>
        <w:ind w:left="7260" w:hanging="180"/>
      </w:pPr>
    </w:lvl>
  </w:abstractNum>
  <w:abstractNum w:abstractNumId="20" w15:restartNumberingAfterBreak="0">
    <w:nsid w:val="3A5E697A"/>
    <w:multiLevelType w:val="hybridMultilevel"/>
    <w:tmpl w:val="7C4847AA"/>
    <w:lvl w:ilvl="0" w:tplc="B6D49B54">
      <w:start w:val="11"/>
      <w:numFmt w:val="decimal"/>
      <w:lvlText w:val="%1."/>
      <w:lvlJc w:val="left"/>
      <w:pPr>
        <w:tabs>
          <w:tab w:val="num" w:pos="2055"/>
        </w:tabs>
        <w:ind w:left="2055" w:hanging="360"/>
      </w:pPr>
      <w:rPr>
        <w:rFonts w:hint="default"/>
      </w:rPr>
    </w:lvl>
    <w:lvl w:ilvl="1" w:tplc="04090019" w:tentative="1">
      <w:start w:val="1"/>
      <w:numFmt w:val="lowerLetter"/>
      <w:lvlText w:val="%2."/>
      <w:lvlJc w:val="left"/>
      <w:pPr>
        <w:tabs>
          <w:tab w:val="num" w:pos="2775"/>
        </w:tabs>
        <w:ind w:left="2775" w:hanging="360"/>
      </w:pPr>
    </w:lvl>
    <w:lvl w:ilvl="2" w:tplc="0409001B" w:tentative="1">
      <w:start w:val="1"/>
      <w:numFmt w:val="lowerRoman"/>
      <w:lvlText w:val="%3."/>
      <w:lvlJc w:val="right"/>
      <w:pPr>
        <w:tabs>
          <w:tab w:val="num" w:pos="3495"/>
        </w:tabs>
        <w:ind w:left="3495" w:hanging="180"/>
      </w:pPr>
    </w:lvl>
    <w:lvl w:ilvl="3" w:tplc="0409000F" w:tentative="1">
      <w:start w:val="1"/>
      <w:numFmt w:val="decimal"/>
      <w:lvlText w:val="%4."/>
      <w:lvlJc w:val="left"/>
      <w:pPr>
        <w:tabs>
          <w:tab w:val="num" w:pos="4215"/>
        </w:tabs>
        <w:ind w:left="4215" w:hanging="360"/>
      </w:pPr>
    </w:lvl>
    <w:lvl w:ilvl="4" w:tplc="04090019" w:tentative="1">
      <w:start w:val="1"/>
      <w:numFmt w:val="lowerLetter"/>
      <w:lvlText w:val="%5."/>
      <w:lvlJc w:val="left"/>
      <w:pPr>
        <w:tabs>
          <w:tab w:val="num" w:pos="4935"/>
        </w:tabs>
        <w:ind w:left="4935" w:hanging="360"/>
      </w:pPr>
    </w:lvl>
    <w:lvl w:ilvl="5" w:tplc="0409001B" w:tentative="1">
      <w:start w:val="1"/>
      <w:numFmt w:val="lowerRoman"/>
      <w:lvlText w:val="%6."/>
      <w:lvlJc w:val="right"/>
      <w:pPr>
        <w:tabs>
          <w:tab w:val="num" w:pos="5655"/>
        </w:tabs>
        <w:ind w:left="5655" w:hanging="180"/>
      </w:pPr>
    </w:lvl>
    <w:lvl w:ilvl="6" w:tplc="0409000F" w:tentative="1">
      <w:start w:val="1"/>
      <w:numFmt w:val="decimal"/>
      <w:lvlText w:val="%7."/>
      <w:lvlJc w:val="left"/>
      <w:pPr>
        <w:tabs>
          <w:tab w:val="num" w:pos="6375"/>
        </w:tabs>
        <w:ind w:left="6375" w:hanging="360"/>
      </w:pPr>
    </w:lvl>
    <w:lvl w:ilvl="7" w:tplc="04090019" w:tentative="1">
      <w:start w:val="1"/>
      <w:numFmt w:val="lowerLetter"/>
      <w:lvlText w:val="%8."/>
      <w:lvlJc w:val="left"/>
      <w:pPr>
        <w:tabs>
          <w:tab w:val="num" w:pos="7095"/>
        </w:tabs>
        <w:ind w:left="7095" w:hanging="360"/>
      </w:pPr>
    </w:lvl>
    <w:lvl w:ilvl="8" w:tplc="0409001B" w:tentative="1">
      <w:start w:val="1"/>
      <w:numFmt w:val="lowerRoman"/>
      <w:lvlText w:val="%9."/>
      <w:lvlJc w:val="right"/>
      <w:pPr>
        <w:tabs>
          <w:tab w:val="num" w:pos="7815"/>
        </w:tabs>
        <w:ind w:left="7815" w:hanging="180"/>
      </w:pPr>
    </w:lvl>
  </w:abstractNum>
  <w:abstractNum w:abstractNumId="21" w15:restartNumberingAfterBreak="0">
    <w:nsid w:val="43415137"/>
    <w:multiLevelType w:val="hybridMultilevel"/>
    <w:tmpl w:val="133A135A"/>
    <w:lvl w:ilvl="0" w:tplc="AC8283E4">
      <w:start w:val="1"/>
      <w:numFmt w:val="decimal"/>
      <w:lvlText w:val="%1"/>
      <w:lvlJc w:val="left"/>
      <w:pPr>
        <w:ind w:left="644" w:hanging="360"/>
      </w:pPr>
      <w:rPr>
        <w:rFonts w:hint="default"/>
        <w:i w:val="0"/>
        <w:iCs w:val="0"/>
        <w:color w:val="auto"/>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44BF1240"/>
    <w:multiLevelType w:val="multilevel"/>
    <w:tmpl w:val="9B185678"/>
    <w:lvl w:ilvl="0">
      <w:start w:val="10"/>
      <w:numFmt w:val="decimal"/>
      <w:lvlText w:val="%1."/>
      <w:lvlJc w:val="left"/>
      <w:pPr>
        <w:tabs>
          <w:tab w:val="num" w:pos="1695"/>
        </w:tabs>
        <w:ind w:left="1695" w:hanging="555"/>
      </w:pPr>
      <w:rPr>
        <w:rFonts w:hint="default"/>
      </w:rPr>
    </w:lvl>
    <w:lvl w:ilvl="1">
      <w:start w:val="1"/>
      <w:numFmt w:val="lowerLetter"/>
      <w:lvlText w:val="%2."/>
      <w:lvlJc w:val="left"/>
      <w:pPr>
        <w:tabs>
          <w:tab w:val="num" w:pos="2220"/>
        </w:tabs>
        <w:ind w:left="2220" w:hanging="360"/>
      </w:pPr>
    </w:lvl>
    <w:lvl w:ilvl="2">
      <w:start w:val="1"/>
      <w:numFmt w:val="lowerRoman"/>
      <w:lvlText w:val="%3."/>
      <w:lvlJc w:val="right"/>
      <w:pPr>
        <w:tabs>
          <w:tab w:val="num" w:pos="2940"/>
        </w:tabs>
        <w:ind w:left="2940" w:hanging="180"/>
      </w:pPr>
    </w:lvl>
    <w:lvl w:ilvl="3">
      <w:start w:val="1"/>
      <w:numFmt w:val="decimal"/>
      <w:lvlText w:val="%4."/>
      <w:lvlJc w:val="left"/>
      <w:pPr>
        <w:tabs>
          <w:tab w:val="num" w:pos="3660"/>
        </w:tabs>
        <w:ind w:left="3660" w:hanging="360"/>
      </w:pPr>
    </w:lvl>
    <w:lvl w:ilvl="4">
      <w:start w:val="1"/>
      <w:numFmt w:val="lowerLetter"/>
      <w:lvlText w:val="%5."/>
      <w:lvlJc w:val="left"/>
      <w:pPr>
        <w:tabs>
          <w:tab w:val="num" w:pos="4380"/>
        </w:tabs>
        <w:ind w:left="4380" w:hanging="360"/>
      </w:pPr>
    </w:lvl>
    <w:lvl w:ilvl="5">
      <w:start w:val="1"/>
      <w:numFmt w:val="lowerRoman"/>
      <w:lvlText w:val="%6."/>
      <w:lvlJc w:val="right"/>
      <w:pPr>
        <w:tabs>
          <w:tab w:val="num" w:pos="5100"/>
        </w:tabs>
        <w:ind w:left="5100" w:hanging="180"/>
      </w:pPr>
    </w:lvl>
    <w:lvl w:ilvl="6">
      <w:start w:val="1"/>
      <w:numFmt w:val="decimal"/>
      <w:lvlText w:val="%7."/>
      <w:lvlJc w:val="left"/>
      <w:pPr>
        <w:tabs>
          <w:tab w:val="num" w:pos="5820"/>
        </w:tabs>
        <w:ind w:left="5820" w:hanging="360"/>
      </w:pPr>
    </w:lvl>
    <w:lvl w:ilvl="7">
      <w:start w:val="1"/>
      <w:numFmt w:val="lowerLetter"/>
      <w:lvlText w:val="%8."/>
      <w:lvlJc w:val="left"/>
      <w:pPr>
        <w:tabs>
          <w:tab w:val="num" w:pos="6540"/>
        </w:tabs>
        <w:ind w:left="6540" w:hanging="360"/>
      </w:pPr>
    </w:lvl>
    <w:lvl w:ilvl="8">
      <w:start w:val="1"/>
      <w:numFmt w:val="lowerRoman"/>
      <w:lvlText w:val="%9."/>
      <w:lvlJc w:val="right"/>
      <w:pPr>
        <w:tabs>
          <w:tab w:val="num" w:pos="7260"/>
        </w:tabs>
        <w:ind w:left="7260" w:hanging="180"/>
      </w:pPr>
    </w:lvl>
  </w:abstractNum>
  <w:abstractNum w:abstractNumId="23" w15:restartNumberingAfterBreak="0">
    <w:nsid w:val="5BD256D4"/>
    <w:multiLevelType w:val="hybridMultilevel"/>
    <w:tmpl w:val="FFFADD5C"/>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64473BB3"/>
    <w:multiLevelType w:val="hybridMultilevel"/>
    <w:tmpl w:val="DEECA174"/>
    <w:lvl w:ilvl="0" w:tplc="5FACC2DC">
      <w:numFmt w:val="bullet"/>
      <w:lvlText w:val="-"/>
      <w:lvlJc w:val="left"/>
      <w:pPr>
        <w:tabs>
          <w:tab w:val="num" w:pos="360"/>
        </w:tabs>
        <w:ind w:left="360" w:hanging="360"/>
      </w:pPr>
      <w:rPr>
        <w:rFonts w:ascii="Arial" w:eastAsia="Times New Roman" w:hAnsi="Arial" w:cs="Arial" w:hint="default"/>
        <w:color w:val="auto"/>
      </w:rPr>
    </w:lvl>
    <w:lvl w:ilvl="1" w:tplc="100C0003" w:tentative="1">
      <w:start w:val="1"/>
      <w:numFmt w:val="bullet"/>
      <w:lvlText w:val="o"/>
      <w:lvlJc w:val="left"/>
      <w:pPr>
        <w:tabs>
          <w:tab w:val="num" w:pos="1080"/>
        </w:tabs>
        <w:ind w:left="1080" w:hanging="360"/>
      </w:pPr>
      <w:rPr>
        <w:rFonts w:ascii="Courier New" w:hAnsi="Courier New" w:cs="Courier New" w:hint="default"/>
      </w:rPr>
    </w:lvl>
    <w:lvl w:ilvl="2" w:tplc="100C0005" w:tentative="1">
      <w:start w:val="1"/>
      <w:numFmt w:val="bullet"/>
      <w:lvlText w:val=""/>
      <w:lvlJc w:val="left"/>
      <w:pPr>
        <w:tabs>
          <w:tab w:val="num" w:pos="1800"/>
        </w:tabs>
        <w:ind w:left="1800" w:hanging="360"/>
      </w:pPr>
      <w:rPr>
        <w:rFonts w:ascii="Wingdings" w:hAnsi="Wingdings" w:hint="default"/>
      </w:rPr>
    </w:lvl>
    <w:lvl w:ilvl="3" w:tplc="100C0001" w:tentative="1">
      <w:start w:val="1"/>
      <w:numFmt w:val="bullet"/>
      <w:lvlText w:val=""/>
      <w:lvlJc w:val="left"/>
      <w:pPr>
        <w:tabs>
          <w:tab w:val="num" w:pos="2520"/>
        </w:tabs>
        <w:ind w:left="2520" w:hanging="360"/>
      </w:pPr>
      <w:rPr>
        <w:rFonts w:ascii="Symbol" w:hAnsi="Symbol" w:hint="default"/>
      </w:rPr>
    </w:lvl>
    <w:lvl w:ilvl="4" w:tplc="100C0003" w:tentative="1">
      <w:start w:val="1"/>
      <w:numFmt w:val="bullet"/>
      <w:lvlText w:val="o"/>
      <w:lvlJc w:val="left"/>
      <w:pPr>
        <w:tabs>
          <w:tab w:val="num" w:pos="3240"/>
        </w:tabs>
        <w:ind w:left="3240" w:hanging="360"/>
      </w:pPr>
      <w:rPr>
        <w:rFonts w:ascii="Courier New" w:hAnsi="Courier New" w:cs="Courier New" w:hint="default"/>
      </w:rPr>
    </w:lvl>
    <w:lvl w:ilvl="5" w:tplc="100C0005" w:tentative="1">
      <w:start w:val="1"/>
      <w:numFmt w:val="bullet"/>
      <w:lvlText w:val=""/>
      <w:lvlJc w:val="left"/>
      <w:pPr>
        <w:tabs>
          <w:tab w:val="num" w:pos="3960"/>
        </w:tabs>
        <w:ind w:left="3960" w:hanging="360"/>
      </w:pPr>
      <w:rPr>
        <w:rFonts w:ascii="Wingdings" w:hAnsi="Wingdings" w:hint="default"/>
      </w:rPr>
    </w:lvl>
    <w:lvl w:ilvl="6" w:tplc="100C0001" w:tentative="1">
      <w:start w:val="1"/>
      <w:numFmt w:val="bullet"/>
      <w:lvlText w:val=""/>
      <w:lvlJc w:val="left"/>
      <w:pPr>
        <w:tabs>
          <w:tab w:val="num" w:pos="4680"/>
        </w:tabs>
        <w:ind w:left="4680" w:hanging="360"/>
      </w:pPr>
      <w:rPr>
        <w:rFonts w:ascii="Symbol" w:hAnsi="Symbol" w:hint="default"/>
      </w:rPr>
    </w:lvl>
    <w:lvl w:ilvl="7" w:tplc="100C0003" w:tentative="1">
      <w:start w:val="1"/>
      <w:numFmt w:val="bullet"/>
      <w:lvlText w:val="o"/>
      <w:lvlJc w:val="left"/>
      <w:pPr>
        <w:tabs>
          <w:tab w:val="num" w:pos="5400"/>
        </w:tabs>
        <w:ind w:left="5400" w:hanging="360"/>
      </w:pPr>
      <w:rPr>
        <w:rFonts w:ascii="Courier New" w:hAnsi="Courier New" w:cs="Courier New" w:hint="default"/>
      </w:rPr>
    </w:lvl>
    <w:lvl w:ilvl="8" w:tplc="100C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E76108"/>
    <w:multiLevelType w:val="hybridMultilevel"/>
    <w:tmpl w:val="BDBECF94"/>
    <w:lvl w:ilvl="0" w:tplc="0C0A0017">
      <w:start w:val="1"/>
      <w:numFmt w:val="lowerLetter"/>
      <w:lvlText w:val="%1)"/>
      <w:lvlJc w:val="left"/>
      <w:pPr>
        <w:ind w:left="1854" w:hanging="360"/>
      </w:pPr>
    </w:lvl>
    <w:lvl w:ilvl="1" w:tplc="CDAE3BAE">
      <w:start w:val="5"/>
      <w:numFmt w:val="bullet"/>
      <w:lvlText w:val="-"/>
      <w:lvlJc w:val="left"/>
      <w:pPr>
        <w:ind w:left="2574" w:hanging="360"/>
      </w:pPr>
      <w:rPr>
        <w:rFonts w:ascii="Times New Roman" w:eastAsia="Times New Roman" w:hAnsi="Times New Roman" w:cs="Times New Roman" w:hint="default"/>
      </w:r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27" w15:restartNumberingAfterBreak="0">
    <w:nsid w:val="71E37019"/>
    <w:multiLevelType w:val="multilevel"/>
    <w:tmpl w:val="9B185678"/>
    <w:lvl w:ilvl="0">
      <w:start w:val="10"/>
      <w:numFmt w:val="decimal"/>
      <w:lvlText w:val="%1."/>
      <w:lvlJc w:val="left"/>
      <w:pPr>
        <w:tabs>
          <w:tab w:val="num" w:pos="1695"/>
        </w:tabs>
        <w:ind w:left="1695" w:hanging="555"/>
      </w:pPr>
      <w:rPr>
        <w:rFonts w:hint="default"/>
      </w:rPr>
    </w:lvl>
    <w:lvl w:ilvl="1">
      <w:start w:val="1"/>
      <w:numFmt w:val="lowerLetter"/>
      <w:lvlText w:val="%2."/>
      <w:lvlJc w:val="left"/>
      <w:pPr>
        <w:tabs>
          <w:tab w:val="num" w:pos="2220"/>
        </w:tabs>
        <w:ind w:left="2220" w:hanging="360"/>
      </w:pPr>
    </w:lvl>
    <w:lvl w:ilvl="2">
      <w:start w:val="1"/>
      <w:numFmt w:val="lowerRoman"/>
      <w:lvlText w:val="%3."/>
      <w:lvlJc w:val="right"/>
      <w:pPr>
        <w:tabs>
          <w:tab w:val="num" w:pos="2940"/>
        </w:tabs>
        <w:ind w:left="2940" w:hanging="180"/>
      </w:pPr>
    </w:lvl>
    <w:lvl w:ilvl="3">
      <w:start w:val="1"/>
      <w:numFmt w:val="decimal"/>
      <w:lvlText w:val="%4."/>
      <w:lvlJc w:val="left"/>
      <w:pPr>
        <w:tabs>
          <w:tab w:val="num" w:pos="3660"/>
        </w:tabs>
        <w:ind w:left="3660" w:hanging="360"/>
      </w:pPr>
    </w:lvl>
    <w:lvl w:ilvl="4">
      <w:start w:val="1"/>
      <w:numFmt w:val="lowerLetter"/>
      <w:lvlText w:val="%5."/>
      <w:lvlJc w:val="left"/>
      <w:pPr>
        <w:tabs>
          <w:tab w:val="num" w:pos="4380"/>
        </w:tabs>
        <w:ind w:left="4380" w:hanging="360"/>
      </w:pPr>
    </w:lvl>
    <w:lvl w:ilvl="5">
      <w:start w:val="1"/>
      <w:numFmt w:val="lowerRoman"/>
      <w:lvlText w:val="%6."/>
      <w:lvlJc w:val="right"/>
      <w:pPr>
        <w:tabs>
          <w:tab w:val="num" w:pos="5100"/>
        </w:tabs>
        <w:ind w:left="5100" w:hanging="180"/>
      </w:pPr>
    </w:lvl>
    <w:lvl w:ilvl="6">
      <w:start w:val="1"/>
      <w:numFmt w:val="decimal"/>
      <w:lvlText w:val="%7."/>
      <w:lvlJc w:val="left"/>
      <w:pPr>
        <w:tabs>
          <w:tab w:val="num" w:pos="5820"/>
        </w:tabs>
        <w:ind w:left="5820" w:hanging="360"/>
      </w:pPr>
    </w:lvl>
    <w:lvl w:ilvl="7">
      <w:start w:val="1"/>
      <w:numFmt w:val="lowerLetter"/>
      <w:lvlText w:val="%8."/>
      <w:lvlJc w:val="left"/>
      <w:pPr>
        <w:tabs>
          <w:tab w:val="num" w:pos="6540"/>
        </w:tabs>
        <w:ind w:left="6540" w:hanging="360"/>
      </w:pPr>
    </w:lvl>
    <w:lvl w:ilvl="8">
      <w:start w:val="1"/>
      <w:numFmt w:val="lowerRoman"/>
      <w:lvlText w:val="%9."/>
      <w:lvlJc w:val="right"/>
      <w:pPr>
        <w:tabs>
          <w:tab w:val="num" w:pos="7260"/>
        </w:tabs>
        <w:ind w:left="7260" w:hanging="180"/>
      </w:pPr>
    </w:lvl>
  </w:abstractNum>
  <w:abstractNum w:abstractNumId="28"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BDA391A"/>
    <w:multiLevelType w:val="multilevel"/>
    <w:tmpl w:val="9B185678"/>
    <w:lvl w:ilvl="0">
      <w:start w:val="10"/>
      <w:numFmt w:val="decimal"/>
      <w:lvlText w:val="%1."/>
      <w:lvlJc w:val="left"/>
      <w:pPr>
        <w:tabs>
          <w:tab w:val="num" w:pos="1695"/>
        </w:tabs>
        <w:ind w:left="1695" w:hanging="555"/>
      </w:pPr>
      <w:rPr>
        <w:rFonts w:hint="default"/>
      </w:rPr>
    </w:lvl>
    <w:lvl w:ilvl="1">
      <w:start w:val="1"/>
      <w:numFmt w:val="lowerLetter"/>
      <w:lvlText w:val="%2."/>
      <w:lvlJc w:val="left"/>
      <w:pPr>
        <w:tabs>
          <w:tab w:val="num" w:pos="2220"/>
        </w:tabs>
        <w:ind w:left="2220" w:hanging="360"/>
      </w:pPr>
    </w:lvl>
    <w:lvl w:ilvl="2">
      <w:start w:val="1"/>
      <w:numFmt w:val="lowerRoman"/>
      <w:lvlText w:val="%3."/>
      <w:lvlJc w:val="right"/>
      <w:pPr>
        <w:tabs>
          <w:tab w:val="num" w:pos="2940"/>
        </w:tabs>
        <w:ind w:left="2940" w:hanging="180"/>
      </w:pPr>
    </w:lvl>
    <w:lvl w:ilvl="3">
      <w:start w:val="1"/>
      <w:numFmt w:val="decimal"/>
      <w:lvlText w:val="%4."/>
      <w:lvlJc w:val="left"/>
      <w:pPr>
        <w:tabs>
          <w:tab w:val="num" w:pos="3660"/>
        </w:tabs>
        <w:ind w:left="3660" w:hanging="360"/>
      </w:pPr>
    </w:lvl>
    <w:lvl w:ilvl="4">
      <w:start w:val="1"/>
      <w:numFmt w:val="lowerLetter"/>
      <w:lvlText w:val="%5."/>
      <w:lvlJc w:val="left"/>
      <w:pPr>
        <w:tabs>
          <w:tab w:val="num" w:pos="4380"/>
        </w:tabs>
        <w:ind w:left="4380" w:hanging="360"/>
      </w:pPr>
    </w:lvl>
    <w:lvl w:ilvl="5">
      <w:start w:val="1"/>
      <w:numFmt w:val="lowerRoman"/>
      <w:lvlText w:val="%6."/>
      <w:lvlJc w:val="right"/>
      <w:pPr>
        <w:tabs>
          <w:tab w:val="num" w:pos="5100"/>
        </w:tabs>
        <w:ind w:left="5100" w:hanging="180"/>
      </w:pPr>
    </w:lvl>
    <w:lvl w:ilvl="6">
      <w:start w:val="1"/>
      <w:numFmt w:val="decimal"/>
      <w:lvlText w:val="%7."/>
      <w:lvlJc w:val="left"/>
      <w:pPr>
        <w:tabs>
          <w:tab w:val="num" w:pos="5820"/>
        </w:tabs>
        <w:ind w:left="5820" w:hanging="360"/>
      </w:pPr>
    </w:lvl>
    <w:lvl w:ilvl="7">
      <w:start w:val="1"/>
      <w:numFmt w:val="lowerLetter"/>
      <w:lvlText w:val="%8."/>
      <w:lvlJc w:val="left"/>
      <w:pPr>
        <w:tabs>
          <w:tab w:val="num" w:pos="6540"/>
        </w:tabs>
        <w:ind w:left="6540" w:hanging="360"/>
      </w:pPr>
    </w:lvl>
    <w:lvl w:ilvl="8">
      <w:start w:val="1"/>
      <w:numFmt w:val="lowerRoman"/>
      <w:lvlText w:val="%9."/>
      <w:lvlJc w:val="right"/>
      <w:pPr>
        <w:tabs>
          <w:tab w:val="num" w:pos="7260"/>
        </w:tabs>
        <w:ind w:left="7260" w:hanging="180"/>
      </w:pPr>
    </w:lvl>
  </w:abstractNum>
  <w:abstractNum w:abstractNumId="30" w15:restartNumberingAfterBreak="0">
    <w:nsid w:val="7D161B6C"/>
    <w:multiLevelType w:val="hybridMultilevel"/>
    <w:tmpl w:val="1CAC37CC"/>
    <w:lvl w:ilvl="0" w:tplc="0B10E64A">
      <w:start w:val="3"/>
      <w:numFmt w:val="bullet"/>
      <w:lvlText w:val="-"/>
      <w:lvlJc w:val="left"/>
      <w:pPr>
        <w:ind w:left="720" w:hanging="360"/>
      </w:pPr>
      <w:rPr>
        <w:rFonts w:ascii="Calibri" w:eastAsiaTheme="minorHAnsi" w:hAnsi="Calibri" w:cs="Calibri" w:hint="default"/>
      </w:rPr>
    </w:lvl>
    <w:lvl w:ilvl="1" w:tplc="FBA0F544">
      <w:start w:val="1"/>
      <w:numFmt w:val="bullet"/>
      <w:lvlText w:val="o"/>
      <w:lvlJc w:val="left"/>
      <w:pPr>
        <w:ind w:left="1440" w:hanging="360"/>
      </w:pPr>
      <w:rPr>
        <w:rFonts w:ascii="Courier New" w:hAnsi="Courier New" w:cs="Courier New" w:hint="default"/>
        <w:b w:val="0"/>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16"/>
  </w:num>
  <w:num w:numId="12">
    <w:abstractNumId w:val="15"/>
  </w:num>
  <w:num w:numId="13">
    <w:abstractNumId w:val="10"/>
  </w:num>
  <w:num w:numId="14">
    <w:abstractNumId w:val="12"/>
  </w:num>
  <w:num w:numId="15">
    <w:abstractNumId w:val="17"/>
  </w:num>
  <w:num w:numId="16">
    <w:abstractNumId w:val="14"/>
  </w:num>
  <w:num w:numId="17">
    <w:abstractNumId w:val="25"/>
  </w:num>
  <w:num w:numId="18">
    <w:abstractNumId w:val="28"/>
  </w:num>
  <w:num w:numId="19">
    <w:abstractNumId w:val="24"/>
  </w:num>
  <w:num w:numId="20">
    <w:abstractNumId w:val="13"/>
  </w:num>
  <w:num w:numId="21">
    <w:abstractNumId w:val="19"/>
  </w:num>
  <w:num w:numId="22">
    <w:abstractNumId w:val="29"/>
  </w:num>
  <w:num w:numId="23">
    <w:abstractNumId w:val="18"/>
  </w:num>
  <w:num w:numId="24">
    <w:abstractNumId w:val="22"/>
  </w:num>
  <w:num w:numId="25">
    <w:abstractNumId w:val="27"/>
  </w:num>
  <w:num w:numId="26">
    <w:abstractNumId w:val="20"/>
  </w:num>
  <w:num w:numId="27">
    <w:abstractNumId w:val="26"/>
  </w:num>
  <w:num w:numId="28">
    <w:abstractNumId w:val="11"/>
  </w:num>
  <w:num w:numId="29">
    <w:abstractNumId w:val="30"/>
  </w:num>
  <w:num w:numId="30">
    <w:abstractNumId w:val="21"/>
  </w:num>
  <w:num w:numId="31">
    <w:abstractNumId w:val="23"/>
  </w:num>
  <w:num w:numId="32">
    <w:abstractNumId w:val="25"/>
  </w:num>
  <w:num w:numId="33">
    <w:abstractNumId w:val="25"/>
  </w:num>
  <w:num w:numId="34">
    <w:abstractNumId w:val="25"/>
  </w:num>
  <w:num w:numId="35">
    <w:abstractNumId w:val="28"/>
  </w:num>
  <w:num w:numId="36">
    <w:abstractNumId w:val="25"/>
  </w:num>
  <w:num w:numId="37">
    <w:abstractNumId w:val="25"/>
  </w:num>
  <w:num w:numId="38">
    <w:abstractNumId w:val="25"/>
  </w:num>
  <w:num w:numId="39">
    <w:abstractNumId w:val="25"/>
  </w:num>
  <w:num w:numId="40">
    <w:abstractNumId w:val="25"/>
  </w:num>
  <w:num w:numId="41">
    <w:abstractNumId w:val="25"/>
  </w:num>
  <w:num w:numId="42">
    <w:abstractNumId w:val="25"/>
  </w:num>
  <w:num w:numId="43">
    <w:abstractNumId w:val="25"/>
  </w:num>
  <w:num w:numId="44">
    <w:abstractNumId w:val="25"/>
  </w:num>
  <w:num w:numId="45">
    <w:abstractNumId w:val="25"/>
  </w:num>
  <w:num w:numId="46">
    <w:abstractNumId w:val="25"/>
  </w:num>
  <w:num w:numId="47">
    <w:abstractNumId w:val="25"/>
  </w:num>
  <w:num w:numId="48">
    <w:abstractNumId w:val="25"/>
  </w:num>
  <w:num w:numId="49">
    <w:abstractNumId w:val="2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CH" w:vendorID="64" w:dllVersion="6" w:nlCheck="1" w:checkStyle="0"/>
  <w:activeWritingStyle w:appName="MSWord" w:lang="fr-FR" w:vendorID="64" w:dllVersion="6" w:nlCheck="1" w:checkStyle="1"/>
  <w:activeWritingStyle w:appName="MSWord" w:lang="es-ES" w:vendorID="64" w:dllVersion="6" w:nlCheck="1" w:checkStyle="0"/>
  <w:activeWritingStyle w:appName="MSWord" w:lang="fr-BE" w:vendorID="64" w:dllVersion="6" w:nlCheck="1" w:checkStyle="0"/>
  <w:activeWritingStyle w:appName="MSWord" w:lang="en-GB" w:vendorID="64" w:dllVersion="0" w:nlCheck="1" w:checkStyle="0"/>
  <w:activeWritingStyle w:appName="MSWord" w:lang="fr-CH" w:vendorID="64" w:dllVersion="0" w:nlCheck="1" w:checkStyle="0"/>
  <w:activeWritingStyle w:appName="MSWord" w:lang="de-DE" w:vendorID="64" w:dllVersion="0" w:nlCheck="1" w:checkStyle="0"/>
  <w:activeWritingStyle w:appName="MSWord" w:lang="en-US" w:vendorID="64" w:dllVersion="0" w:nlCheck="1" w:checkStyle="0"/>
  <w:activeWritingStyle w:appName="MSWord" w:lang="en-IE" w:vendorID="64" w:dllVersion="0" w:nlCheck="1" w:checkStyle="0"/>
  <w:activeWritingStyle w:appName="MSWord" w:lang="fr-FR"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0241"/>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43C6"/>
    <w:rsid w:val="00002A7D"/>
    <w:rsid w:val="000038A8"/>
    <w:rsid w:val="000041B2"/>
    <w:rsid w:val="00004CB4"/>
    <w:rsid w:val="00006790"/>
    <w:rsid w:val="00017C14"/>
    <w:rsid w:val="00027624"/>
    <w:rsid w:val="00050B2C"/>
    <w:rsid w:val="00050F6B"/>
    <w:rsid w:val="00056E1C"/>
    <w:rsid w:val="00057D31"/>
    <w:rsid w:val="00057F00"/>
    <w:rsid w:val="00060675"/>
    <w:rsid w:val="00062540"/>
    <w:rsid w:val="000678CD"/>
    <w:rsid w:val="00072C8C"/>
    <w:rsid w:val="00073BC9"/>
    <w:rsid w:val="00075498"/>
    <w:rsid w:val="00081CE0"/>
    <w:rsid w:val="00081E5B"/>
    <w:rsid w:val="00082FAE"/>
    <w:rsid w:val="00084D30"/>
    <w:rsid w:val="00090320"/>
    <w:rsid w:val="00091148"/>
    <w:rsid w:val="000918D7"/>
    <w:rsid w:val="000931C0"/>
    <w:rsid w:val="0009455D"/>
    <w:rsid w:val="00097793"/>
    <w:rsid w:val="000A2E09"/>
    <w:rsid w:val="000B175B"/>
    <w:rsid w:val="000B3A0F"/>
    <w:rsid w:val="000B41FA"/>
    <w:rsid w:val="000C2A7D"/>
    <w:rsid w:val="000D5A55"/>
    <w:rsid w:val="000E0415"/>
    <w:rsid w:val="000E233A"/>
    <w:rsid w:val="000E6779"/>
    <w:rsid w:val="000E7EB0"/>
    <w:rsid w:val="000F5D2C"/>
    <w:rsid w:val="000F7715"/>
    <w:rsid w:val="001022EF"/>
    <w:rsid w:val="00103E99"/>
    <w:rsid w:val="00116363"/>
    <w:rsid w:val="001179A1"/>
    <w:rsid w:val="00125674"/>
    <w:rsid w:val="00140040"/>
    <w:rsid w:val="0014401A"/>
    <w:rsid w:val="00156B99"/>
    <w:rsid w:val="0015713B"/>
    <w:rsid w:val="00161037"/>
    <w:rsid w:val="00166124"/>
    <w:rsid w:val="00167F20"/>
    <w:rsid w:val="0017009E"/>
    <w:rsid w:val="00172600"/>
    <w:rsid w:val="001765D7"/>
    <w:rsid w:val="00176739"/>
    <w:rsid w:val="00184DDA"/>
    <w:rsid w:val="001874B4"/>
    <w:rsid w:val="001900CD"/>
    <w:rsid w:val="00193D85"/>
    <w:rsid w:val="0019444B"/>
    <w:rsid w:val="001A0452"/>
    <w:rsid w:val="001A3481"/>
    <w:rsid w:val="001A4D53"/>
    <w:rsid w:val="001A5F15"/>
    <w:rsid w:val="001B4B04"/>
    <w:rsid w:val="001B5875"/>
    <w:rsid w:val="001C3A25"/>
    <w:rsid w:val="001C4B28"/>
    <w:rsid w:val="001C4B9C"/>
    <w:rsid w:val="001C6663"/>
    <w:rsid w:val="001C7895"/>
    <w:rsid w:val="001D15C4"/>
    <w:rsid w:val="001D26DF"/>
    <w:rsid w:val="001D312D"/>
    <w:rsid w:val="001E0DF6"/>
    <w:rsid w:val="001E583F"/>
    <w:rsid w:val="001F12DF"/>
    <w:rsid w:val="001F1599"/>
    <w:rsid w:val="001F1961"/>
    <w:rsid w:val="001F19C4"/>
    <w:rsid w:val="001F6B91"/>
    <w:rsid w:val="001F7A8B"/>
    <w:rsid w:val="002043F0"/>
    <w:rsid w:val="002060B9"/>
    <w:rsid w:val="00211E0B"/>
    <w:rsid w:val="00215A1B"/>
    <w:rsid w:val="00216BB2"/>
    <w:rsid w:val="00222F2C"/>
    <w:rsid w:val="00230496"/>
    <w:rsid w:val="00232575"/>
    <w:rsid w:val="0023589F"/>
    <w:rsid w:val="00247258"/>
    <w:rsid w:val="00250356"/>
    <w:rsid w:val="002565C8"/>
    <w:rsid w:val="002574B9"/>
    <w:rsid w:val="00257CAC"/>
    <w:rsid w:val="00264807"/>
    <w:rsid w:val="002815FC"/>
    <w:rsid w:val="00295F1A"/>
    <w:rsid w:val="002974E9"/>
    <w:rsid w:val="002A214F"/>
    <w:rsid w:val="002A6D75"/>
    <w:rsid w:val="002A7F94"/>
    <w:rsid w:val="002B109A"/>
    <w:rsid w:val="002B16A1"/>
    <w:rsid w:val="002B400C"/>
    <w:rsid w:val="002B5293"/>
    <w:rsid w:val="002C1973"/>
    <w:rsid w:val="002C3A37"/>
    <w:rsid w:val="002C4661"/>
    <w:rsid w:val="002C57D6"/>
    <w:rsid w:val="002C6D45"/>
    <w:rsid w:val="002D1828"/>
    <w:rsid w:val="002D4CF0"/>
    <w:rsid w:val="002D6E53"/>
    <w:rsid w:val="002D743E"/>
    <w:rsid w:val="002E0C3F"/>
    <w:rsid w:val="002E2296"/>
    <w:rsid w:val="002E23C9"/>
    <w:rsid w:val="002E6DB4"/>
    <w:rsid w:val="002F024B"/>
    <w:rsid w:val="002F046D"/>
    <w:rsid w:val="003007E7"/>
    <w:rsid w:val="00301764"/>
    <w:rsid w:val="00302B3E"/>
    <w:rsid w:val="00321665"/>
    <w:rsid w:val="003229D8"/>
    <w:rsid w:val="00323AD2"/>
    <w:rsid w:val="0032508A"/>
    <w:rsid w:val="00336080"/>
    <w:rsid w:val="00336C97"/>
    <w:rsid w:val="00337D65"/>
    <w:rsid w:val="00337F88"/>
    <w:rsid w:val="00342432"/>
    <w:rsid w:val="0034444E"/>
    <w:rsid w:val="00350B59"/>
    <w:rsid w:val="00352D4B"/>
    <w:rsid w:val="00354724"/>
    <w:rsid w:val="00354CED"/>
    <w:rsid w:val="0035638C"/>
    <w:rsid w:val="003564DC"/>
    <w:rsid w:val="00370928"/>
    <w:rsid w:val="00373041"/>
    <w:rsid w:val="003806F0"/>
    <w:rsid w:val="00382512"/>
    <w:rsid w:val="0038499B"/>
    <w:rsid w:val="00386C38"/>
    <w:rsid w:val="003A1C51"/>
    <w:rsid w:val="003A46BB"/>
    <w:rsid w:val="003A4EC7"/>
    <w:rsid w:val="003A550E"/>
    <w:rsid w:val="003A7295"/>
    <w:rsid w:val="003B115E"/>
    <w:rsid w:val="003B1F60"/>
    <w:rsid w:val="003B3A7E"/>
    <w:rsid w:val="003B4643"/>
    <w:rsid w:val="003B6217"/>
    <w:rsid w:val="003C2CC4"/>
    <w:rsid w:val="003C3176"/>
    <w:rsid w:val="003C7026"/>
    <w:rsid w:val="003D4B23"/>
    <w:rsid w:val="003D58A1"/>
    <w:rsid w:val="003D6C76"/>
    <w:rsid w:val="003E278A"/>
    <w:rsid w:val="003E3D94"/>
    <w:rsid w:val="003F07CB"/>
    <w:rsid w:val="004019C8"/>
    <w:rsid w:val="004032CF"/>
    <w:rsid w:val="00413520"/>
    <w:rsid w:val="00414F7A"/>
    <w:rsid w:val="00431D4D"/>
    <w:rsid w:val="004325CB"/>
    <w:rsid w:val="00433A82"/>
    <w:rsid w:val="00440A07"/>
    <w:rsid w:val="00456441"/>
    <w:rsid w:val="00462880"/>
    <w:rsid w:val="0047298C"/>
    <w:rsid w:val="0047429E"/>
    <w:rsid w:val="004755FA"/>
    <w:rsid w:val="00476F24"/>
    <w:rsid w:val="0048402E"/>
    <w:rsid w:val="004909E7"/>
    <w:rsid w:val="0049311D"/>
    <w:rsid w:val="004B100E"/>
    <w:rsid w:val="004B2A91"/>
    <w:rsid w:val="004B45B0"/>
    <w:rsid w:val="004B7EA2"/>
    <w:rsid w:val="004C55B0"/>
    <w:rsid w:val="004D51F6"/>
    <w:rsid w:val="004D63B1"/>
    <w:rsid w:val="004E4179"/>
    <w:rsid w:val="004E7160"/>
    <w:rsid w:val="004F3F8F"/>
    <w:rsid w:val="004F6BA0"/>
    <w:rsid w:val="00503BEA"/>
    <w:rsid w:val="00530289"/>
    <w:rsid w:val="00533616"/>
    <w:rsid w:val="00535170"/>
    <w:rsid w:val="00535ABA"/>
    <w:rsid w:val="005371A0"/>
    <w:rsid w:val="0053768B"/>
    <w:rsid w:val="005420F2"/>
    <w:rsid w:val="00542768"/>
    <w:rsid w:val="0054285C"/>
    <w:rsid w:val="005445FF"/>
    <w:rsid w:val="00547A88"/>
    <w:rsid w:val="0055514F"/>
    <w:rsid w:val="005566B9"/>
    <w:rsid w:val="00560572"/>
    <w:rsid w:val="00564BF4"/>
    <w:rsid w:val="005670DF"/>
    <w:rsid w:val="00573297"/>
    <w:rsid w:val="00584173"/>
    <w:rsid w:val="005850DE"/>
    <w:rsid w:val="00587C17"/>
    <w:rsid w:val="00595520"/>
    <w:rsid w:val="005A0287"/>
    <w:rsid w:val="005A44B9"/>
    <w:rsid w:val="005A548A"/>
    <w:rsid w:val="005B1BA0"/>
    <w:rsid w:val="005B3DB3"/>
    <w:rsid w:val="005C58F0"/>
    <w:rsid w:val="005C700B"/>
    <w:rsid w:val="005D15CA"/>
    <w:rsid w:val="005D1867"/>
    <w:rsid w:val="005D2C39"/>
    <w:rsid w:val="005D390C"/>
    <w:rsid w:val="005E6AAF"/>
    <w:rsid w:val="005F3066"/>
    <w:rsid w:val="005F3E61"/>
    <w:rsid w:val="005F51F6"/>
    <w:rsid w:val="005F69C7"/>
    <w:rsid w:val="005F7732"/>
    <w:rsid w:val="00604DDD"/>
    <w:rsid w:val="006115CC"/>
    <w:rsid w:val="00611FC4"/>
    <w:rsid w:val="00613302"/>
    <w:rsid w:val="006176FB"/>
    <w:rsid w:val="0062380F"/>
    <w:rsid w:val="0062564C"/>
    <w:rsid w:val="00626709"/>
    <w:rsid w:val="00630FCB"/>
    <w:rsid w:val="00632F10"/>
    <w:rsid w:val="00633628"/>
    <w:rsid w:val="0064017F"/>
    <w:rsid w:val="00640B26"/>
    <w:rsid w:val="00642312"/>
    <w:rsid w:val="00642502"/>
    <w:rsid w:val="0064748F"/>
    <w:rsid w:val="00651A29"/>
    <w:rsid w:val="006643C6"/>
    <w:rsid w:val="00667D6B"/>
    <w:rsid w:val="00671B0D"/>
    <w:rsid w:val="006770B2"/>
    <w:rsid w:val="00682407"/>
    <w:rsid w:val="006853B3"/>
    <w:rsid w:val="006940E1"/>
    <w:rsid w:val="006978C8"/>
    <w:rsid w:val="006A1D39"/>
    <w:rsid w:val="006A3C72"/>
    <w:rsid w:val="006A7392"/>
    <w:rsid w:val="006B03A1"/>
    <w:rsid w:val="006B67D9"/>
    <w:rsid w:val="006B6FE3"/>
    <w:rsid w:val="006C3F23"/>
    <w:rsid w:val="006C5535"/>
    <w:rsid w:val="006D0589"/>
    <w:rsid w:val="006D513E"/>
    <w:rsid w:val="006E564B"/>
    <w:rsid w:val="006E7154"/>
    <w:rsid w:val="006F0884"/>
    <w:rsid w:val="007003CD"/>
    <w:rsid w:val="00703A6D"/>
    <w:rsid w:val="0070701E"/>
    <w:rsid w:val="0070702F"/>
    <w:rsid w:val="0071447C"/>
    <w:rsid w:val="00714B5C"/>
    <w:rsid w:val="00715BE5"/>
    <w:rsid w:val="0072632A"/>
    <w:rsid w:val="007358E8"/>
    <w:rsid w:val="00736ECE"/>
    <w:rsid w:val="007408A0"/>
    <w:rsid w:val="0074533B"/>
    <w:rsid w:val="00753C81"/>
    <w:rsid w:val="00755BB0"/>
    <w:rsid w:val="00762EA6"/>
    <w:rsid w:val="0076432E"/>
    <w:rsid w:val="007643BC"/>
    <w:rsid w:val="00764F01"/>
    <w:rsid w:val="00770846"/>
    <w:rsid w:val="007810E1"/>
    <w:rsid w:val="00781D93"/>
    <w:rsid w:val="00790877"/>
    <w:rsid w:val="007932EC"/>
    <w:rsid w:val="007942D2"/>
    <w:rsid w:val="00794D74"/>
    <w:rsid w:val="0079577B"/>
    <w:rsid w:val="007959FE"/>
    <w:rsid w:val="00795E37"/>
    <w:rsid w:val="007A0CF1"/>
    <w:rsid w:val="007A38B0"/>
    <w:rsid w:val="007A7CC0"/>
    <w:rsid w:val="007B5DDD"/>
    <w:rsid w:val="007B614B"/>
    <w:rsid w:val="007B6A61"/>
    <w:rsid w:val="007B6A8B"/>
    <w:rsid w:val="007B6BA5"/>
    <w:rsid w:val="007C3390"/>
    <w:rsid w:val="007C42D8"/>
    <w:rsid w:val="007C4F4B"/>
    <w:rsid w:val="007C68C8"/>
    <w:rsid w:val="007D5759"/>
    <w:rsid w:val="007D6D44"/>
    <w:rsid w:val="007D7362"/>
    <w:rsid w:val="007E36CB"/>
    <w:rsid w:val="007E4914"/>
    <w:rsid w:val="007F1E0D"/>
    <w:rsid w:val="007F2E11"/>
    <w:rsid w:val="007F546E"/>
    <w:rsid w:val="007F5CE2"/>
    <w:rsid w:val="007F6611"/>
    <w:rsid w:val="00803B7F"/>
    <w:rsid w:val="00810BAC"/>
    <w:rsid w:val="00815214"/>
    <w:rsid w:val="008175E9"/>
    <w:rsid w:val="008203B2"/>
    <w:rsid w:val="00822877"/>
    <w:rsid w:val="0082405C"/>
    <w:rsid w:val="008242D7"/>
    <w:rsid w:val="00825578"/>
    <w:rsid w:val="0082577B"/>
    <w:rsid w:val="00830D15"/>
    <w:rsid w:val="0083344C"/>
    <w:rsid w:val="00834DF7"/>
    <w:rsid w:val="00843148"/>
    <w:rsid w:val="008558E7"/>
    <w:rsid w:val="0086054B"/>
    <w:rsid w:val="00866893"/>
    <w:rsid w:val="00866F02"/>
    <w:rsid w:val="00867D18"/>
    <w:rsid w:val="008707F8"/>
    <w:rsid w:val="00870DFB"/>
    <w:rsid w:val="00871F9A"/>
    <w:rsid w:val="00871FD5"/>
    <w:rsid w:val="00876B8E"/>
    <w:rsid w:val="0088172E"/>
    <w:rsid w:val="00881EFA"/>
    <w:rsid w:val="00883E28"/>
    <w:rsid w:val="00887A7D"/>
    <w:rsid w:val="0089256A"/>
    <w:rsid w:val="008979B1"/>
    <w:rsid w:val="008A57C8"/>
    <w:rsid w:val="008A5859"/>
    <w:rsid w:val="008A6792"/>
    <w:rsid w:val="008A6B25"/>
    <w:rsid w:val="008A6C4F"/>
    <w:rsid w:val="008A7787"/>
    <w:rsid w:val="008B389E"/>
    <w:rsid w:val="008B41F4"/>
    <w:rsid w:val="008B59E3"/>
    <w:rsid w:val="008C5B2D"/>
    <w:rsid w:val="008C5BCB"/>
    <w:rsid w:val="008D045E"/>
    <w:rsid w:val="008D0D4F"/>
    <w:rsid w:val="008D3F25"/>
    <w:rsid w:val="008D4D82"/>
    <w:rsid w:val="008E0E09"/>
    <w:rsid w:val="008E0E46"/>
    <w:rsid w:val="008E5A5D"/>
    <w:rsid w:val="008E7116"/>
    <w:rsid w:val="008F143B"/>
    <w:rsid w:val="008F33C4"/>
    <w:rsid w:val="008F3882"/>
    <w:rsid w:val="008F3C40"/>
    <w:rsid w:val="008F4B7C"/>
    <w:rsid w:val="008F73B3"/>
    <w:rsid w:val="00904D63"/>
    <w:rsid w:val="00906BFE"/>
    <w:rsid w:val="00914DC3"/>
    <w:rsid w:val="00915C95"/>
    <w:rsid w:val="00916B9C"/>
    <w:rsid w:val="00924CF0"/>
    <w:rsid w:val="00926E47"/>
    <w:rsid w:val="009324AE"/>
    <w:rsid w:val="00935BA4"/>
    <w:rsid w:val="009369F3"/>
    <w:rsid w:val="00945B24"/>
    <w:rsid w:val="00946D3D"/>
    <w:rsid w:val="00946EAC"/>
    <w:rsid w:val="00947162"/>
    <w:rsid w:val="009479C1"/>
    <w:rsid w:val="00953163"/>
    <w:rsid w:val="009601FF"/>
    <w:rsid w:val="0096068B"/>
    <w:rsid w:val="00960D5D"/>
    <w:rsid w:val="009610D0"/>
    <w:rsid w:val="0096375C"/>
    <w:rsid w:val="009662E6"/>
    <w:rsid w:val="0097095E"/>
    <w:rsid w:val="00974F7C"/>
    <w:rsid w:val="00980F57"/>
    <w:rsid w:val="00982DDC"/>
    <w:rsid w:val="0098592B"/>
    <w:rsid w:val="00985AB9"/>
    <w:rsid w:val="00985FC4"/>
    <w:rsid w:val="00986DFE"/>
    <w:rsid w:val="00990766"/>
    <w:rsid w:val="00991261"/>
    <w:rsid w:val="0099198F"/>
    <w:rsid w:val="00992C68"/>
    <w:rsid w:val="0099552C"/>
    <w:rsid w:val="00995FA1"/>
    <w:rsid w:val="009964C4"/>
    <w:rsid w:val="009A6B7B"/>
    <w:rsid w:val="009A7B81"/>
    <w:rsid w:val="009B29EA"/>
    <w:rsid w:val="009C144C"/>
    <w:rsid w:val="009C59B9"/>
    <w:rsid w:val="009D01C0"/>
    <w:rsid w:val="009D0FD7"/>
    <w:rsid w:val="009D219B"/>
    <w:rsid w:val="009D6A08"/>
    <w:rsid w:val="009E0A16"/>
    <w:rsid w:val="009E7970"/>
    <w:rsid w:val="009F2EAC"/>
    <w:rsid w:val="009F57E3"/>
    <w:rsid w:val="00A00D3D"/>
    <w:rsid w:val="00A07EBB"/>
    <w:rsid w:val="00A10F4F"/>
    <w:rsid w:val="00A11067"/>
    <w:rsid w:val="00A138AB"/>
    <w:rsid w:val="00A1704A"/>
    <w:rsid w:val="00A23E9E"/>
    <w:rsid w:val="00A370D7"/>
    <w:rsid w:val="00A41BB8"/>
    <w:rsid w:val="00A425EB"/>
    <w:rsid w:val="00A45CB7"/>
    <w:rsid w:val="00A47439"/>
    <w:rsid w:val="00A72F22"/>
    <w:rsid w:val="00A733BC"/>
    <w:rsid w:val="00A748A6"/>
    <w:rsid w:val="00A749C1"/>
    <w:rsid w:val="00A76A69"/>
    <w:rsid w:val="00A77D0C"/>
    <w:rsid w:val="00A824E7"/>
    <w:rsid w:val="00A865A7"/>
    <w:rsid w:val="00A879A4"/>
    <w:rsid w:val="00A910B4"/>
    <w:rsid w:val="00A96696"/>
    <w:rsid w:val="00A976DD"/>
    <w:rsid w:val="00AA0FF8"/>
    <w:rsid w:val="00AA3567"/>
    <w:rsid w:val="00AB2CE7"/>
    <w:rsid w:val="00AB2D13"/>
    <w:rsid w:val="00AC0F2C"/>
    <w:rsid w:val="00AC502A"/>
    <w:rsid w:val="00AC7298"/>
    <w:rsid w:val="00AD79E9"/>
    <w:rsid w:val="00AF3A98"/>
    <w:rsid w:val="00AF58C1"/>
    <w:rsid w:val="00B01321"/>
    <w:rsid w:val="00B03E68"/>
    <w:rsid w:val="00B05D2C"/>
    <w:rsid w:val="00B06643"/>
    <w:rsid w:val="00B15055"/>
    <w:rsid w:val="00B17FC5"/>
    <w:rsid w:val="00B2175D"/>
    <w:rsid w:val="00B27044"/>
    <w:rsid w:val="00B30179"/>
    <w:rsid w:val="00B37B15"/>
    <w:rsid w:val="00B4482F"/>
    <w:rsid w:val="00B45C02"/>
    <w:rsid w:val="00B4691D"/>
    <w:rsid w:val="00B609E7"/>
    <w:rsid w:val="00B628EC"/>
    <w:rsid w:val="00B62EEE"/>
    <w:rsid w:val="00B63F27"/>
    <w:rsid w:val="00B70F5A"/>
    <w:rsid w:val="00B71791"/>
    <w:rsid w:val="00B72A1E"/>
    <w:rsid w:val="00B75E02"/>
    <w:rsid w:val="00B80D50"/>
    <w:rsid w:val="00B81E12"/>
    <w:rsid w:val="00B8509D"/>
    <w:rsid w:val="00B9110C"/>
    <w:rsid w:val="00BA339B"/>
    <w:rsid w:val="00BB2862"/>
    <w:rsid w:val="00BB3D9E"/>
    <w:rsid w:val="00BC1E7E"/>
    <w:rsid w:val="00BC2E45"/>
    <w:rsid w:val="00BC3E26"/>
    <w:rsid w:val="00BC74E9"/>
    <w:rsid w:val="00BD242C"/>
    <w:rsid w:val="00BE36A9"/>
    <w:rsid w:val="00BE618E"/>
    <w:rsid w:val="00BE7BEC"/>
    <w:rsid w:val="00BF0A5A"/>
    <w:rsid w:val="00BF0E63"/>
    <w:rsid w:val="00BF103C"/>
    <w:rsid w:val="00BF12A3"/>
    <w:rsid w:val="00BF16D7"/>
    <w:rsid w:val="00BF218C"/>
    <w:rsid w:val="00BF2373"/>
    <w:rsid w:val="00C03A88"/>
    <w:rsid w:val="00C044E2"/>
    <w:rsid w:val="00C048CB"/>
    <w:rsid w:val="00C066F3"/>
    <w:rsid w:val="00C06865"/>
    <w:rsid w:val="00C07CA9"/>
    <w:rsid w:val="00C10783"/>
    <w:rsid w:val="00C11B07"/>
    <w:rsid w:val="00C129D5"/>
    <w:rsid w:val="00C13F36"/>
    <w:rsid w:val="00C15DC2"/>
    <w:rsid w:val="00C22AB0"/>
    <w:rsid w:val="00C250FE"/>
    <w:rsid w:val="00C31A6C"/>
    <w:rsid w:val="00C36878"/>
    <w:rsid w:val="00C443B6"/>
    <w:rsid w:val="00C44BB0"/>
    <w:rsid w:val="00C45BBB"/>
    <w:rsid w:val="00C463DD"/>
    <w:rsid w:val="00C60D93"/>
    <w:rsid w:val="00C62A7A"/>
    <w:rsid w:val="00C70809"/>
    <w:rsid w:val="00C745C3"/>
    <w:rsid w:val="00C805A7"/>
    <w:rsid w:val="00C83923"/>
    <w:rsid w:val="00C91166"/>
    <w:rsid w:val="00C9213B"/>
    <w:rsid w:val="00CA2221"/>
    <w:rsid w:val="00CA24A4"/>
    <w:rsid w:val="00CA3137"/>
    <w:rsid w:val="00CA3AF1"/>
    <w:rsid w:val="00CA44E1"/>
    <w:rsid w:val="00CB1981"/>
    <w:rsid w:val="00CB348D"/>
    <w:rsid w:val="00CB34BE"/>
    <w:rsid w:val="00CB4FCE"/>
    <w:rsid w:val="00CB51DE"/>
    <w:rsid w:val="00CB5B76"/>
    <w:rsid w:val="00CB763D"/>
    <w:rsid w:val="00CC0178"/>
    <w:rsid w:val="00CC1589"/>
    <w:rsid w:val="00CC1B3A"/>
    <w:rsid w:val="00CC4E06"/>
    <w:rsid w:val="00CC4EC6"/>
    <w:rsid w:val="00CD1C17"/>
    <w:rsid w:val="00CD2214"/>
    <w:rsid w:val="00CD46F5"/>
    <w:rsid w:val="00CD58A9"/>
    <w:rsid w:val="00CD6883"/>
    <w:rsid w:val="00CD6C29"/>
    <w:rsid w:val="00CE2428"/>
    <w:rsid w:val="00CE4A8F"/>
    <w:rsid w:val="00CE52ED"/>
    <w:rsid w:val="00CF071D"/>
    <w:rsid w:val="00CF102B"/>
    <w:rsid w:val="00CF116C"/>
    <w:rsid w:val="00D00745"/>
    <w:rsid w:val="00D03595"/>
    <w:rsid w:val="00D15B04"/>
    <w:rsid w:val="00D2031B"/>
    <w:rsid w:val="00D22806"/>
    <w:rsid w:val="00D231B0"/>
    <w:rsid w:val="00D23EAC"/>
    <w:rsid w:val="00D25EC1"/>
    <w:rsid w:val="00D25FE2"/>
    <w:rsid w:val="00D37DA9"/>
    <w:rsid w:val="00D406A7"/>
    <w:rsid w:val="00D43252"/>
    <w:rsid w:val="00D44D86"/>
    <w:rsid w:val="00D4540B"/>
    <w:rsid w:val="00D50B7D"/>
    <w:rsid w:val="00D52012"/>
    <w:rsid w:val="00D52588"/>
    <w:rsid w:val="00D53D19"/>
    <w:rsid w:val="00D57536"/>
    <w:rsid w:val="00D6633F"/>
    <w:rsid w:val="00D704E5"/>
    <w:rsid w:val="00D72727"/>
    <w:rsid w:val="00D731DD"/>
    <w:rsid w:val="00D73D7E"/>
    <w:rsid w:val="00D8478F"/>
    <w:rsid w:val="00D871AC"/>
    <w:rsid w:val="00D90395"/>
    <w:rsid w:val="00D90415"/>
    <w:rsid w:val="00D917F9"/>
    <w:rsid w:val="00D91E8D"/>
    <w:rsid w:val="00D978C6"/>
    <w:rsid w:val="00DA0956"/>
    <w:rsid w:val="00DA121A"/>
    <w:rsid w:val="00DA357F"/>
    <w:rsid w:val="00DA3E12"/>
    <w:rsid w:val="00DB0BFD"/>
    <w:rsid w:val="00DB5900"/>
    <w:rsid w:val="00DB66FA"/>
    <w:rsid w:val="00DB7C75"/>
    <w:rsid w:val="00DC18AD"/>
    <w:rsid w:val="00DC36B8"/>
    <w:rsid w:val="00DC584A"/>
    <w:rsid w:val="00DD3FE8"/>
    <w:rsid w:val="00DE0CB9"/>
    <w:rsid w:val="00DE178B"/>
    <w:rsid w:val="00DE5105"/>
    <w:rsid w:val="00DF1147"/>
    <w:rsid w:val="00DF1A1E"/>
    <w:rsid w:val="00DF4518"/>
    <w:rsid w:val="00DF45EB"/>
    <w:rsid w:val="00DF6A82"/>
    <w:rsid w:val="00DF7CAE"/>
    <w:rsid w:val="00E02011"/>
    <w:rsid w:val="00E1773B"/>
    <w:rsid w:val="00E324A0"/>
    <w:rsid w:val="00E37495"/>
    <w:rsid w:val="00E423C0"/>
    <w:rsid w:val="00E50BC6"/>
    <w:rsid w:val="00E53624"/>
    <w:rsid w:val="00E550E7"/>
    <w:rsid w:val="00E57974"/>
    <w:rsid w:val="00E62965"/>
    <w:rsid w:val="00E6414C"/>
    <w:rsid w:val="00E672F0"/>
    <w:rsid w:val="00E71DC6"/>
    <w:rsid w:val="00E7260F"/>
    <w:rsid w:val="00E82C50"/>
    <w:rsid w:val="00E8461F"/>
    <w:rsid w:val="00E86772"/>
    <w:rsid w:val="00E8702D"/>
    <w:rsid w:val="00E87C7D"/>
    <w:rsid w:val="00E916A9"/>
    <w:rsid w:val="00E916DE"/>
    <w:rsid w:val="00E9388E"/>
    <w:rsid w:val="00E96630"/>
    <w:rsid w:val="00EA166C"/>
    <w:rsid w:val="00EA586A"/>
    <w:rsid w:val="00EB5B1B"/>
    <w:rsid w:val="00EC10B9"/>
    <w:rsid w:val="00ED18DC"/>
    <w:rsid w:val="00ED6201"/>
    <w:rsid w:val="00ED7A2A"/>
    <w:rsid w:val="00ED7F40"/>
    <w:rsid w:val="00EE4832"/>
    <w:rsid w:val="00EF1D7F"/>
    <w:rsid w:val="00EF4426"/>
    <w:rsid w:val="00F0137E"/>
    <w:rsid w:val="00F0148F"/>
    <w:rsid w:val="00F028CE"/>
    <w:rsid w:val="00F21786"/>
    <w:rsid w:val="00F237F4"/>
    <w:rsid w:val="00F347BC"/>
    <w:rsid w:val="00F3742B"/>
    <w:rsid w:val="00F40CCF"/>
    <w:rsid w:val="00F41FDB"/>
    <w:rsid w:val="00F5337D"/>
    <w:rsid w:val="00F5390C"/>
    <w:rsid w:val="00F56D63"/>
    <w:rsid w:val="00F609A9"/>
    <w:rsid w:val="00F6280E"/>
    <w:rsid w:val="00F7472D"/>
    <w:rsid w:val="00F80C99"/>
    <w:rsid w:val="00F867EC"/>
    <w:rsid w:val="00F91B2B"/>
    <w:rsid w:val="00FA28CC"/>
    <w:rsid w:val="00FA3135"/>
    <w:rsid w:val="00FA3269"/>
    <w:rsid w:val="00FB468B"/>
    <w:rsid w:val="00FC03CD"/>
    <w:rsid w:val="00FC0646"/>
    <w:rsid w:val="00FC0826"/>
    <w:rsid w:val="00FC161F"/>
    <w:rsid w:val="00FC2FC6"/>
    <w:rsid w:val="00FC55A7"/>
    <w:rsid w:val="00FC68B7"/>
    <w:rsid w:val="00FD0A90"/>
    <w:rsid w:val="00FD2FE2"/>
    <w:rsid w:val="00FD6E23"/>
    <w:rsid w:val="00FE58E6"/>
    <w:rsid w:val="00FE698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241"/>
    <o:shapelayout v:ext="edit">
      <o:idmap v:ext="edit" data="1"/>
    </o:shapelayout>
  </w:shapeDefaults>
  <w:decimalSymbol w:val="."/>
  <w:listSeparator w:val=","/>
  <w14:docId w14:val="6EF7608F"/>
  <w15:chartTrackingRefBased/>
  <w15:docId w15:val="{9AD88CB2-792D-42DE-9916-088BD6F1C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qFormat="1"/>
    <w:lsdException w:name="caption" w:semiHidden="1" w:unhideWhenUsed="1" w:qFormat="1"/>
    <w:lsdException w:name="footnote reference" w:qFormat="1"/>
    <w:lsdException w:name="Title" w:qFormat="1"/>
    <w:lsdException w:name="Subtitle" w:qFormat="1"/>
    <w:lsdException w:name="Strong" w:qFormat="1"/>
    <w:lsdException w:name="Emphasis"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643C6"/>
    <w:pPr>
      <w:spacing w:after="240"/>
    </w:pPr>
    <w:rPr>
      <w:lang w:val="en-GB"/>
    </w:rPr>
  </w:style>
  <w:style w:type="paragraph" w:styleId="Heading1">
    <w:name w:val="heading 1"/>
    <w:aliases w:val="Table_G"/>
    <w:basedOn w:val="SingleTxtG"/>
    <w:next w:val="SingleTxtG"/>
    <w:qFormat/>
    <w:rsid w:val="00ED7A2A"/>
    <w:pPr>
      <w:spacing w:after="0"/>
      <w:ind w:right="0"/>
      <w:jc w:val="left"/>
      <w:outlineLvl w:val="0"/>
    </w:pPr>
  </w:style>
  <w:style w:type="paragraph" w:styleId="Heading2">
    <w:name w:val="heading 2"/>
    <w:basedOn w:val="Normal"/>
    <w:next w:val="Normal"/>
    <w:qFormat/>
    <w:pPr>
      <w:outlineLvl w:val="1"/>
    </w:pPr>
  </w:style>
  <w:style w:type="paragraph" w:styleId="Heading3">
    <w:name w:val="heading 3"/>
    <w:basedOn w:val="Normal"/>
    <w:next w:val="Normal"/>
    <w:qFormat/>
    <w:pPr>
      <w:outlineLvl w:val="2"/>
    </w:pPr>
  </w:style>
  <w:style w:type="paragraph" w:styleId="Heading4">
    <w:name w:val="heading 4"/>
    <w:basedOn w:val="Normal"/>
    <w:next w:val="Normal"/>
    <w:qFormat/>
    <w:pPr>
      <w:outlineLvl w:val="3"/>
    </w:pPr>
  </w:style>
  <w:style w:type="paragraph" w:styleId="Heading5">
    <w:name w:val="heading 5"/>
    <w:basedOn w:val="Normal"/>
    <w:next w:val="Normal"/>
    <w:qFormat/>
    <w:pPr>
      <w:outlineLvl w:val="4"/>
    </w:pPr>
  </w:style>
  <w:style w:type="paragraph" w:styleId="Heading6">
    <w:name w:val="heading 6"/>
    <w:basedOn w:val="Normal"/>
    <w:next w:val="Normal"/>
    <w:qFormat/>
    <w:pPr>
      <w:outlineLvl w:val="5"/>
    </w:pPr>
  </w:style>
  <w:style w:type="paragraph" w:styleId="Heading7">
    <w:name w:val="heading 7"/>
    <w:basedOn w:val="Normal"/>
    <w:next w:val="Normal"/>
    <w:qFormat/>
    <w:pPr>
      <w:outlineLvl w:val="6"/>
    </w:pPr>
  </w:style>
  <w:style w:type="paragraph" w:styleId="Heading8">
    <w:name w:val="heading 8"/>
    <w:basedOn w:val="Normal"/>
    <w:next w:val="Normal"/>
    <w:qFormat/>
    <w:pPr>
      <w:outlineLvl w:val="7"/>
    </w:pPr>
  </w:style>
  <w:style w:type="paragraph" w:styleId="Heading9">
    <w:name w:val="heading 9"/>
    <w:basedOn w:val="Normal"/>
    <w:next w:val="Normal"/>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ar"/>
    <w:qFormat/>
    <w:pPr>
      <w:spacing w:after="120"/>
      <w:ind w:left="1134" w:right="1134"/>
      <w:jc w:val="both"/>
    </w:pPr>
  </w:style>
  <w:style w:type="paragraph" w:customStyle="1" w:styleId="HMG">
    <w:name w:val="_ H __M_G"/>
    <w:basedOn w:val="Normal"/>
    <w:next w:val="Normal"/>
    <w:pPr>
      <w:keepNext/>
      <w:keepLines/>
      <w:tabs>
        <w:tab w:val="right" w:pos="851"/>
      </w:tabs>
      <w:spacing w:before="240" w:line="360" w:lineRule="exact"/>
      <w:ind w:left="1134" w:right="1134" w:hanging="1134"/>
    </w:pPr>
    <w:rPr>
      <w:b/>
      <w:sz w:val="34"/>
    </w:rPr>
  </w:style>
  <w:style w:type="paragraph" w:customStyle="1" w:styleId="HChG">
    <w:name w:val="_ H _Ch_G"/>
    <w:basedOn w:val="Normal"/>
    <w:next w:val="Normal"/>
    <w:link w:val="HChGChar"/>
    <w:qFormat/>
    <w:pPr>
      <w:keepNext/>
      <w:keepLines/>
      <w:tabs>
        <w:tab w:val="right" w:pos="851"/>
      </w:tabs>
      <w:spacing w:before="360" w:line="300" w:lineRule="exact"/>
      <w:ind w:left="1134" w:right="1134" w:hanging="1134"/>
    </w:pPr>
    <w:rPr>
      <w:b/>
      <w:sz w:val="28"/>
    </w:rPr>
  </w:style>
  <w:style w:type="character" w:styleId="PageNumber">
    <w:name w:val="page number"/>
    <w:aliases w:val="7_G"/>
    <w:rsid w:val="008979B1"/>
    <w:rPr>
      <w:rFonts w:ascii="Times New Roman" w:hAnsi="Times New Roman"/>
      <w:b/>
      <w:sz w:val="18"/>
    </w:rPr>
  </w:style>
  <w:style w:type="paragraph" w:customStyle="1" w:styleId="SMG">
    <w:name w:val="__S_M_G"/>
    <w:basedOn w:val="Normal"/>
    <w:next w:val="Normal"/>
    <w:rsid w:val="00E96630"/>
    <w:pPr>
      <w:keepNext/>
      <w:keepLines/>
      <w:spacing w:before="240" w:line="420" w:lineRule="exact"/>
      <w:ind w:left="1134" w:right="1134"/>
    </w:pPr>
    <w:rPr>
      <w:b/>
      <w:sz w:val="40"/>
    </w:rPr>
  </w:style>
  <w:style w:type="paragraph" w:customStyle="1" w:styleId="SLG">
    <w:name w:val="__S_L_G"/>
    <w:basedOn w:val="Normal"/>
    <w:next w:val="Normal"/>
    <w:rsid w:val="008A6B25"/>
    <w:pPr>
      <w:keepNext/>
      <w:keepLines/>
      <w:spacing w:before="240" w:line="580" w:lineRule="exact"/>
      <w:ind w:left="1134" w:right="1134"/>
    </w:pPr>
    <w:rPr>
      <w:b/>
      <w:sz w:val="56"/>
    </w:rPr>
  </w:style>
  <w:style w:type="paragraph" w:customStyle="1" w:styleId="SSG">
    <w:name w:val="__S_S_G"/>
    <w:basedOn w:val="Normal"/>
    <w:next w:val="Normal"/>
    <w:rsid w:val="00C745C3"/>
    <w:pPr>
      <w:keepNext/>
      <w:keepLines/>
      <w:spacing w:before="240" w:line="300" w:lineRule="exact"/>
      <w:ind w:left="1134" w:right="1134"/>
    </w:pPr>
    <w:rPr>
      <w:b/>
      <w:sz w:val="28"/>
    </w:rPr>
  </w:style>
  <w:style w:type="character" w:styleId="EndnoteReference">
    <w:name w:val="endnote reference"/>
    <w:aliases w:val="1_G"/>
    <w:rsid w:val="007B6BA5"/>
    <w:rPr>
      <w:rFonts w:ascii="Times New Roman" w:hAnsi="Times New Roman"/>
      <w:sz w:val="18"/>
      <w:vertAlign w:val="superscript"/>
    </w:rPr>
  </w:style>
  <w:style w:type="character" w:styleId="FootnoteReference">
    <w:name w:val="footnote reference"/>
    <w:aliases w:val="4_G,Footnote Reference/"/>
    <w:qFormat/>
    <w:rsid w:val="007B6BA5"/>
    <w:rPr>
      <w:rFonts w:ascii="Times New Roman" w:hAnsi="Times New Roman"/>
      <w:sz w:val="18"/>
      <w:vertAlign w:val="superscript"/>
    </w:rPr>
  </w:style>
  <w:style w:type="paragraph" w:styleId="FootnoteText">
    <w:name w:val="footnote text"/>
    <w:aliases w:val="5_G"/>
    <w:basedOn w:val="Normal"/>
    <w:link w:val="FootnoteTextChar"/>
    <w:qFormat/>
    <w:rsid w:val="00F0137E"/>
    <w:pPr>
      <w:tabs>
        <w:tab w:val="right" w:pos="1021"/>
      </w:tabs>
      <w:spacing w:line="220" w:lineRule="exact"/>
      <w:ind w:left="1134" w:right="1134" w:hanging="1134"/>
    </w:pPr>
    <w:rPr>
      <w:sz w:val="18"/>
    </w:rPr>
  </w:style>
  <w:style w:type="paragraph" w:customStyle="1" w:styleId="XLargeG">
    <w:name w:val="__XLarge_G"/>
    <w:basedOn w:val="Normal"/>
    <w:next w:val="Normal"/>
    <w:rsid w:val="000E0415"/>
    <w:pPr>
      <w:keepNext/>
      <w:keepLines/>
      <w:spacing w:before="240" w:line="420" w:lineRule="exact"/>
      <w:ind w:left="1134" w:right="1134"/>
    </w:pPr>
    <w:rPr>
      <w:b/>
      <w:sz w:val="40"/>
    </w:rPr>
  </w:style>
  <w:style w:type="paragraph" w:customStyle="1" w:styleId="Bullet1G">
    <w:name w:val="_Bullet 1_G"/>
    <w:basedOn w:val="Normal"/>
    <w:uiPriority w:val="99"/>
    <w:rsid w:val="00AF3A98"/>
    <w:pPr>
      <w:numPr>
        <w:numId w:val="17"/>
      </w:numPr>
      <w:spacing w:after="120"/>
      <w:ind w:right="1134"/>
      <w:jc w:val="both"/>
    </w:pPr>
  </w:style>
  <w:style w:type="paragraph" w:styleId="EndnoteText">
    <w:name w:val="endnote text"/>
    <w:aliases w:val="2_G"/>
    <w:basedOn w:val="FootnoteText"/>
    <w:rsid w:val="007B6BA5"/>
  </w:style>
  <w:style w:type="paragraph" w:customStyle="1" w:styleId="Bullet2G">
    <w:name w:val="_Bullet 2_G"/>
    <w:basedOn w:val="Normal"/>
    <w:rsid w:val="00AF3A98"/>
    <w:pPr>
      <w:numPr>
        <w:numId w:val="18"/>
      </w:numPr>
      <w:spacing w:after="120"/>
      <w:ind w:right="1134"/>
      <w:jc w:val="both"/>
    </w:pPr>
  </w:style>
  <w:style w:type="paragraph" w:customStyle="1" w:styleId="H1G">
    <w:name w:val="_ H_1_G"/>
    <w:basedOn w:val="Normal"/>
    <w:next w:val="Normal"/>
    <w:link w:val="H1GChar"/>
    <w:qFormat/>
    <w:pPr>
      <w:keepNext/>
      <w:keepLines/>
      <w:tabs>
        <w:tab w:val="right" w:pos="851"/>
      </w:tabs>
      <w:spacing w:before="360" w:line="270" w:lineRule="exact"/>
      <w:ind w:left="1134" w:right="1134" w:hanging="1134"/>
    </w:pPr>
    <w:rPr>
      <w:b/>
      <w:sz w:val="24"/>
    </w:rPr>
  </w:style>
  <w:style w:type="paragraph" w:customStyle="1" w:styleId="H23G">
    <w:name w:val="_ H_2/3_G"/>
    <w:basedOn w:val="Normal"/>
    <w:next w:val="Normal"/>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AF3A98"/>
    <w:pPr>
      <w:keepNext/>
      <w:keepLines/>
      <w:tabs>
        <w:tab w:val="right" w:pos="851"/>
      </w:tabs>
      <w:spacing w:before="240" w:after="120" w:line="240" w:lineRule="exact"/>
      <w:ind w:left="1134" w:right="1134" w:hanging="1134"/>
    </w:pPr>
  </w:style>
  <w:style w:type="character" w:styleId="Hyperlink">
    <w:name w:val="Hyperlink"/>
    <w:semiHidden/>
    <w:rsid w:val="00A23E9E"/>
    <w:rPr>
      <w:color w:val="auto"/>
      <w:u w:val="none"/>
    </w:rPr>
  </w:style>
  <w:style w:type="paragraph" w:styleId="Footer">
    <w:name w:val="footer"/>
    <w:aliases w:val="3_G"/>
    <w:basedOn w:val="Normal"/>
    <w:rsid w:val="009F2EAC"/>
    <w:rPr>
      <w:sz w:val="16"/>
    </w:rPr>
  </w:style>
  <w:style w:type="paragraph" w:styleId="Header">
    <w:name w:val="header"/>
    <w:aliases w:val="6_G"/>
    <w:basedOn w:val="Normal"/>
    <w:link w:val="HeaderChar"/>
    <w:rsid w:val="00050F6B"/>
    <w:pPr>
      <w:pBdr>
        <w:bottom w:val="single" w:sz="4" w:space="4" w:color="auto"/>
      </w:pBdr>
    </w:pPr>
    <w:rPr>
      <w:b/>
      <w:sz w:val="18"/>
    </w:rPr>
  </w:style>
  <w:style w:type="character" w:customStyle="1" w:styleId="HeaderChar">
    <w:name w:val="Header Char"/>
    <w:aliases w:val="6_G Char"/>
    <w:link w:val="Header"/>
    <w:rsid w:val="006643C6"/>
    <w:rPr>
      <w:b/>
      <w:sz w:val="18"/>
      <w:lang w:val="en-GB" w:eastAsia="en-US" w:bidi="ar-SA"/>
    </w:rPr>
  </w:style>
  <w:style w:type="table" w:styleId="TableGrid">
    <w:name w:val="Table Grid"/>
    <w:basedOn w:val="TableNormal"/>
    <w:semiHidden/>
    <w:rsid w:val="00A45CB7"/>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semiHidden/>
    <w:rsid w:val="00A23E9E"/>
    <w:rPr>
      <w:color w:val="auto"/>
      <w:u w:val="none"/>
    </w:rPr>
  </w:style>
  <w:style w:type="character" w:customStyle="1" w:styleId="HChGChar">
    <w:name w:val="_ H _Ch_G Char"/>
    <w:link w:val="HChG"/>
    <w:qFormat/>
    <w:rsid w:val="006643C6"/>
    <w:rPr>
      <w:b/>
      <w:sz w:val="28"/>
      <w:lang w:val="en-GB" w:eastAsia="en-US" w:bidi="ar-SA"/>
    </w:rPr>
  </w:style>
  <w:style w:type="paragraph" w:customStyle="1" w:styleId="Standardowy">
    <w:name w:val="Standardowy"/>
    <w:rsid w:val="001F12DF"/>
    <w:rPr>
      <w:rFonts w:ascii="Arial" w:hAnsi="Arial"/>
      <w:snapToGrid w:val="0"/>
      <w:sz w:val="24"/>
      <w:lang w:val="en-GB"/>
    </w:rPr>
  </w:style>
  <w:style w:type="table" w:customStyle="1" w:styleId="TableGrid1">
    <w:name w:val="Table Grid1"/>
    <w:basedOn w:val="TableNormal"/>
    <w:next w:val="TableGrid"/>
    <w:rsid w:val="002574B9"/>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D22806"/>
    <w:pPr>
      <w:spacing w:after="0"/>
    </w:pPr>
    <w:rPr>
      <w:rFonts w:ascii="Tahoma" w:hAnsi="Tahoma" w:cs="Tahoma"/>
      <w:sz w:val="16"/>
      <w:szCs w:val="16"/>
    </w:rPr>
  </w:style>
  <w:style w:type="character" w:customStyle="1" w:styleId="BalloonTextChar">
    <w:name w:val="Balloon Text Char"/>
    <w:link w:val="BalloonText"/>
    <w:rsid w:val="00D22806"/>
    <w:rPr>
      <w:rFonts w:ascii="Tahoma" w:hAnsi="Tahoma" w:cs="Tahoma"/>
      <w:sz w:val="16"/>
      <w:szCs w:val="16"/>
      <w:lang w:eastAsia="en-US"/>
    </w:rPr>
  </w:style>
  <w:style w:type="character" w:customStyle="1" w:styleId="SingleTxtGCar">
    <w:name w:val="_ Single Txt_G Car"/>
    <w:link w:val="SingleTxtG"/>
    <w:rsid w:val="00FA3269"/>
    <w:rPr>
      <w:lang w:val="en-GB" w:eastAsia="en-US"/>
    </w:rPr>
  </w:style>
  <w:style w:type="character" w:customStyle="1" w:styleId="H1GChar">
    <w:name w:val="_ H_1_G Char"/>
    <w:link w:val="H1G"/>
    <w:qFormat/>
    <w:rsid w:val="00D6633F"/>
    <w:rPr>
      <w:b/>
      <w:sz w:val="24"/>
      <w:lang w:eastAsia="en-US"/>
    </w:rPr>
  </w:style>
  <w:style w:type="character" w:customStyle="1" w:styleId="SingleTxtGChar">
    <w:name w:val="_ Single Txt_G Char"/>
    <w:qFormat/>
    <w:locked/>
    <w:rsid w:val="0079577B"/>
    <w:rPr>
      <w:lang w:val="en-GB" w:eastAsia="en-US"/>
    </w:rPr>
  </w:style>
  <w:style w:type="character" w:styleId="UnresolvedMention">
    <w:name w:val="Unresolved Mention"/>
    <w:basedOn w:val="DefaultParagraphFont"/>
    <w:uiPriority w:val="99"/>
    <w:semiHidden/>
    <w:unhideWhenUsed/>
    <w:rsid w:val="00C03A88"/>
    <w:rPr>
      <w:color w:val="605E5C"/>
      <w:shd w:val="clear" w:color="auto" w:fill="E1DFDD"/>
    </w:rPr>
  </w:style>
  <w:style w:type="character" w:customStyle="1" w:styleId="FootnoteTextChar">
    <w:name w:val="Footnote Text Char"/>
    <w:aliases w:val="5_G Char"/>
    <w:link w:val="FootnoteText"/>
    <w:qFormat/>
    <w:rsid w:val="00870DFB"/>
    <w:rPr>
      <w:sz w:val="18"/>
      <w:lang w:val="en-GB"/>
    </w:rPr>
  </w:style>
  <w:style w:type="paragraph" w:styleId="ListParagraph">
    <w:name w:val="List Paragraph"/>
    <w:basedOn w:val="Normal"/>
    <w:uiPriority w:val="34"/>
    <w:qFormat/>
    <w:rsid w:val="004755FA"/>
    <w:pPr>
      <w:spacing w:after="160" w:line="259" w:lineRule="auto"/>
      <w:ind w:left="720"/>
      <w:contextualSpacing/>
    </w:pPr>
    <w:rPr>
      <w:rFonts w:asciiTheme="minorHAnsi" w:eastAsiaTheme="minorHAnsi" w:hAnsiTheme="minorHAnsi" w:cstheme="minorBidi"/>
      <w:sz w:val="22"/>
      <w:szCs w:val="22"/>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7343292">
      <w:bodyDiv w:val="1"/>
      <w:marLeft w:val="0"/>
      <w:marRight w:val="0"/>
      <w:marTop w:val="0"/>
      <w:marBottom w:val="0"/>
      <w:divBdr>
        <w:top w:val="none" w:sz="0" w:space="0" w:color="auto"/>
        <w:left w:val="none" w:sz="0" w:space="0" w:color="auto"/>
        <w:bottom w:val="none" w:sz="0" w:space="0" w:color="auto"/>
        <w:right w:val="none" w:sz="0" w:space="0" w:color="auto"/>
      </w:divBdr>
    </w:div>
    <w:div w:id="1882396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7A128-0394-4E9D-B681-4D2CBE745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Pages>
  <Words>2342</Words>
  <Characters>13350</Characters>
  <Application>Microsoft Office Word</Application>
  <DocSecurity>0</DocSecurity>
  <Lines>111</Lines>
  <Paragraphs>31</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INF</vt:lpstr>
      <vt:lpstr>INF</vt:lpstr>
      <vt:lpstr>INF</vt:lpstr>
    </vt:vector>
  </TitlesOfParts>
  <Company>UNECE</Company>
  <LinksUpToDate>false</LinksUpToDate>
  <CharactersWithSpaces>15661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dc:title>
  <dc:subject/>
  <dc:creator>Berthet</dc:creator>
  <cp:keywords/>
  <cp:lastModifiedBy>Christine Barrio-Champeau</cp:lastModifiedBy>
  <cp:revision>3</cp:revision>
  <cp:lastPrinted>2019-09-04T12:53:00Z</cp:lastPrinted>
  <dcterms:created xsi:type="dcterms:W3CDTF">2019-09-04T12:54:00Z</dcterms:created>
  <dcterms:modified xsi:type="dcterms:W3CDTF">2019-09-06T14:24:00Z</dcterms:modified>
</cp:coreProperties>
</file>