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D7BAAD" w14:textId="77777777" w:rsidTr="00C97039">
        <w:trPr>
          <w:trHeight w:hRule="exact" w:val="851"/>
        </w:trPr>
        <w:tc>
          <w:tcPr>
            <w:tcW w:w="1276" w:type="dxa"/>
            <w:tcBorders>
              <w:bottom w:val="single" w:sz="4" w:space="0" w:color="auto"/>
            </w:tcBorders>
          </w:tcPr>
          <w:p w14:paraId="17875C5E" w14:textId="77777777" w:rsidR="00F35BAF" w:rsidRPr="00DB58B5" w:rsidRDefault="00F35BAF" w:rsidP="0002751C">
            <w:bookmarkStart w:id="0" w:name="_GoBack"/>
            <w:bookmarkEnd w:id="0"/>
          </w:p>
        </w:tc>
        <w:tc>
          <w:tcPr>
            <w:tcW w:w="2268" w:type="dxa"/>
            <w:tcBorders>
              <w:bottom w:val="single" w:sz="4" w:space="0" w:color="auto"/>
            </w:tcBorders>
            <w:vAlign w:val="bottom"/>
          </w:tcPr>
          <w:p w14:paraId="3EEF3D0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059FFE" w14:textId="77777777" w:rsidR="00F35BAF" w:rsidRPr="00DB58B5" w:rsidRDefault="0002751C" w:rsidP="0002751C">
            <w:pPr>
              <w:jc w:val="right"/>
            </w:pPr>
            <w:r w:rsidRPr="0002751C">
              <w:rPr>
                <w:sz w:val="40"/>
              </w:rPr>
              <w:t>ECE</w:t>
            </w:r>
            <w:r>
              <w:t>/TRANS/WP.15/AC.1/2019/26</w:t>
            </w:r>
          </w:p>
        </w:tc>
      </w:tr>
      <w:tr w:rsidR="00F35BAF" w:rsidRPr="00DB58B5" w14:paraId="01E4459C" w14:textId="77777777" w:rsidTr="00C97039">
        <w:trPr>
          <w:trHeight w:hRule="exact" w:val="2835"/>
        </w:trPr>
        <w:tc>
          <w:tcPr>
            <w:tcW w:w="1276" w:type="dxa"/>
            <w:tcBorders>
              <w:top w:val="single" w:sz="4" w:space="0" w:color="auto"/>
              <w:bottom w:val="single" w:sz="12" w:space="0" w:color="auto"/>
            </w:tcBorders>
          </w:tcPr>
          <w:p w14:paraId="6C214BCC" w14:textId="77777777" w:rsidR="00F35BAF" w:rsidRPr="00DB58B5" w:rsidRDefault="00F35BAF" w:rsidP="00C97039">
            <w:pPr>
              <w:spacing w:before="120"/>
              <w:jc w:val="center"/>
            </w:pPr>
            <w:r>
              <w:rPr>
                <w:noProof/>
                <w:lang w:eastAsia="fr-CH"/>
              </w:rPr>
              <w:drawing>
                <wp:inline distT="0" distB="0" distL="0" distR="0" wp14:anchorId="0EE5914B" wp14:editId="1803AB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65BFD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E7DFA04" w14:textId="77777777" w:rsidR="00F35BAF" w:rsidRDefault="0002751C" w:rsidP="00C97039">
            <w:pPr>
              <w:spacing w:before="240"/>
            </w:pPr>
            <w:r>
              <w:t>Distr. générale</w:t>
            </w:r>
          </w:p>
          <w:p w14:paraId="21ED53E8" w14:textId="77777777" w:rsidR="0002751C" w:rsidRDefault="0002751C" w:rsidP="0002751C">
            <w:pPr>
              <w:spacing w:line="240" w:lineRule="exact"/>
            </w:pPr>
            <w:r>
              <w:t>19 juin 2019</w:t>
            </w:r>
          </w:p>
          <w:p w14:paraId="28B8A6B3" w14:textId="77777777" w:rsidR="0002751C" w:rsidRDefault="0002751C" w:rsidP="0002751C">
            <w:pPr>
              <w:spacing w:line="240" w:lineRule="exact"/>
            </w:pPr>
            <w:r>
              <w:t>Français</w:t>
            </w:r>
          </w:p>
          <w:p w14:paraId="4EDFFC70" w14:textId="77777777" w:rsidR="0002751C" w:rsidRPr="00DB58B5" w:rsidRDefault="0002751C" w:rsidP="0002751C">
            <w:pPr>
              <w:spacing w:line="240" w:lineRule="exact"/>
            </w:pPr>
            <w:r>
              <w:t>Original : anglais</w:t>
            </w:r>
          </w:p>
        </w:tc>
      </w:tr>
    </w:tbl>
    <w:p w14:paraId="2D4F1AE2" w14:textId="77777777" w:rsidR="007F20FA" w:rsidRPr="000312C0" w:rsidRDefault="007F20FA" w:rsidP="007F20FA">
      <w:pPr>
        <w:spacing w:before="120"/>
        <w:rPr>
          <w:b/>
          <w:sz w:val="28"/>
          <w:szCs w:val="28"/>
        </w:rPr>
      </w:pPr>
      <w:r w:rsidRPr="000312C0">
        <w:rPr>
          <w:b/>
          <w:sz w:val="28"/>
          <w:szCs w:val="28"/>
        </w:rPr>
        <w:t>Commission économique pour l’Europe</w:t>
      </w:r>
    </w:p>
    <w:p w14:paraId="4EC72632" w14:textId="77777777" w:rsidR="007F20FA" w:rsidRDefault="007F20FA" w:rsidP="007F20FA">
      <w:pPr>
        <w:spacing w:before="120"/>
        <w:rPr>
          <w:sz w:val="28"/>
          <w:szCs w:val="28"/>
        </w:rPr>
      </w:pPr>
      <w:r w:rsidRPr="00685843">
        <w:rPr>
          <w:sz w:val="28"/>
          <w:szCs w:val="28"/>
        </w:rPr>
        <w:t>Comité des transports intérieurs</w:t>
      </w:r>
    </w:p>
    <w:p w14:paraId="491131B1" w14:textId="77777777" w:rsidR="00FC5BC6" w:rsidRPr="00AD60FF" w:rsidRDefault="00C5156E" w:rsidP="00AD60FF">
      <w:pPr>
        <w:spacing w:before="120"/>
        <w:rPr>
          <w:b/>
          <w:sz w:val="24"/>
          <w:szCs w:val="24"/>
        </w:rPr>
      </w:pPr>
      <w:r w:rsidRPr="00AD60FF">
        <w:rPr>
          <w:b/>
          <w:sz w:val="24"/>
          <w:szCs w:val="24"/>
        </w:rPr>
        <w:t>Groupe de travail des transports de marchandises dangereuses</w:t>
      </w:r>
    </w:p>
    <w:p w14:paraId="33AC31DD" w14:textId="77777777" w:rsidR="00FC5BC6" w:rsidRPr="0002751C" w:rsidRDefault="00C5156E" w:rsidP="00D92929">
      <w:pPr>
        <w:spacing w:before="120" w:after="120"/>
        <w:rPr>
          <w:b/>
        </w:rPr>
      </w:pPr>
      <w:r w:rsidRPr="00AD60FF">
        <w:rPr>
          <w:b/>
        </w:rPr>
        <w:t xml:space="preserve">Réunion commune de la Commission d’experts du RID et </w:t>
      </w:r>
      <w:r w:rsidR="00AD60FF">
        <w:rPr>
          <w:b/>
        </w:rPr>
        <w:br/>
      </w:r>
      <w:r w:rsidRPr="00AD60FF">
        <w:rPr>
          <w:b/>
        </w:rPr>
        <w:t>du Groupe de travail des transports de marchandises dangereuses</w:t>
      </w:r>
    </w:p>
    <w:p w14:paraId="7001A79A" w14:textId="77777777" w:rsidR="00FC5BC6" w:rsidRPr="0002751C" w:rsidRDefault="00C5156E" w:rsidP="001A5A32">
      <w:r w:rsidRPr="00AD60FF">
        <w:t>Genève, 17</w:t>
      </w:r>
      <w:r w:rsidR="005D41F0">
        <w:noBreakHyphen/>
      </w:r>
      <w:r w:rsidRPr="00AD60FF">
        <w:t>27 septembre 2019</w:t>
      </w:r>
    </w:p>
    <w:p w14:paraId="0A87A141" w14:textId="77777777" w:rsidR="00AD60FF" w:rsidRDefault="00C5156E" w:rsidP="00AD60FF">
      <w:r w:rsidRPr="00AD60FF">
        <w:t>Point 2 de l’ordre du jour provisoire</w:t>
      </w:r>
    </w:p>
    <w:p w14:paraId="1041FA15" w14:textId="77777777" w:rsidR="00FC5BC6" w:rsidRPr="00AD60FF" w:rsidRDefault="00C5156E" w:rsidP="00AD60FF">
      <w:r w:rsidRPr="0002751C">
        <w:rPr>
          <w:b/>
          <w:bCs/>
          <w:lang w:val="fr-FR"/>
        </w:rPr>
        <w:t>Citernes</w:t>
      </w:r>
    </w:p>
    <w:p w14:paraId="4E23A556" w14:textId="7598C2B9" w:rsidR="00FC5BC6" w:rsidRPr="0002751C" w:rsidRDefault="00C5156E" w:rsidP="00AD60FF">
      <w:pPr>
        <w:pStyle w:val="HChG"/>
      </w:pPr>
      <w:r w:rsidRPr="0002751C">
        <w:rPr>
          <w:lang w:val="fr-FR"/>
        </w:rPr>
        <w:tab/>
      </w:r>
      <w:r w:rsidRPr="0002751C">
        <w:rPr>
          <w:lang w:val="fr-FR"/>
        </w:rPr>
        <w:tab/>
        <w:t>Citernes</w:t>
      </w:r>
      <w:r w:rsidR="00AD60FF">
        <w:rPr>
          <w:lang w:val="fr-FR"/>
        </w:rPr>
        <w:t> </w:t>
      </w:r>
      <w:r w:rsidRPr="0002751C">
        <w:rPr>
          <w:lang w:val="fr-FR"/>
        </w:rPr>
        <w:t xml:space="preserve">: Citernes à déchets opérant sous vide </w:t>
      </w:r>
      <w:r w:rsidR="00393E58">
        <w:rPr>
          <w:lang w:val="fr-FR"/>
        </w:rPr>
        <w:br/>
      </w:r>
      <w:r w:rsidR="00AD60FF">
        <w:rPr>
          <w:lang w:val="fr-FR"/>
        </w:rPr>
        <w:t>−</w:t>
      </w:r>
      <w:r w:rsidRPr="0002751C">
        <w:rPr>
          <w:lang w:val="fr-FR"/>
        </w:rPr>
        <w:t xml:space="preserve"> détourner les vapeurs provenant de l’embouchure </w:t>
      </w:r>
      <w:r w:rsidR="00393E58">
        <w:rPr>
          <w:lang w:val="fr-FR"/>
        </w:rPr>
        <w:br/>
      </w:r>
      <w:r w:rsidRPr="0002751C">
        <w:rPr>
          <w:lang w:val="fr-FR"/>
        </w:rPr>
        <w:t xml:space="preserve">du dispositif pompe/exhausteur vers un endroit où </w:t>
      </w:r>
      <w:r w:rsidR="00393E58">
        <w:rPr>
          <w:lang w:val="fr-FR"/>
        </w:rPr>
        <w:br/>
      </w:r>
      <w:r w:rsidRPr="0002751C">
        <w:rPr>
          <w:lang w:val="fr-FR"/>
        </w:rPr>
        <w:t>elles ne pourront pas causer de danger</w:t>
      </w:r>
    </w:p>
    <w:p w14:paraId="488AA670" w14:textId="77777777" w:rsidR="00FC5BC6" w:rsidRDefault="00C5156E" w:rsidP="001A5A32">
      <w:pPr>
        <w:pStyle w:val="H1G"/>
        <w:rPr>
          <w:b w:val="0"/>
          <w:sz w:val="20"/>
        </w:rPr>
      </w:pPr>
      <w:r w:rsidRPr="0002751C">
        <w:rPr>
          <w:lang w:val="fr-FR"/>
        </w:rPr>
        <w:tab/>
      </w:r>
      <w:r w:rsidRPr="0002751C">
        <w:rPr>
          <w:lang w:val="fr-FR"/>
        </w:rPr>
        <w:tab/>
        <w:t>Communication du Gouvernement du Royaume-Uni</w:t>
      </w:r>
      <w:r w:rsidR="001A5A32" w:rsidRPr="0025340E">
        <w:rPr>
          <w:rStyle w:val="FootnoteReference"/>
          <w:b w:val="0"/>
          <w:sz w:val="20"/>
          <w:vertAlign w:val="baseline"/>
        </w:rPr>
        <w:footnoteReference w:customMarkFollows="1" w:id="2"/>
        <w:t>*</w:t>
      </w:r>
      <w:r w:rsidRPr="0025340E">
        <w:rPr>
          <w:b w:val="0"/>
          <w:position w:val="6"/>
          <w:sz w:val="20"/>
          <w:lang w:val="fr-FR"/>
        </w:rPr>
        <w:t>,</w:t>
      </w:r>
      <w:r w:rsidR="0025340E" w:rsidRPr="0025340E">
        <w:rPr>
          <w:b w:val="0"/>
          <w:sz w:val="20"/>
          <w:vertAlign w:val="superscript"/>
          <w:lang w:val="fr-FR"/>
        </w:rPr>
        <w:t xml:space="preserve"> </w:t>
      </w:r>
      <w:r w:rsidR="001A5A32" w:rsidRPr="0025340E">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A5A32" w14:paraId="07D98B85" w14:textId="77777777">
        <w:trPr>
          <w:jc w:val="center"/>
        </w:trPr>
        <w:tc>
          <w:tcPr>
            <w:tcW w:w="9637" w:type="dxa"/>
            <w:shd w:val="clear" w:color="auto" w:fill="auto"/>
          </w:tcPr>
          <w:p w14:paraId="0A1FFA7F" w14:textId="77777777" w:rsidR="001A5A32" w:rsidRDefault="001A5A32">
            <w:pPr>
              <w:spacing w:before="240" w:after="120"/>
              <w:ind w:left="255"/>
              <w:rPr>
                <w:i/>
                <w:sz w:val="24"/>
              </w:rPr>
            </w:pPr>
            <w:r>
              <w:rPr>
                <w:i/>
                <w:sz w:val="24"/>
              </w:rPr>
              <w:t>Résumé</w:t>
            </w:r>
          </w:p>
        </w:tc>
      </w:tr>
      <w:tr w:rsidR="001A5A32" w14:paraId="46A11134" w14:textId="77777777">
        <w:trPr>
          <w:jc w:val="center"/>
        </w:trPr>
        <w:tc>
          <w:tcPr>
            <w:tcW w:w="9637" w:type="dxa"/>
            <w:shd w:val="clear" w:color="auto" w:fill="auto"/>
          </w:tcPr>
          <w:p w14:paraId="3FCA1554" w14:textId="77777777" w:rsidR="001A5A32" w:rsidRDefault="001A5A32" w:rsidP="006D36F9">
            <w:pPr>
              <w:kinsoku/>
              <w:overflowPunct/>
              <w:autoSpaceDE/>
              <w:autoSpaceDN/>
              <w:adjustRightInd/>
              <w:snapToGrid/>
              <w:spacing w:after="80"/>
              <w:ind w:left="3686" w:right="1134" w:hanging="2552"/>
              <w:jc w:val="both"/>
            </w:pPr>
            <w:r w:rsidRPr="0002751C">
              <w:rPr>
                <w:b/>
                <w:bCs/>
                <w:lang w:val="fr-FR"/>
              </w:rPr>
              <w:t>Résumé analytique</w:t>
            </w:r>
            <w:r>
              <w:rPr>
                <w:lang w:val="fr-FR"/>
              </w:rPr>
              <w:t> </w:t>
            </w:r>
            <w:r w:rsidRPr="001A5A32">
              <w:rPr>
                <w:b/>
                <w:lang w:val="fr-FR"/>
              </w:rPr>
              <w:t>:</w:t>
            </w:r>
            <w:r w:rsidRPr="0002751C">
              <w:rPr>
                <w:lang w:val="fr-FR"/>
              </w:rPr>
              <w:tab/>
              <w:t>Le présent document contient des propositions de modifications à apporter au RID et à l’ADR en vue de permettre une autre méthode pour détourner efficacement vers un lieu sûr toute vapeur toxique ou inflammable provenant de l’embouchure du dispositif pompe/exhausteur des citernes à déchets opérant sous vide.</w:t>
            </w:r>
          </w:p>
        </w:tc>
      </w:tr>
      <w:tr w:rsidR="001A5A32" w14:paraId="1173888B" w14:textId="77777777">
        <w:trPr>
          <w:jc w:val="center"/>
        </w:trPr>
        <w:tc>
          <w:tcPr>
            <w:tcW w:w="9637" w:type="dxa"/>
            <w:shd w:val="clear" w:color="auto" w:fill="auto"/>
          </w:tcPr>
          <w:p w14:paraId="2C1DE1FE" w14:textId="77777777" w:rsidR="001A5A32" w:rsidRDefault="001A5A32" w:rsidP="006D36F9">
            <w:pPr>
              <w:kinsoku/>
              <w:overflowPunct/>
              <w:autoSpaceDE/>
              <w:autoSpaceDN/>
              <w:adjustRightInd/>
              <w:snapToGrid/>
              <w:spacing w:after="80"/>
              <w:ind w:left="3686" w:right="1134" w:hanging="2552"/>
              <w:jc w:val="both"/>
            </w:pPr>
            <w:r w:rsidRPr="0002751C">
              <w:rPr>
                <w:b/>
                <w:bCs/>
                <w:lang w:val="fr-FR"/>
              </w:rPr>
              <w:t>Mesures à prendre</w:t>
            </w:r>
            <w:r>
              <w:rPr>
                <w:b/>
                <w:bCs/>
                <w:lang w:val="fr-FR"/>
              </w:rPr>
              <w:t> </w:t>
            </w:r>
            <w:r w:rsidRPr="0002751C">
              <w:rPr>
                <w:b/>
                <w:bCs/>
                <w:lang w:val="fr-FR"/>
              </w:rPr>
              <w:t>:</w:t>
            </w:r>
            <w:r w:rsidRPr="0002751C">
              <w:rPr>
                <w:lang w:val="fr-FR"/>
              </w:rPr>
              <w:tab/>
              <w:t>Proposition visant à modifier le paragraphe 6.10.3.8 a) afin d’autoriser la construction de citernes à déchets opérant sous vide munies d’une embouchure qui n’est pas dirigée vers un endroit sûr, mais qui est conçue de manière à ce qu’un tuyau externe puisse y être raccordé. Proposition visant à modifier les prescriptions de service figurant au chapitre</w:t>
            </w:r>
            <w:r w:rsidR="005D41F0">
              <w:rPr>
                <w:lang w:val="fr-FR"/>
              </w:rPr>
              <w:t xml:space="preserve"> </w:t>
            </w:r>
            <w:r w:rsidRPr="0002751C">
              <w:rPr>
                <w:lang w:val="fr-FR"/>
              </w:rPr>
              <w:t>4.5 afin d’imposer le raccordement d’un tuyau externe avant le début du chargement.</w:t>
            </w:r>
          </w:p>
        </w:tc>
      </w:tr>
      <w:tr w:rsidR="001A5A32" w14:paraId="6B6D6840" w14:textId="77777777">
        <w:trPr>
          <w:jc w:val="center"/>
        </w:trPr>
        <w:tc>
          <w:tcPr>
            <w:tcW w:w="9637" w:type="dxa"/>
            <w:shd w:val="clear" w:color="auto" w:fill="auto"/>
          </w:tcPr>
          <w:p w14:paraId="184A09FA" w14:textId="77777777" w:rsidR="001A5A32" w:rsidRDefault="001A5A32" w:rsidP="006D36F9">
            <w:pPr>
              <w:kinsoku/>
              <w:overflowPunct/>
              <w:autoSpaceDE/>
              <w:autoSpaceDN/>
              <w:adjustRightInd/>
              <w:snapToGrid/>
              <w:spacing w:after="80"/>
              <w:ind w:left="3686" w:right="1134" w:hanging="2552"/>
              <w:jc w:val="both"/>
            </w:pPr>
            <w:r w:rsidRPr="0002751C">
              <w:rPr>
                <w:b/>
                <w:bCs/>
                <w:lang w:val="fr-FR"/>
              </w:rPr>
              <w:t>Documents de référence</w:t>
            </w:r>
            <w:r>
              <w:rPr>
                <w:b/>
                <w:bCs/>
                <w:lang w:val="fr-FR"/>
              </w:rPr>
              <w:t> </w:t>
            </w:r>
            <w:r w:rsidRPr="0002751C">
              <w:rPr>
                <w:b/>
                <w:bCs/>
                <w:lang w:val="fr-FR"/>
              </w:rPr>
              <w:t>:</w:t>
            </w:r>
            <w:r w:rsidRPr="0002751C">
              <w:rPr>
                <w:lang w:val="fr-FR"/>
              </w:rPr>
              <w:tab/>
              <w:t>Documents informels</w:t>
            </w:r>
            <w:r w:rsidR="00D45438">
              <w:rPr>
                <w:lang w:val="fr-FR"/>
              </w:rPr>
              <w:t xml:space="preserve"> </w:t>
            </w:r>
            <w:r w:rsidRPr="0002751C">
              <w:rPr>
                <w:lang w:val="fr-FR"/>
              </w:rPr>
              <w:t>INF.31 et INF.39 (par</w:t>
            </w:r>
            <w:r w:rsidR="00D45438">
              <w:rPr>
                <w:lang w:val="fr-FR"/>
              </w:rPr>
              <w:t>.</w:t>
            </w:r>
            <w:r w:rsidRPr="0002751C">
              <w:rPr>
                <w:lang w:val="fr-FR"/>
              </w:rPr>
              <w:t> 2) de la session de mars 2019.</w:t>
            </w:r>
          </w:p>
        </w:tc>
      </w:tr>
      <w:tr w:rsidR="001A5A32" w14:paraId="01C529D4" w14:textId="77777777">
        <w:trPr>
          <w:jc w:val="center"/>
        </w:trPr>
        <w:tc>
          <w:tcPr>
            <w:tcW w:w="9637" w:type="dxa"/>
            <w:shd w:val="clear" w:color="auto" w:fill="auto"/>
          </w:tcPr>
          <w:p w14:paraId="5F455470" w14:textId="77777777" w:rsidR="001A5A32" w:rsidRDefault="001A5A32"/>
        </w:tc>
      </w:tr>
    </w:tbl>
    <w:p w14:paraId="03E25507" w14:textId="77777777" w:rsidR="00FC5BC6" w:rsidRPr="0002751C" w:rsidRDefault="00C5156E" w:rsidP="00E17532">
      <w:pPr>
        <w:pStyle w:val="H1G"/>
      </w:pPr>
      <w:bookmarkStart w:id="3" w:name="_Hlk532555907"/>
      <w:r w:rsidRPr="0002751C">
        <w:rPr>
          <w:lang w:val="fr-FR"/>
        </w:rPr>
        <w:lastRenderedPageBreak/>
        <w:tab/>
      </w:r>
      <w:r w:rsidRPr="0002751C">
        <w:rPr>
          <w:lang w:val="fr-FR"/>
        </w:rPr>
        <w:tab/>
        <w:t>Introduction</w:t>
      </w:r>
      <w:bookmarkEnd w:id="3"/>
    </w:p>
    <w:p w14:paraId="1CE4AB10" w14:textId="77777777" w:rsidR="00FC5BC6" w:rsidRPr="0002751C" w:rsidRDefault="00C5156E" w:rsidP="0002751C">
      <w:pPr>
        <w:pStyle w:val="SingleTxtG"/>
      </w:pPr>
      <w:r w:rsidRPr="0002751C">
        <w:rPr>
          <w:lang w:val="fr-FR"/>
        </w:rPr>
        <w:t>1.</w:t>
      </w:r>
      <w:r w:rsidRPr="0002751C">
        <w:rPr>
          <w:lang w:val="fr-FR"/>
        </w:rPr>
        <w:tab/>
        <w:t>Les organes d’inspection du Royaume-Uni ayant exprimé des inquiétudes quant aux différentes interprétations des prescriptions relatives à la construction des citernes à déchets opérant sous vide figurant au chapitre</w:t>
      </w:r>
      <w:r w:rsidR="00F14A52">
        <w:rPr>
          <w:lang w:val="fr-FR"/>
        </w:rPr>
        <w:t xml:space="preserve"> </w:t>
      </w:r>
      <w:r w:rsidRPr="0002751C">
        <w:rPr>
          <w:lang w:val="fr-FR"/>
        </w:rPr>
        <w:t>6.10 du RID et de l’ADR, le Royaume-Uni a examiné de près lesdites prescriptions.</w:t>
      </w:r>
    </w:p>
    <w:p w14:paraId="0B835428" w14:textId="77777777" w:rsidR="00FC5BC6" w:rsidRPr="0002751C" w:rsidRDefault="00C5156E" w:rsidP="0002751C">
      <w:pPr>
        <w:pStyle w:val="SingleTxtG"/>
      </w:pPr>
      <w:r w:rsidRPr="0002751C">
        <w:rPr>
          <w:lang w:val="fr-FR"/>
        </w:rPr>
        <w:t>2.</w:t>
      </w:r>
      <w:r w:rsidRPr="0002751C">
        <w:rPr>
          <w:lang w:val="fr-FR"/>
        </w:rPr>
        <w:tab/>
        <w:t>Pendant le chargement des citernes à déchets opérant sous vide, un dispositif pompe/exhausteur permet d’évacuer dans l’atmosphère les vapeurs toxiques qui se trouvent à l’intérieur de la citerne. Le RID et l’ADR disposent que l’embouchure du dispositif doit être conçue de manière à ce que toute vapeur inflammable ou toxique soit détournée vers un endroit où elle ne pourra pas causer de danger (RID/ADR 6.10.3.8 a)).</w:t>
      </w:r>
    </w:p>
    <w:p w14:paraId="48403479" w14:textId="77777777" w:rsidR="00FC5BC6" w:rsidRPr="0002751C" w:rsidRDefault="00C5156E" w:rsidP="0002751C">
      <w:pPr>
        <w:pStyle w:val="SingleTxtG"/>
      </w:pPr>
      <w:r w:rsidRPr="0002751C">
        <w:rPr>
          <w:lang w:val="fr-FR"/>
        </w:rPr>
        <w:t>3.</w:t>
      </w:r>
      <w:r w:rsidRPr="0002751C">
        <w:rPr>
          <w:lang w:val="fr-FR"/>
        </w:rPr>
        <w:tab/>
        <w:t>Les prescriptions relatives à la construction figurant au 6.10.3.8 a) n’autorisent cependant pas les configurations qui sont conçues et construites pour être raccordées à un tuyau supplémentaire conduisant les vapeurs vers un endroit où elles ne pourront pas causer de danger.</w:t>
      </w:r>
    </w:p>
    <w:p w14:paraId="6229CF0C" w14:textId="77777777" w:rsidR="00FC5BC6" w:rsidRPr="0002751C" w:rsidRDefault="00C5156E" w:rsidP="0002751C">
      <w:pPr>
        <w:pStyle w:val="SingleTxtG"/>
      </w:pPr>
      <w:r w:rsidRPr="0002751C">
        <w:rPr>
          <w:lang w:val="fr-FR"/>
        </w:rPr>
        <w:t>4.</w:t>
      </w:r>
      <w:r w:rsidRPr="0002751C">
        <w:rPr>
          <w:lang w:val="fr-FR"/>
        </w:rPr>
        <w:tab/>
        <w:t>Puisque le raccordement d’un tuyau supplémentaire est susceptible d’améliorer la sécurité d’utilisation de ces citernes, il est proposé de modifier le RID et l’ADR afin d’autoriser la construction et l’utilisation de citernes à déchets opérant sous vide ayant de telles configurations.</w:t>
      </w:r>
    </w:p>
    <w:p w14:paraId="78F8F3A5" w14:textId="77777777" w:rsidR="00FC5BC6" w:rsidRPr="0002751C" w:rsidRDefault="00C5156E" w:rsidP="00F14A52">
      <w:pPr>
        <w:pStyle w:val="H1G"/>
      </w:pPr>
      <w:r w:rsidRPr="0002751C">
        <w:rPr>
          <w:lang w:val="fr-FR"/>
        </w:rPr>
        <w:tab/>
      </w:r>
      <w:r w:rsidRPr="0002751C">
        <w:rPr>
          <w:lang w:val="fr-FR"/>
        </w:rPr>
        <w:tab/>
        <w:t>Proposition 1</w:t>
      </w:r>
    </w:p>
    <w:p w14:paraId="01A7FD8D" w14:textId="77777777" w:rsidR="00FC5BC6" w:rsidRPr="0002751C" w:rsidRDefault="00C5156E" w:rsidP="0002751C">
      <w:pPr>
        <w:pStyle w:val="SingleTxtG"/>
      </w:pPr>
      <w:r w:rsidRPr="0002751C">
        <w:rPr>
          <w:lang w:val="fr-FR"/>
        </w:rPr>
        <w:t xml:space="preserve">Compléter comme suit le libellé du 6.10.3.8 (les ajouts figurent en caractères gras et </w:t>
      </w:r>
      <w:r w:rsidRPr="0002751C">
        <w:rPr>
          <w:u w:val="single"/>
          <w:lang w:val="fr-FR"/>
        </w:rPr>
        <w:t>soulignés</w:t>
      </w:r>
      <w:r w:rsidRPr="0002751C">
        <w:rPr>
          <w:lang w:val="fr-FR"/>
        </w:rPr>
        <w:t>)</w:t>
      </w:r>
      <w:r w:rsidR="00F14A52">
        <w:rPr>
          <w:lang w:val="fr-FR"/>
        </w:rPr>
        <w:t> </w:t>
      </w:r>
      <w:r w:rsidRPr="0002751C">
        <w:rPr>
          <w:lang w:val="fr-FR"/>
        </w:rPr>
        <w:t>:</w:t>
      </w:r>
      <w:bookmarkStart w:id="4" w:name="_Hlk8810314"/>
      <w:bookmarkEnd w:id="4"/>
    </w:p>
    <w:p w14:paraId="24B6C066" w14:textId="77777777" w:rsidR="00FC5BC6" w:rsidRPr="0002751C" w:rsidRDefault="00C5156E" w:rsidP="0002751C">
      <w:pPr>
        <w:pStyle w:val="SingleTxtG"/>
      </w:pPr>
      <w:r w:rsidRPr="0002751C">
        <w:rPr>
          <w:lang w:val="fr-FR"/>
        </w:rPr>
        <w:t>«</w:t>
      </w:r>
      <w:r w:rsidR="00F14A52">
        <w:rPr>
          <w:lang w:val="fr-FR"/>
        </w:rPr>
        <w:t> </w:t>
      </w:r>
      <w:r w:rsidRPr="0002751C">
        <w:rPr>
          <w:lang w:val="fr-FR"/>
        </w:rPr>
        <w:t xml:space="preserve">Les citernes doivent être pourvues des équipements de services supplémentaires </w:t>
      </w:r>
      <w:r w:rsidR="007F5342" w:rsidRPr="0002751C">
        <w:rPr>
          <w:lang w:val="fr-FR"/>
        </w:rPr>
        <w:t>ci-après</w:t>
      </w:r>
      <w:r w:rsidR="00F14A52">
        <w:rPr>
          <w:lang w:val="fr-FR"/>
        </w:rPr>
        <w:t> </w:t>
      </w:r>
      <w:r w:rsidRPr="0002751C">
        <w:rPr>
          <w:lang w:val="fr-FR"/>
        </w:rPr>
        <w:t>:</w:t>
      </w:r>
    </w:p>
    <w:p w14:paraId="11FFC90C" w14:textId="77777777" w:rsidR="00FC5BC6" w:rsidRPr="0002751C" w:rsidRDefault="00C5156E" w:rsidP="00F14A52">
      <w:pPr>
        <w:pStyle w:val="SingleTxtG"/>
        <w:ind w:firstLine="567"/>
        <w:rPr>
          <w:b/>
          <w:u w:val="single"/>
        </w:rPr>
      </w:pPr>
      <w:r w:rsidRPr="0002751C">
        <w:rPr>
          <w:lang w:val="fr-FR"/>
        </w:rPr>
        <w:t>a)</w:t>
      </w:r>
      <w:r w:rsidRPr="0002751C">
        <w:rPr>
          <w:lang w:val="fr-FR"/>
        </w:rPr>
        <w:tab/>
        <w:t>L’embouchure du dispositif pompe/exhausteur doit être disposée de manière à assurer que toute vapeur toxique ou inflammable soit détournée vers un endroit où elle ne pourra pas causer de danger</w:t>
      </w:r>
      <w:r w:rsidR="00F14A52">
        <w:rPr>
          <w:lang w:val="fr-FR"/>
        </w:rPr>
        <w:t> </w:t>
      </w:r>
      <w:r w:rsidRPr="0002751C">
        <w:rPr>
          <w:lang w:val="fr-FR"/>
        </w:rPr>
        <w:t>;</w:t>
      </w:r>
      <w:bookmarkStart w:id="5" w:name="_Hlk8729668"/>
      <w:bookmarkEnd w:id="5"/>
    </w:p>
    <w:p w14:paraId="1CD094FC" w14:textId="77777777" w:rsidR="00FC5BC6" w:rsidRPr="0002751C" w:rsidRDefault="00C5156E" w:rsidP="00F14A52">
      <w:pPr>
        <w:pStyle w:val="SingleTxtG"/>
        <w:ind w:firstLine="567"/>
        <w:rPr>
          <w:b/>
          <w:u w:val="single"/>
        </w:rPr>
      </w:pPr>
      <w:r w:rsidRPr="0002751C">
        <w:rPr>
          <w:lang w:val="fr-FR"/>
        </w:rPr>
        <w:t>b)</w:t>
      </w:r>
      <w:r w:rsidRPr="0002751C">
        <w:rPr>
          <w:lang w:val="fr-FR"/>
        </w:rPr>
        <w:tab/>
      </w:r>
      <w:r w:rsidRPr="0002751C">
        <w:rPr>
          <w:b/>
          <w:bCs/>
          <w:u w:val="single"/>
          <w:lang w:val="fr-FR"/>
        </w:rPr>
        <w:t>On considérera que les prescriptions du 6.10.3.8 a) sont respectées si l’embouchure est</w:t>
      </w:r>
      <w:r w:rsidR="00F14A52">
        <w:rPr>
          <w:b/>
          <w:bCs/>
          <w:u w:val="single"/>
          <w:lang w:val="fr-FR"/>
        </w:rPr>
        <w:t> </w:t>
      </w:r>
      <w:r w:rsidRPr="0002751C">
        <w:rPr>
          <w:b/>
          <w:bCs/>
          <w:u w:val="single"/>
          <w:lang w:val="fr-FR"/>
        </w:rPr>
        <w:t>:</w:t>
      </w:r>
    </w:p>
    <w:p w14:paraId="08F04B8C" w14:textId="77777777" w:rsidR="00FC5BC6" w:rsidRPr="00F14A52" w:rsidRDefault="00C5156E" w:rsidP="00F14A52">
      <w:pPr>
        <w:pStyle w:val="SingleTxtG"/>
        <w:ind w:left="1701"/>
        <w:rPr>
          <w:b/>
          <w:u w:val="single"/>
        </w:rPr>
      </w:pPr>
      <w:r w:rsidRPr="00F14A52">
        <w:rPr>
          <w:b/>
          <w:lang w:val="fr-FR"/>
        </w:rPr>
        <w:t>i)</w:t>
      </w:r>
      <w:r w:rsidRPr="00F14A52">
        <w:rPr>
          <w:b/>
          <w:lang w:val="fr-FR"/>
        </w:rPr>
        <w:tab/>
      </w:r>
      <w:r w:rsidRPr="00F14A52">
        <w:rPr>
          <w:b/>
          <w:bCs/>
          <w:u w:val="single"/>
          <w:lang w:val="fr-FR"/>
        </w:rPr>
        <w:t>équipée d’un raccord destiné à la fixation d’un tuyau flexible</w:t>
      </w:r>
      <w:r w:rsidR="00F14A52" w:rsidRPr="00F14A52">
        <w:rPr>
          <w:b/>
          <w:bCs/>
          <w:u w:val="single"/>
          <w:lang w:val="fr-FR"/>
        </w:rPr>
        <w:t> </w:t>
      </w:r>
      <w:r w:rsidRPr="00F14A52">
        <w:rPr>
          <w:b/>
          <w:bCs/>
          <w:u w:val="single"/>
          <w:lang w:val="fr-FR"/>
        </w:rPr>
        <w:t>;</w:t>
      </w:r>
      <w:r w:rsidRPr="00F14A52">
        <w:rPr>
          <w:b/>
          <w:u w:val="single"/>
          <w:lang w:val="fr-FR"/>
        </w:rPr>
        <w:t xml:space="preserve"> </w:t>
      </w:r>
      <w:r w:rsidRPr="00F14A52">
        <w:rPr>
          <w:b/>
          <w:bCs/>
          <w:u w:val="single"/>
          <w:lang w:val="fr-FR"/>
        </w:rPr>
        <w:t>et</w:t>
      </w:r>
    </w:p>
    <w:p w14:paraId="058EFA57" w14:textId="77777777" w:rsidR="00FC5BC6" w:rsidRPr="0002751C" w:rsidRDefault="00C5156E" w:rsidP="00F14A52">
      <w:pPr>
        <w:pStyle w:val="SingleTxtG"/>
        <w:ind w:left="1701"/>
      </w:pPr>
      <w:r w:rsidRPr="00F14A52">
        <w:rPr>
          <w:b/>
          <w:lang w:val="fr-FR"/>
        </w:rPr>
        <w:t>ii)</w:t>
      </w:r>
      <w:r w:rsidRPr="00F14A52">
        <w:rPr>
          <w:b/>
          <w:lang w:val="fr-FR"/>
        </w:rPr>
        <w:tab/>
      </w:r>
      <w:r w:rsidRPr="00F14A52">
        <w:rPr>
          <w:b/>
          <w:bCs/>
          <w:u w:val="single"/>
          <w:lang w:val="fr-FR"/>
        </w:rPr>
        <w:t>clairement marquée d’une étiquette indiquant qu’un tuyau flexible destiné à</w:t>
      </w:r>
      <w:r w:rsidRPr="0002751C">
        <w:rPr>
          <w:b/>
          <w:bCs/>
          <w:u w:val="single"/>
          <w:lang w:val="fr-FR"/>
        </w:rPr>
        <w:t xml:space="preserve"> détourner toute vapeur inflammable ou toxique vers un endroit où elle ne pourra pas causer de danger doit être raccordé avant le début du chargement.</w:t>
      </w:r>
      <w:r w:rsidR="007F5342" w:rsidRPr="007F5342">
        <w:rPr>
          <w:b/>
          <w:bCs/>
          <w:lang w:val="fr-FR"/>
        </w:rPr>
        <w:t> </w:t>
      </w:r>
      <w:r w:rsidRPr="00E67E9F">
        <w:t>»</w:t>
      </w:r>
    </w:p>
    <w:p w14:paraId="5926877A" w14:textId="77777777" w:rsidR="00FC5BC6" w:rsidRPr="0002751C" w:rsidRDefault="00C5156E" w:rsidP="0002751C">
      <w:pPr>
        <w:pStyle w:val="SingleTxtG"/>
        <w:rPr>
          <w:b/>
        </w:rPr>
      </w:pPr>
      <w:r w:rsidRPr="0002751C">
        <w:rPr>
          <w:lang w:val="fr-FR"/>
        </w:rPr>
        <w:t>Renuméroter les alinéas b), c), d), etc. existants.</w:t>
      </w:r>
    </w:p>
    <w:p w14:paraId="3628276E" w14:textId="77777777" w:rsidR="00FC5BC6" w:rsidRPr="0002751C" w:rsidRDefault="00C5156E" w:rsidP="00F14A52">
      <w:pPr>
        <w:pStyle w:val="H1G"/>
      </w:pPr>
      <w:r w:rsidRPr="0002751C">
        <w:rPr>
          <w:lang w:val="fr-FR"/>
        </w:rPr>
        <w:tab/>
      </w:r>
      <w:r w:rsidRPr="0002751C">
        <w:rPr>
          <w:lang w:val="fr-FR"/>
        </w:rPr>
        <w:tab/>
        <w:t>Proposition 2</w:t>
      </w:r>
    </w:p>
    <w:p w14:paraId="3D7D697F" w14:textId="77777777" w:rsidR="00FC5BC6" w:rsidRPr="0002751C" w:rsidRDefault="00C5156E" w:rsidP="0002751C">
      <w:pPr>
        <w:pStyle w:val="SingleTxtG"/>
      </w:pPr>
      <w:r w:rsidRPr="0002751C">
        <w:rPr>
          <w:lang w:val="fr-FR"/>
        </w:rPr>
        <w:t xml:space="preserve">Compléter comme suit le libellé du 4.5.2 (les ajouts figurent en caractères gras et </w:t>
      </w:r>
      <w:r w:rsidRPr="0002751C">
        <w:rPr>
          <w:u w:val="single"/>
          <w:lang w:val="fr-FR"/>
        </w:rPr>
        <w:t>soulignés</w:t>
      </w:r>
      <w:r w:rsidRPr="0002751C">
        <w:rPr>
          <w:lang w:val="fr-FR"/>
        </w:rPr>
        <w:t>)</w:t>
      </w:r>
      <w:r w:rsidR="008460B3">
        <w:rPr>
          <w:lang w:val="fr-FR"/>
        </w:rPr>
        <w:t> </w:t>
      </w:r>
      <w:r w:rsidRPr="0002751C">
        <w:rPr>
          <w:lang w:val="fr-FR"/>
        </w:rPr>
        <w:t>:</w:t>
      </w:r>
    </w:p>
    <w:p w14:paraId="0F45125E" w14:textId="77777777" w:rsidR="00FC5BC6" w:rsidRPr="0002751C" w:rsidRDefault="00C5156E" w:rsidP="008460B3">
      <w:pPr>
        <w:pStyle w:val="SingleTxtG"/>
        <w:ind w:left="2268" w:hanging="1134"/>
        <w:rPr>
          <w:b/>
          <w:u w:val="single"/>
        </w:rPr>
      </w:pPr>
      <w:r w:rsidRPr="0002751C">
        <w:rPr>
          <w:b/>
          <w:bCs/>
          <w:u w:val="single"/>
          <w:lang w:val="fr-FR"/>
        </w:rPr>
        <w:t>«</w:t>
      </w:r>
      <w:r w:rsidR="00F2452B">
        <w:rPr>
          <w:b/>
          <w:bCs/>
          <w:u w:val="single"/>
          <w:lang w:val="fr-FR"/>
        </w:rPr>
        <w:t> </w:t>
      </w:r>
      <w:r w:rsidRPr="0002751C">
        <w:rPr>
          <w:b/>
          <w:bCs/>
          <w:u w:val="single"/>
          <w:lang w:val="fr-FR"/>
        </w:rPr>
        <w:t>4.5.2.7</w:t>
      </w:r>
      <w:r w:rsidRPr="008460B3">
        <w:rPr>
          <w:u w:val="single"/>
          <w:lang w:val="fr-FR"/>
        </w:rPr>
        <w:tab/>
      </w:r>
      <w:r w:rsidRPr="0002751C">
        <w:rPr>
          <w:b/>
          <w:bCs/>
          <w:u w:val="single"/>
          <w:lang w:val="fr-FR"/>
        </w:rPr>
        <w:t>Lorsqu’un dispositif pompe à vide/exhausteur muni d’une embouchure décrite au 6.10.3.8 b) i) est utilisé, un tuyau flexible doit être raccordé à l’embouchure avant le début du chargement, comme spécifié au 6.10.3.8</w:t>
      </w:r>
      <w:r w:rsidR="008460B3">
        <w:rPr>
          <w:b/>
          <w:bCs/>
          <w:u w:val="single"/>
          <w:lang w:val="fr-FR"/>
        </w:rPr>
        <w:t> </w:t>
      </w:r>
      <w:r w:rsidRPr="0002751C">
        <w:rPr>
          <w:b/>
          <w:bCs/>
          <w:u w:val="single"/>
          <w:lang w:val="fr-FR"/>
        </w:rPr>
        <w:t>b) ii).</w:t>
      </w:r>
      <w:r w:rsidR="00F2452B">
        <w:rPr>
          <w:b/>
          <w:bCs/>
          <w:lang w:val="fr-FR"/>
        </w:rPr>
        <w:t> </w:t>
      </w:r>
      <w:r w:rsidRPr="007F5342">
        <w:rPr>
          <w:b/>
          <w:bCs/>
          <w:lang w:val="fr-FR"/>
        </w:rPr>
        <w:t>»</w:t>
      </w:r>
    </w:p>
    <w:p w14:paraId="67DE62D5" w14:textId="77777777" w:rsidR="00FC5BC6" w:rsidRPr="0002751C" w:rsidRDefault="00F14A52" w:rsidP="00F14A52">
      <w:pPr>
        <w:pStyle w:val="HChG"/>
      </w:pPr>
      <w:r>
        <w:rPr>
          <w:lang w:val="fr-FR"/>
        </w:rPr>
        <w:tab/>
      </w:r>
      <w:r>
        <w:rPr>
          <w:lang w:val="fr-FR"/>
        </w:rPr>
        <w:tab/>
      </w:r>
      <w:r w:rsidR="00C5156E" w:rsidRPr="0002751C">
        <w:rPr>
          <w:lang w:val="fr-FR"/>
        </w:rPr>
        <w:t>Justification</w:t>
      </w:r>
    </w:p>
    <w:p w14:paraId="5982788B" w14:textId="77777777" w:rsidR="00FC5BC6" w:rsidRPr="0002751C" w:rsidRDefault="00C5156E" w:rsidP="0002751C">
      <w:pPr>
        <w:pStyle w:val="SingleTxtG"/>
      </w:pPr>
      <w:r w:rsidRPr="0002751C">
        <w:rPr>
          <w:lang w:val="fr-FR"/>
        </w:rPr>
        <w:t>5.</w:t>
      </w:r>
      <w:r w:rsidRPr="0002751C">
        <w:rPr>
          <w:lang w:val="fr-FR"/>
        </w:rPr>
        <w:tab/>
        <w:t xml:space="preserve">Le paragraphe 6.10.3.8 a) du RID et de l’ADR dispose que l’embouchure de tout dispositif pompe à vide/exhausteur doit être conçue et construite de manière à conduire les vapeurs toxiques vers un endroit sûr. Dans les cas où une embouchure basse est utilisée, il est cependant difficile de faire valoir que cette configuration est sûre, car des vapeurs </w:t>
      </w:r>
      <w:r w:rsidRPr="0002751C">
        <w:rPr>
          <w:lang w:val="fr-FR"/>
        </w:rPr>
        <w:lastRenderedPageBreak/>
        <w:t>nocives sont susceptibles d’être redirigées vers le chargeur ou l’opérateur</w:t>
      </w:r>
      <w:r w:rsidR="002F548A">
        <w:rPr>
          <w:lang w:val="fr-FR"/>
        </w:rPr>
        <w:t xml:space="preserve"> </w:t>
      </w:r>
      <w:r w:rsidRPr="0002751C">
        <w:rPr>
          <w:lang w:val="fr-FR"/>
        </w:rPr>
        <w:t>selon les conditions météorologiques ; de même, lorsque l’embouchure est située en hauteur, il semble également possible que l’opérateur puisse être exposé aux vapeurs qui seraient plus lourdes que l’air.</w:t>
      </w:r>
    </w:p>
    <w:p w14:paraId="7D574D4D" w14:textId="77777777" w:rsidR="00FC5BC6" w:rsidRPr="0002751C" w:rsidRDefault="00C5156E" w:rsidP="0002751C">
      <w:pPr>
        <w:pStyle w:val="SingleTxtG"/>
        <w:rPr>
          <w:lang w:val="fr-FR"/>
        </w:rPr>
      </w:pPr>
      <w:r w:rsidRPr="0002751C">
        <w:rPr>
          <w:lang w:val="fr-FR"/>
        </w:rPr>
        <w:t>6.</w:t>
      </w:r>
      <w:r w:rsidRPr="0002751C">
        <w:rPr>
          <w:lang w:val="fr-FR"/>
        </w:rPr>
        <w:tab/>
        <w:t>Le Gouvernement du Royaume-Uni sait que, pour faire face à ces risques, certaines citernes à déchets opérant sous vide sont équipées d’embouchures basses conçues pour être raccordées à un tuyau externe, comme le montre l’image suivante</w:t>
      </w:r>
      <w:r w:rsidR="008460B3">
        <w:rPr>
          <w:lang w:val="fr-FR"/>
        </w:rPr>
        <w:t> </w:t>
      </w:r>
      <w:r w:rsidRPr="0002751C">
        <w:rPr>
          <w:lang w:val="fr-FR"/>
        </w:rPr>
        <w:t>:</w:t>
      </w:r>
    </w:p>
    <w:p w14:paraId="193D76E4" w14:textId="77777777" w:rsidR="00FC5BC6" w:rsidRPr="0002751C" w:rsidRDefault="00C5156E" w:rsidP="008460B3">
      <w:pPr>
        <w:pStyle w:val="SingleTxtG"/>
        <w:jc w:val="center"/>
      </w:pPr>
      <w:r w:rsidRPr="0002751C">
        <w:rPr>
          <w:noProof/>
          <w:lang w:val="fr-FR"/>
        </w:rPr>
        <w:drawing>
          <wp:inline distT="0" distB="0" distL="0" distR="0" wp14:anchorId="5FE01BB1" wp14:editId="339351AF">
            <wp:extent cx="2894400" cy="1443600"/>
            <wp:effectExtent l="19050" t="19050" r="20320" b="234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400" cy="1443600"/>
                    </a:xfrm>
                    <a:prstGeom prst="rect">
                      <a:avLst/>
                    </a:prstGeom>
                    <a:noFill/>
                    <a:ln w="19050" cmpd="sng">
                      <a:solidFill>
                        <a:srgbClr val="000000"/>
                      </a:solidFill>
                      <a:miter lim="800000"/>
                      <a:headEnd/>
                      <a:tailEnd/>
                    </a:ln>
                    <a:effectLst/>
                  </pic:spPr>
                </pic:pic>
              </a:graphicData>
            </a:graphic>
          </wp:inline>
        </w:drawing>
      </w:r>
    </w:p>
    <w:p w14:paraId="6606BC4D" w14:textId="77777777" w:rsidR="00FC5BC6" w:rsidRPr="0002751C" w:rsidRDefault="00C5156E" w:rsidP="00F2452B">
      <w:pPr>
        <w:pStyle w:val="SingleTxtG"/>
        <w:spacing w:before="240"/>
      </w:pPr>
      <w:r w:rsidRPr="0002751C">
        <w:rPr>
          <w:lang w:val="fr-FR"/>
        </w:rPr>
        <w:t>7.</w:t>
      </w:r>
      <w:r w:rsidRPr="0002751C">
        <w:rPr>
          <w:lang w:val="fr-FR"/>
        </w:rPr>
        <w:tab/>
        <w:t>Un tuyau flexible sera raccordé à l’embouchure afin de conduire les vapeurs a) vers un dispositif qui se trouve sur place et qui est destiné à nettoyer le flux provenant de la pompe à vide ou b) vers un tuyau d’extension d’environ 15</w:t>
      </w:r>
      <w:r w:rsidR="008460B3">
        <w:rPr>
          <w:lang w:val="fr-FR"/>
        </w:rPr>
        <w:t xml:space="preserve"> </w:t>
      </w:r>
      <w:r w:rsidRPr="0002751C">
        <w:rPr>
          <w:lang w:val="fr-FR"/>
        </w:rPr>
        <w:t>mètres de longueur permettant d’évacuer les vapeurs dans un lieu sûr (c’est-à-dire loin de tout danger potentiel, de toute source d’ignition et du personnel). On trouvera ci-après un exemple d’une telle configuration</w:t>
      </w:r>
      <w:r w:rsidR="008460B3">
        <w:rPr>
          <w:lang w:val="fr-FR"/>
        </w:rPr>
        <w:t> </w:t>
      </w:r>
      <w:r w:rsidRPr="0002751C">
        <w:rPr>
          <w:lang w:val="fr-FR"/>
        </w:rPr>
        <w:t>:</w:t>
      </w:r>
    </w:p>
    <w:p w14:paraId="2B72CE02" w14:textId="77777777" w:rsidR="00FC5BC6" w:rsidRPr="0002751C" w:rsidRDefault="00C5156E" w:rsidP="008460B3">
      <w:pPr>
        <w:pStyle w:val="SingleTxtG"/>
        <w:jc w:val="center"/>
      </w:pPr>
      <w:r w:rsidRPr="0002751C">
        <w:rPr>
          <w:noProof/>
          <w:lang w:val="fr-FR"/>
        </w:rPr>
        <w:drawing>
          <wp:inline distT="0" distB="0" distL="0" distR="0" wp14:anchorId="35B16E22" wp14:editId="72DAD3BB">
            <wp:extent cx="2912400" cy="1591200"/>
            <wp:effectExtent l="19050" t="19050" r="21590" b="28575"/>
            <wp:docPr id="5" name="Picture 2" descr="C:\Users\dadams\AppData\Local\Microsoft\Windows\INetCache\Content.Word\190604 - 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ams\AppData\Local\Microsoft\Windows\INetCache\Content.Word\190604 - IMG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140" b="20924"/>
                    <a:stretch/>
                  </pic:blipFill>
                  <pic:spPr bwMode="auto">
                    <a:xfrm>
                      <a:off x="0" y="0"/>
                      <a:ext cx="2912400" cy="1591200"/>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p>
    <w:p w14:paraId="6E55FC1D" w14:textId="77777777" w:rsidR="00FC5BC6" w:rsidRPr="0002751C" w:rsidRDefault="00C5156E" w:rsidP="00F2452B">
      <w:pPr>
        <w:pStyle w:val="SingleTxtG"/>
        <w:spacing w:before="240"/>
      </w:pPr>
      <w:r w:rsidRPr="0002751C">
        <w:rPr>
          <w:lang w:val="fr-FR"/>
        </w:rPr>
        <w:t>8.</w:t>
      </w:r>
      <w:r w:rsidRPr="0002751C">
        <w:rPr>
          <w:lang w:val="fr-FR"/>
        </w:rPr>
        <w:tab/>
        <w:t>Ces configurations garantissent la sécurité des opérateurs mais, compte tenu des prescriptions relatives à la construction spécifiées au 6.10.3.8 a) du RID et de l’ADR, il semblerait qu’elles ne soient actuellement pas autorisées.</w:t>
      </w:r>
    </w:p>
    <w:p w14:paraId="73B5D91F" w14:textId="77777777" w:rsidR="00F9573C" w:rsidRDefault="00C5156E" w:rsidP="0002751C">
      <w:pPr>
        <w:pStyle w:val="SingleTxtG"/>
        <w:rPr>
          <w:lang w:val="fr-FR"/>
        </w:rPr>
      </w:pPr>
      <w:r w:rsidRPr="0002751C">
        <w:rPr>
          <w:lang w:val="fr-FR"/>
        </w:rPr>
        <w:t>9.</w:t>
      </w:r>
      <w:r w:rsidRPr="0002751C">
        <w:rPr>
          <w:lang w:val="fr-FR"/>
        </w:rPr>
        <w:tab/>
        <w:t>Le Gouvernement du Royaume-Uni estime donc que le RID et l’ADR devraient être modifiés afin d’autoriser la construction de citernes à déchets opérant sous vide munies d’une embouchure qui n’est pas dirigée vers en endroit sûr, mais qui est conçue de manière à ce qu’un tuyau externe puisse y être raccordé. Afin de garantir la sécurité de l’opérateur, il est également nécessaire de modifier les prescriptions de service figurant au chapitre</w:t>
      </w:r>
      <w:r w:rsidR="008460B3">
        <w:rPr>
          <w:lang w:val="fr-FR"/>
        </w:rPr>
        <w:t xml:space="preserve"> </w:t>
      </w:r>
      <w:r w:rsidRPr="0002751C">
        <w:rPr>
          <w:lang w:val="fr-FR"/>
        </w:rPr>
        <w:t>4.5 afin d’imposer le raccordement d’un tuyau externe avant le début du chargement.</w:t>
      </w:r>
    </w:p>
    <w:p w14:paraId="22576C61" w14:textId="77777777" w:rsidR="0002751C" w:rsidRPr="0002751C" w:rsidRDefault="0002751C" w:rsidP="0002751C">
      <w:pPr>
        <w:pStyle w:val="SingleTxtG"/>
        <w:spacing w:before="240" w:after="0"/>
        <w:jc w:val="center"/>
        <w:rPr>
          <w:u w:val="single"/>
        </w:rPr>
      </w:pPr>
      <w:r>
        <w:rPr>
          <w:u w:val="single"/>
        </w:rPr>
        <w:tab/>
      </w:r>
      <w:r>
        <w:rPr>
          <w:u w:val="single"/>
        </w:rPr>
        <w:tab/>
      </w:r>
      <w:r>
        <w:rPr>
          <w:u w:val="single"/>
        </w:rPr>
        <w:tab/>
      </w:r>
    </w:p>
    <w:sectPr w:rsidR="0002751C" w:rsidRPr="0002751C" w:rsidSect="0002751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1C0C" w14:textId="77777777" w:rsidR="00E51535" w:rsidRDefault="00E51535" w:rsidP="00F95C08">
      <w:pPr>
        <w:spacing w:line="240" w:lineRule="auto"/>
      </w:pPr>
    </w:p>
  </w:endnote>
  <w:endnote w:type="continuationSeparator" w:id="0">
    <w:p w14:paraId="28109D19" w14:textId="77777777" w:rsidR="00E51535" w:rsidRPr="00AC3823" w:rsidRDefault="00E51535" w:rsidP="00AC3823">
      <w:pPr>
        <w:pStyle w:val="Footer"/>
      </w:pPr>
    </w:p>
  </w:endnote>
  <w:endnote w:type="continuationNotice" w:id="1">
    <w:p w14:paraId="4273CFA4" w14:textId="77777777" w:rsidR="00E51535" w:rsidRDefault="00E515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76A1" w14:textId="77777777" w:rsidR="0002751C" w:rsidRPr="0002751C" w:rsidRDefault="0002751C" w:rsidP="0002751C">
    <w:pPr>
      <w:pStyle w:val="Footer"/>
      <w:tabs>
        <w:tab w:val="right" w:pos="9638"/>
      </w:tabs>
    </w:pPr>
    <w:r w:rsidRPr="0002751C">
      <w:rPr>
        <w:b/>
        <w:sz w:val="18"/>
      </w:rPr>
      <w:fldChar w:fldCharType="begin"/>
    </w:r>
    <w:r w:rsidRPr="0002751C">
      <w:rPr>
        <w:b/>
        <w:sz w:val="18"/>
      </w:rPr>
      <w:instrText xml:space="preserve"> PAGE  \* MERGEFORMAT </w:instrText>
    </w:r>
    <w:r w:rsidRPr="0002751C">
      <w:rPr>
        <w:b/>
        <w:sz w:val="18"/>
      </w:rPr>
      <w:fldChar w:fldCharType="separate"/>
    </w:r>
    <w:r w:rsidRPr="0002751C">
      <w:rPr>
        <w:b/>
        <w:noProof/>
        <w:sz w:val="18"/>
      </w:rPr>
      <w:t>2</w:t>
    </w:r>
    <w:r w:rsidRPr="0002751C">
      <w:rPr>
        <w:b/>
        <w:sz w:val="18"/>
      </w:rPr>
      <w:fldChar w:fldCharType="end"/>
    </w:r>
    <w:r>
      <w:rPr>
        <w:b/>
        <w:sz w:val="18"/>
      </w:rPr>
      <w:tab/>
    </w:r>
    <w:r>
      <w:t>GE.19-10081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7069" w14:textId="77777777" w:rsidR="0002751C" w:rsidRPr="0002751C" w:rsidRDefault="0002751C" w:rsidP="0002751C">
    <w:pPr>
      <w:pStyle w:val="Footer"/>
      <w:tabs>
        <w:tab w:val="right" w:pos="9638"/>
      </w:tabs>
      <w:rPr>
        <w:b/>
        <w:sz w:val="18"/>
      </w:rPr>
    </w:pPr>
    <w:r>
      <w:t>GE.19-10081</w:t>
    </w:r>
    <w:r>
      <w:tab/>
    </w:r>
    <w:r w:rsidRPr="0002751C">
      <w:rPr>
        <w:b/>
        <w:sz w:val="18"/>
      </w:rPr>
      <w:fldChar w:fldCharType="begin"/>
    </w:r>
    <w:r w:rsidRPr="0002751C">
      <w:rPr>
        <w:b/>
        <w:sz w:val="18"/>
      </w:rPr>
      <w:instrText xml:space="preserve"> PAGE  \* MERGEFORMAT </w:instrText>
    </w:r>
    <w:r w:rsidRPr="0002751C">
      <w:rPr>
        <w:b/>
        <w:sz w:val="18"/>
      </w:rPr>
      <w:fldChar w:fldCharType="separate"/>
    </w:r>
    <w:r w:rsidRPr="0002751C">
      <w:rPr>
        <w:b/>
        <w:noProof/>
        <w:sz w:val="18"/>
      </w:rPr>
      <w:t>3</w:t>
    </w:r>
    <w:r w:rsidRPr="000275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6A28" w14:textId="77777777" w:rsidR="007F20FA" w:rsidRPr="0002751C" w:rsidRDefault="0002751C" w:rsidP="0002751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4696482" wp14:editId="7A4185F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19-10081  (F)</w:t>
    </w:r>
    <w:r w:rsidR="008946E9">
      <w:rPr>
        <w:sz w:val="20"/>
      </w:rPr>
      <w:t xml:space="preserve">    240719    240719</w:t>
    </w:r>
    <w:r>
      <w:rPr>
        <w:sz w:val="20"/>
      </w:rPr>
      <w:br/>
    </w:r>
    <w:r w:rsidRPr="0002751C">
      <w:rPr>
        <w:rFonts w:ascii="C39T30Lfz" w:hAnsi="C39T30Lfz"/>
        <w:sz w:val="56"/>
      </w:rPr>
      <w:t></w:t>
    </w:r>
    <w:r w:rsidRPr="0002751C">
      <w:rPr>
        <w:rFonts w:ascii="C39T30Lfz" w:hAnsi="C39T30Lfz"/>
        <w:sz w:val="56"/>
      </w:rPr>
      <w:t></w:t>
    </w:r>
    <w:r w:rsidRPr="0002751C">
      <w:rPr>
        <w:rFonts w:ascii="C39T30Lfz" w:hAnsi="C39T30Lfz"/>
        <w:sz w:val="56"/>
      </w:rPr>
      <w:t></w:t>
    </w:r>
    <w:r w:rsidRPr="0002751C">
      <w:rPr>
        <w:rFonts w:ascii="C39T30Lfz" w:hAnsi="C39T30Lfz"/>
        <w:sz w:val="56"/>
      </w:rPr>
      <w:t></w:t>
    </w:r>
    <w:r w:rsidRPr="0002751C">
      <w:rPr>
        <w:rFonts w:ascii="C39T30Lfz" w:hAnsi="C39T30Lfz"/>
        <w:sz w:val="56"/>
      </w:rPr>
      <w:t></w:t>
    </w:r>
    <w:r w:rsidRPr="0002751C">
      <w:rPr>
        <w:rFonts w:ascii="C39T30Lfz" w:hAnsi="C39T30Lfz"/>
        <w:sz w:val="56"/>
      </w:rPr>
      <w:t></w:t>
    </w:r>
    <w:r w:rsidRPr="0002751C">
      <w:rPr>
        <w:rFonts w:ascii="C39T30Lfz" w:hAnsi="C39T30Lfz"/>
        <w:sz w:val="56"/>
      </w:rPr>
      <w:t></w:t>
    </w:r>
    <w:r w:rsidRPr="0002751C">
      <w:rPr>
        <w:rFonts w:ascii="C39T30Lfz" w:hAnsi="C39T30Lfz"/>
        <w:sz w:val="56"/>
      </w:rPr>
      <w:t></w:t>
    </w:r>
    <w:r w:rsidRPr="0002751C">
      <w:rPr>
        <w:rFonts w:ascii="C39T30Lfz" w:hAnsi="C39T30Lfz"/>
        <w:sz w:val="56"/>
      </w:rPr>
      <w:t></w:t>
    </w:r>
    <w:r>
      <w:rPr>
        <w:noProof/>
        <w:sz w:val="20"/>
      </w:rPr>
      <w:drawing>
        <wp:anchor distT="0" distB="0" distL="114300" distR="114300" simplePos="0" relativeHeight="251658240" behindDoc="0" locked="0" layoutInCell="1" allowOverlap="1" wp14:anchorId="3EBE7F5F" wp14:editId="2D29438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53DC" w14:textId="77777777" w:rsidR="00E51535" w:rsidRPr="00AC3823" w:rsidRDefault="00E51535" w:rsidP="00AC3823">
      <w:pPr>
        <w:pStyle w:val="Footer"/>
        <w:tabs>
          <w:tab w:val="right" w:pos="2155"/>
        </w:tabs>
        <w:spacing w:after="80" w:line="240" w:lineRule="atLeast"/>
        <w:ind w:left="680"/>
        <w:rPr>
          <w:u w:val="single"/>
        </w:rPr>
      </w:pPr>
      <w:r>
        <w:rPr>
          <w:u w:val="single"/>
        </w:rPr>
        <w:tab/>
      </w:r>
    </w:p>
  </w:footnote>
  <w:footnote w:type="continuationSeparator" w:id="0">
    <w:p w14:paraId="32D0723C" w14:textId="77777777" w:rsidR="00E51535" w:rsidRPr="00AC3823" w:rsidRDefault="00E51535" w:rsidP="00AC3823">
      <w:pPr>
        <w:pStyle w:val="Footer"/>
        <w:tabs>
          <w:tab w:val="right" w:pos="2155"/>
        </w:tabs>
        <w:spacing w:after="80" w:line="240" w:lineRule="atLeast"/>
        <w:ind w:left="680"/>
        <w:rPr>
          <w:u w:val="single"/>
        </w:rPr>
      </w:pPr>
      <w:r>
        <w:rPr>
          <w:u w:val="single"/>
        </w:rPr>
        <w:tab/>
      </w:r>
    </w:p>
  </w:footnote>
  <w:footnote w:type="continuationNotice" w:id="1">
    <w:p w14:paraId="05ACD498" w14:textId="77777777" w:rsidR="00E51535" w:rsidRPr="00AC3823" w:rsidRDefault="00E51535">
      <w:pPr>
        <w:spacing w:line="240" w:lineRule="auto"/>
        <w:rPr>
          <w:sz w:val="2"/>
          <w:szCs w:val="2"/>
        </w:rPr>
      </w:pPr>
    </w:p>
  </w:footnote>
  <w:footnote w:id="2">
    <w:p w14:paraId="2310F1C8" w14:textId="77777777" w:rsidR="001A5A32" w:rsidRPr="001A5A32" w:rsidRDefault="001A5A32">
      <w:pPr>
        <w:pStyle w:val="FootnoteText"/>
      </w:pPr>
      <w:bookmarkStart w:id="1" w:name="_Hlk14863456"/>
      <w:bookmarkStart w:id="2" w:name="_Hlk14863457"/>
      <w:r>
        <w:rPr>
          <w:rStyle w:val="FootnoteReference"/>
        </w:rPr>
        <w:tab/>
      </w:r>
      <w:r w:rsidRPr="001A5A32">
        <w:rPr>
          <w:rStyle w:val="FootnoteReference"/>
          <w:sz w:val="20"/>
          <w:vertAlign w:val="baseline"/>
        </w:rPr>
        <w:t>*</w:t>
      </w:r>
      <w:r>
        <w:rPr>
          <w:rStyle w:val="FootnoteReference"/>
          <w:sz w:val="20"/>
          <w:vertAlign w:val="baseline"/>
        </w:rPr>
        <w:tab/>
      </w:r>
      <w:r w:rsidRPr="001A5A32">
        <w:rPr>
          <w:spacing w:val="-1"/>
          <w:lang w:val="fr-FR"/>
        </w:rPr>
        <w:t>Conformément au programme de travail du Comité des transports intérieurs pour la période 2018</w:t>
      </w:r>
      <w:r w:rsidRPr="001A5A32">
        <w:rPr>
          <w:spacing w:val="-1"/>
          <w:lang w:val="fr-FR"/>
        </w:rPr>
        <w:noBreakHyphen/>
        <w:t>2019,</w:t>
      </w:r>
      <w:r>
        <w:rPr>
          <w:lang w:val="fr-FR"/>
        </w:rPr>
        <w:t xml:space="preserve"> (ECE/TRANS/2018/21/Add.1, module 9 (9.2))</w:t>
      </w:r>
      <w:r w:rsidR="008946E9">
        <w:rPr>
          <w:lang w:val="fr-FR"/>
        </w:rPr>
        <w:t>.</w:t>
      </w:r>
    </w:p>
    <w:bookmarkEnd w:id="1"/>
    <w:bookmarkEnd w:id="2"/>
  </w:footnote>
  <w:footnote w:id="3">
    <w:p w14:paraId="5C1847AB" w14:textId="77777777" w:rsidR="001A5A32" w:rsidRPr="001A5A32" w:rsidRDefault="001A5A32">
      <w:pPr>
        <w:pStyle w:val="FootnoteText"/>
      </w:pPr>
      <w:r>
        <w:rPr>
          <w:rStyle w:val="FootnoteReference"/>
        </w:rPr>
        <w:tab/>
      </w:r>
      <w:r w:rsidRPr="001A5A32">
        <w:rPr>
          <w:rStyle w:val="FootnoteReference"/>
          <w:sz w:val="20"/>
          <w:vertAlign w:val="baseline"/>
        </w:rPr>
        <w:t>**</w:t>
      </w:r>
      <w:r>
        <w:rPr>
          <w:rStyle w:val="FootnoteReference"/>
          <w:sz w:val="20"/>
          <w:vertAlign w:val="baseline"/>
        </w:rPr>
        <w:tab/>
      </w:r>
      <w:r w:rsidRPr="001A5A32">
        <w:rPr>
          <w:spacing w:val="-2"/>
          <w:lang w:val="fr-FR"/>
        </w:rPr>
        <w:t>Diffusée par l’Organisation intergouvernementale pour les transports internationaux ferroviaires (OTIF)</w:t>
      </w:r>
      <w:r>
        <w:rPr>
          <w:lang w:val="fr-FR"/>
        </w:rPr>
        <w:t xml:space="preserve"> sous la cote OTIF/RID/RC/2019/26.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F024" w14:textId="466F6647" w:rsidR="0002751C" w:rsidRPr="0002751C" w:rsidRDefault="004C3A78">
    <w:pPr>
      <w:pStyle w:val="Header"/>
    </w:pPr>
    <w:r>
      <w:fldChar w:fldCharType="begin"/>
    </w:r>
    <w:r>
      <w:instrText xml:space="preserve"> TITLE  \* MERGEFORMAT </w:instrText>
    </w:r>
    <w:r>
      <w:fldChar w:fldCharType="separate"/>
    </w:r>
    <w:r w:rsidR="00393E58">
      <w:t>ECE/TRANS/WP.15/AC.1/2019/26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83B2" w14:textId="14655E83" w:rsidR="0002751C" w:rsidRPr="0002751C" w:rsidRDefault="004C3A78" w:rsidP="0002751C">
    <w:pPr>
      <w:pStyle w:val="Header"/>
      <w:jc w:val="right"/>
    </w:pPr>
    <w:r>
      <w:fldChar w:fldCharType="begin"/>
    </w:r>
    <w:r>
      <w:instrText xml:space="preserve"> TITLE  \* MERGEFORMAT </w:instrText>
    </w:r>
    <w:r>
      <w:fldChar w:fldCharType="separate"/>
    </w:r>
    <w:r w:rsidR="00393E58">
      <w:t>ECE/TRANS/WP.15/AC.1/2019/26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35"/>
    <w:rsid w:val="00017F94"/>
    <w:rsid w:val="00023842"/>
    <w:rsid w:val="0002751C"/>
    <w:rsid w:val="000334F9"/>
    <w:rsid w:val="00045FEB"/>
    <w:rsid w:val="0007796D"/>
    <w:rsid w:val="000B7790"/>
    <w:rsid w:val="00111F2F"/>
    <w:rsid w:val="0014365E"/>
    <w:rsid w:val="00143C66"/>
    <w:rsid w:val="00176178"/>
    <w:rsid w:val="001A5A32"/>
    <w:rsid w:val="001F525A"/>
    <w:rsid w:val="00223272"/>
    <w:rsid w:val="0024779E"/>
    <w:rsid w:val="0025340E"/>
    <w:rsid w:val="00257168"/>
    <w:rsid w:val="002744B8"/>
    <w:rsid w:val="002832AC"/>
    <w:rsid w:val="002D7C93"/>
    <w:rsid w:val="002F548A"/>
    <w:rsid w:val="00305801"/>
    <w:rsid w:val="003916DE"/>
    <w:rsid w:val="00393E58"/>
    <w:rsid w:val="00421996"/>
    <w:rsid w:val="00421FC6"/>
    <w:rsid w:val="00441C3B"/>
    <w:rsid w:val="00446FE5"/>
    <w:rsid w:val="00452396"/>
    <w:rsid w:val="004837D8"/>
    <w:rsid w:val="004C3A78"/>
    <w:rsid w:val="004D1E00"/>
    <w:rsid w:val="004E2EED"/>
    <w:rsid w:val="004E468C"/>
    <w:rsid w:val="005505B7"/>
    <w:rsid w:val="00573BE5"/>
    <w:rsid w:val="00586ED3"/>
    <w:rsid w:val="00596AA9"/>
    <w:rsid w:val="005D41F0"/>
    <w:rsid w:val="006D36F9"/>
    <w:rsid w:val="00710512"/>
    <w:rsid w:val="0071601D"/>
    <w:rsid w:val="007A62E6"/>
    <w:rsid w:val="007F20FA"/>
    <w:rsid w:val="007F5342"/>
    <w:rsid w:val="0080684C"/>
    <w:rsid w:val="008460B3"/>
    <w:rsid w:val="00871C75"/>
    <w:rsid w:val="008776DC"/>
    <w:rsid w:val="008946E9"/>
    <w:rsid w:val="009446C0"/>
    <w:rsid w:val="009705C8"/>
    <w:rsid w:val="009C1CF4"/>
    <w:rsid w:val="009F6B74"/>
    <w:rsid w:val="00A3029F"/>
    <w:rsid w:val="00A30353"/>
    <w:rsid w:val="00AC3823"/>
    <w:rsid w:val="00AD60FF"/>
    <w:rsid w:val="00AE323C"/>
    <w:rsid w:val="00AF0CB5"/>
    <w:rsid w:val="00B00181"/>
    <w:rsid w:val="00B00B0D"/>
    <w:rsid w:val="00B31F00"/>
    <w:rsid w:val="00B45F2E"/>
    <w:rsid w:val="00B765F7"/>
    <w:rsid w:val="00BA0CA9"/>
    <w:rsid w:val="00C02897"/>
    <w:rsid w:val="00C5156E"/>
    <w:rsid w:val="00C97039"/>
    <w:rsid w:val="00D3439C"/>
    <w:rsid w:val="00D45438"/>
    <w:rsid w:val="00D92929"/>
    <w:rsid w:val="00DB1831"/>
    <w:rsid w:val="00DD3BFD"/>
    <w:rsid w:val="00DE4BDC"/>
    <w:rsid w:val="00DF6678"/>
    <w:rsid w:val="00E0299A"/>
    <w:rsid w:val="00E17532"/>
    <w:rsid w:val="00E51535"/>
    <w:rsid w:val="00E67E9F"/>
    <w:rsid w:val="00E85C74"/>
    <w:rsid w:val="00EA6547"/>
    <w:rsid w:val="00EF2E22"/>
    <w:rsid w:val="00F14A52"/>
    <w:rsid w:val="00F2452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3B09A"/>
  <w15:docId w15:val="{9679C9A1-1DCF-41D4-ABEC-0C50F8D7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A5A3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ECE/TRANS/WP.15/AC.1/2019/26</vt:lpstr>
      <vt:lpstr>ECE/TRANS/WP.15/AC.1/2019/26</vt:lpstr>
    </vt:vector>
  </TitlesOfParts>
  <Company>DCM</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ECE/TRANS/WP.15/AC.1/2019/26</dc:title>
  <dc:subject/>
  <dc:creator>Ramzi TOUMA</dc:creator>
  <cp:keywords/>
  <cp:lastModifiedBy>Christine Barrio-Champeau</cp:lastModifiedBy>
  <cp:revision>2</cp:revision>
  <cp:lastPrinted>2019-07-24T14:34:00Z</cp:lastPrinted>
  <dcterms:created xsi:type="dcterms:W3CDTF">2019-07-25T07:33:00Z</dcterms:created>
  <dcterms:modified xsi:type="dcterms:W3CDTF">2019-07-25T07:33:00Z</dcterms:modified>
</cp:coreProperties>
</file>