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DD506E">
            <w:pPr>
              <w:suppressAutoHyphens w:val="0"/>
              <w:spacing w:after="20"/>
              <w:jc w:val="right"/>
            </w:pPr>
            <w:r w:rsidRPr="00B11BB4">
              <w:rPr>
                <w:sz w:val="40"/>
              </w:rPr>
              <w:t>ECE</w:t>
            </w:r>
            <w:r>
              <w:t>/TRANS/WP.15/AC.1/201</w:t>
            </w:r>
            <w:r w:rsidR="00DD506E">
              <w:t>9</w:t>
            </w:r>
            <w:r>
              <w:t>/</w:t>
            </w:r>
            <w:r w:rsidR="006A39B9">
              <w:t>16</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s-ES" w:eastAsia="es-E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231F8F" w:rsidP="00B11BB4">
            <w:pPr>
              <w:suppressAutoHyphens w:val="0"/>
            </w:pPr>
            <w:r>
              <w:t>28</w:t>
            </w:r>
            <w:bookmarkStart w:id="0" w:name="_GoBack"/>
            <w:bookmarkEnd w:id="0"/>
            <w:r w:rsidR="00180463">
              <w:t xml:space="preserve"> December 2018</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DD506E" w:rsidP="00BB7CD1">
      <w:r w:rsidRPr="00EB52FF">
        <w:t>Bern</w:t>
      </w:r>
      <w:r w:rsidR="00BB7CD1" w:rsidRPr="00EB52FF">
        <w:t xml:space="preserve">, </w:t>
      </w:r>
      <w:r w:rsidR="00AE08DA" w:rsidRPr="00EB52FF">
        <w:t>1</w:t>
      </w:r>
      <w:r w:rsidR="00EB52FF" w:rsidRPr="00EB52FF">
        <w:t>8</w:t>
      </w:r>
      <w:r w:rsidR="00BB7CD1" w:rsidRPr="00EB52FF">
        <w:t>–</w:t>
      </w:r>
      <w:r w:rsidR="00EB52FF" w:rsidRPr="00EB52FF">
        <w:t>22</w:t>
      </w:r>
      <w:r w:rsidR="00A66C37" w:rsidRPr="00EB52FF">
        <w:t xml:space="preserve"> </w:t>
      </w:r>
      <w:r w:rsidR="00EB52FF" w:rsidRPr="00EB52FF">
        <w:t>March</w:t>
      </w:r>
      <w:r w:rsidR="00F66565" w:rsidRPr="00EB52FF">
        <w:t xml:space="preserve"> </w:t>
      </w:r>
      <w:r w:rsidR="00BB7CD1" w:rsidRPr="00EB52FF">
        <w:t>201</w:t>
      </w:r>
      <w:r w:rsidR="00EB52FF" w:rsidRPr="00EB52FF">
        <w:t>9</w:t>
      </w:r>
    </w:p>
    <w:p w:rsidR="002A5964" w:rsidRDefault="002A5964" w:rsidP="002A5964">
      <w:r w:rsidRPr="006C7B73">
        <w:t>Item 5 (</w:t>
      </w:r>
      <w:r w:rsidR="00DD506E">
        <w:t>a</w:t>
      </w:r>
      <w:r w:rsidRPr="006C7B73">
        <w:t>) of the provisional agenda</w:t>
      </w:r>
    </w:p>
    <w:p w:rsidR="002A5964" w:rsidRDefault="002A5964" w:rsidP="002A5964">
      <w:pPr>
        <w:spacing w:line="240" w:lineRule="auto"/>
        <w:rPr>
          <w:b/>
          <w:bCs/>
        </w:rPr>
      </w:pPr>
      <w:r>
        <w:rPr>
          <w:b/>
        </w:rPr>
        <w:t>Proposals for amendments to RID/ADR/ADN:</w:t>
      </w:r>
      <w:r>
        <w:rPr>
          <w:b/>
        </w:rPr>
        <w:br/>
      </w:r>
      <w:r w:rsidR="00EB52FF">
        <w:rPr>
          <w:b/>
          <w:bCs/>
        </w:rPr>
        <w:t>pending issues</w:t>
      </w:r>
    </w:p>
    <w:p w:rsidR="00C3172E" w:rsidRPr="00302B8D" w:rsidRDefault="00C3172E" w:rsidP="007B5114">
      <w:pPr>
        <w:pStyle w:val="HChG"/>
        <w:spacing w:before="240" w:after="120" w:line="240" w:lineRule="exact"/>
      </w:pPr>
      <w:r w:rsidRPr="00302B8D">
        <w:tab/>
      </w:r>
      <w:r w:rsidRPr="00302B8D">
        <w:tab/>
      </w:r>
      <w:r w:rsidR="00D32959">
        <w:rPr>
          <w:lang w:val="en-US"/>
        </w:rPr>
        <w:t xml:space="preserve">UN </w:t>
      </w:r>
      <w:r w:rsidR="00CF7246">
        <w:rPr>
          <w:lang w:val="en-US"/>
        </w:rPr>
        <w:t xml:space="preserve">No. </w:t>
      </w:r>
      <w:r w:rsidR="00D32959">
        <w:rPr>
          <w:lang w:val="en-US"/>
        </w:rPr>
        <w:t xml:space="preserve">1010 </w:t>
      </w:r>
      <w:proofErr w:type="spellStart"/>
      <w:r w:rsidR="00D32959">
        <w:rPr>
          <w:lang w:val="en-US"/>
        </w:rPr>
        <w:t>Butadienes</w:t>
      </w:r>
      <w:proofErr w:type="spellEnd"/>
      <w:r w:rsidR="00D32959">
        <w:rPr>
          <w:lang w:val="en-US"/>
        </w:rPr>
        <w:t>, stabilized</w:t>
      </w:r>
    </w:p>
    <w:p w:rsidR="00C3172E" w:rsidRDefault="00C3172E" w:rsidP="00C3172E">
      <w:pPr>
        <w:pStyle w:val="H1G"/>
        <w:rPr>
          <w:b w:val="0"/>
          <w:sz w:val="20"/>
        </w:rPr>
      </w:pPr>
      <w:r>
        <w:tab/>
      </w:r>
      <w:r>
        <w:tab/>
      </w:r>
      <w:r w:rsidR="0043040E">
        <w:t>T</w:t>
      </w:r>
      <w:r>
        <w:t xml:space="preserve">ransmitted by </w:t>
      </w:r>
      <w:r w:rsidR="0043040E">
        <w:t xml:space="preserve">the Government of </w:t>
      </w:r>
      <w:r w:rsidR="00AD13BA">
        <w:t xml:space="preserve">the </w:t>
      </w:r>
      <w:r w:rsidR="00B012FA">
        <w:t>S</w:t>
      </w:r>
      <w:r w:rsidR="006C7B73">
        <w:t>pain</w:t>
      </w:r>
      <w:r w:rsidR="004C38A6" w:rsidRPr="00004AD5">
        <w:rPr>
          <w:rStyle w:val="FootnoteReference"/>
          <w:b w:val="0"/>
          <w:sz w:val="20"/>
        </w:rPr>
        <w:footnoteReference w:id="2"/>
      </w:r>
      <w:r w:rsidR="004C38A6" w:rsidRPr="00004AD5">
        <w:rPr>
          <w:sz w:val="20"/>
          <w:vertAlign w:val="superscript"/>
        </w:rPr>
        <w:t>,</w:t>
      </w:r>
      <w:r w:rsidR="004C38A6">
        <w:rPr>
          <w:sz w:val="18"/>
          <w:szCs w:val="18"/>
          <w:vertAlign w:val="superscript"/>
        </w:rPr>
        <w:t xml:space="preserve"> </w:t>
      </w:r>
      <w:r w:rsidR="004C38A6" w:rsidRPr="00004AD5">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1"/>
      </w:tblGrid>
      <w:tr w:rsidR="00DE4750" w:rsidRPr="00E940D0" w:rsidTr="007B5114">
        <w:trPr>
          <w:jc w:val="center"/>
        </w:trPr>
        <w:tc>
          <w:tcPr>
            <w:tcW w:w="9351" w:type="dxa"/>
            <w:shd w:val="clear" w:color="auto" w:fill="auto"/>
          </w:tcPr>
          <w:p w:rsidR="00DE4750" w:rsidRPr="00E940D0" w:rsidRDefault="00DE4750" w:rsidP="00021DCA">
            <w:pPr>
              <w:spacing w:before="240" w:after="120"/>
              <w:ind w:left="255"/>
              <w:rPr>
                <w:i/>
                <w:sz w:val="24"/>
              </w:rPr>
            </w:pPr>
            <w:r w:rsidRPr="00E940D0">
              <w:rPr>
                <w:i/>
                <w:sz w:val="24"/>
              </w:rPr>
              <w:t>Summary</w:t>
            </w:r>
          </w:p>
        </w:tc>
      </w:tr>
      <w:tr w:rsidR="00DE4750" w:rsidRPr="0035523F" w:rsidTr="007B5114">
        <w:trPr>
          <w:jc w:val="center"/>
        </w:trPr>
        <w:tc>
          <w:tcPr>
            <w:tcW w:w="9351" w:type="dxa"/>
            <w:shd w:val="clear" w:color="auto" w:fill="auto"/>
          </w:tcPr>
          <w:p w:rsidR="00DE4750" w:rsidRPr="00CD0808" w:rsidRDefault="00DE4750" w:rsidP="00FF5B28">
            <w:pPr>
              <w:pStyle w:val="SingleTxtG"/>
              <w:tabs>
                <w:tab w:val="left" w:pos="3260"/>
              </w:tabs>
              <w:ind w:left="3260" w:hanging="2126"/>
              <w:jc w:val="left"/>
            </w:pPr>
            <w:r w:rsidRPr="00CD0808">
              <w:rPr>
                <w:b/>
              </w:rPr>
              <w:t>Executive summary:</w:t>
            </w:r>
            <w:r>
              <w:rPr>
                <w:b/>
              </w:rPr>
              <w:t xml:space="preserve"> </w:t>
            </w:r>
            <w:r w:rsidRPr="00CD0808">
              <w:tab/>
            </w:r>
            <w:r w:rsidR="00DD506E">
              <w:t>Harmonization of</w:t>
            </w:r>
            <w:r w:rsidR="00D32959">
              <w:t xml:space="preserve"> the </w:t>
            </w:r>
            <w:r w:rsidR="00FF5B28">
              <w:t>name and description</w:t>
            </w:r>
            <w:r w:rsidR="00D32959">
              <w:t xml:space="preserve"> of UN</w:t>
            </w:r>
            <w:r w:rsidR="00CF7246">
              <w:t xml:space="preserve"> No. </w:t>
            </w:r>
            <w:r w:rsidR="00D32959">
              <w:t xml:space="preserve">1010 in RID/ADR with the one contained in the </w:t>
            </w:r>
            <w:r w:rsidR="00CF7246">
              <w:t xml:space="preserve">UN </w:t>
            </w:r>
            <w:r w:rsidR="00D32959">
              <w:t>Model Regulations</w:t>
            </w:r>
            <w:r w:rsidR="00BA1092">
              <w:t xml:space="preserve">.  </w:t>
            </w:r>
          </w:p>
        </w:tc>
      </w:tr>
      <w:tr w:rsidR="00DE4750" w:rsidRPr="00597302" w:rsidTr="007B5114">
        <w:trPr>
          <w:jc w:val="center"/>
        </w:trPr>
        <w:tc>
          <w:tcPr>
            <w:tcW w:w="9351" w:type="dxa"/>
            <w:shd w:val="clear" w:color="auto" w:fill="auto"/>
          </w:tcPr>
          <w:p w:rsidR="00DE4750" w:rsidRPr="00CD0808" w:rsidRDefault="00DE4750" w:rsidP="003A2E91">
            <w:pPr>
              <w:pStyle w:val="SingleTxtG"/>
              <w:tabs>
                <w:tab w:val="left" w:pos="3260"/>
              </w:tabs>
              <w:ind w:left="3260" w:hanging="2126"/>
            </w:pPr>
            <w:r w:rsidRPr="00CD0808">
              <w:rPr>
                <w:b/>
              </w:rPr>
              <w:t>Action to be taken:</w:t>
            </w:r>
            <w:r>
              <w:rPr>
                <w:b/>
              </w:rPr>
              <w:t xml:space="preserve">     </w:t>
            </w:r>
            <w:r>
              <w:rPr>
                <w:b/>
              </w:rPr>
              <w:tab/>
            </w:r>
            <w:r w:rsidR="00D32959">
              <w:t>Amend the description of UN</w:t>
            </w:r>
            <w:r w:rsidR="00CF7246">
              <w:t xml:space="preserve"> No. </w:t>
            </w:r>
            <w:r w:rsidR="00D32959">
              <w:t>1010 in</w:t>
            </w:r>
            <w:r w:rsidR="006C7B73">
              <w:t xml:space="preserve"> table A in chapter 3.2 for RID and ADR</w:t>
            </w:r>
            <w:r w:rsidR="009950AD">
              <w:t>.</w:t>
            </w:r>
          </w:p>
        </w:tc>
      </w:tr>
      <w:tr w:rsidR="00DE4750" w:rsidRPr="00AE331E" w:rsidTr="007B5114">
        <w:trPr>
          <w:jc w:val="center"/>
        </w:trPr>
        <w:tc>
          <w:tcPr>
            <w:tcW w:w="9351" w:type="dxa"/>
            <w:shd w:val="clear" w:color="auto" w:fill="auto"/>
          </w:tcPr>
          <w:p w:rsidR="00DD506E" w:rsidRDefault="00DE4750" w:rsidP="006C7B73">
            <w:pPr>
              <w:pStyle w:val="SingleTxtG"/>
              <w:tabs>
                <w:tab w:val="left" w:pos="3260"/>
              </w:tabs>
              <w:spacing w:after="0"/>
              <w:ind w:left="3260" w:hanging="2126"/>
              <w:jc w:val="left"/>
            </w:pPr>
            <w:r w:rsidRPr="0059596F">
              <w:rPr>
                <w:b/>
              </w:rPr>
              <w:t>Related documents:</w:t>
            </w:r>
            <w:r w:rsidRPr="0059596F">
              <w:t xml:space="preserve">        </w:t>
            </w:r>
            <w:r w:rsidR="00DD506E">
              <w:t>ECE/TRANS/WP.15/AC.1/2018/19</w:t>
            </w:r>
          </w:p>
          <w:p w:rsidR="0059596F" w:rsidRPr="00A65936" w:rsidRDefault="00DD506E" w:rsidP="00CF7246">
            <w:pPr>
              <w:pStyle w:val="SingleTxtG"/>
              <w:tabs>
                <w:tab w:val="left" w:pos="3260"/>
              </w:tabs>
              <w:spacing w:after="0"/>
              <w:ind w:left="3260" w:hanging="2126"/>
              <w:jc w:val="left"/>
            </w:pPr>
            <w:r>
              <w:t xml:space="preserve">                                          </w:t>
            </w:r>
            <w:r w:rsidR="0059596F" w:rsidRPr="0059596F">
              <w:t>Report</w:t>
            </w:r>
            <w:r w:rsidR="00A65936">
              <w:t xml:space="preserve"> TDG Subcommittee 2003</w:t>
            </w:r>
            <w:r w:rsidR="0059596F" w:rsidRPr="0059596F">
              <w:t xml:space="preserve"> ST/SG/AC.10/C.3/46, paragraphs 13-14</w:t>
            </w:r>
            <w:r w:rsidR="00CF7246">
              <w:t xml:space="preserve"> (Report of the Sub-Committee of Experts on the Transport of Dangerous Goods, twenty-third </w:t>
            </w:r>
            <w:proofErr w:type="gramStart"/>
            <w:r w:rsidR="00CF7246">
              <w:t xml:space="preserve">session)   </w:t>
            </w:r>
            <w:proofErr w:type="gramEnd"/>
            <w:r w:rsidR="00CF7246">
              <w:t xml:space="preserve"> </w:t>
            </w:r>
            <w:r w:rsidR="00A65936">
              <w:t xml:space="preserve">                                  </w:t>
            </w:r>
            <w:r w:rsidR="0059596F" w:rsidRPr="00A65936">
              <w:t>ST/SG/AC.10/C.3/2003/12 (EIGA)</w:t>
            </w:r>
          </w:p>
          <w:p w:rsidR="0059596F" w:rsidRPr="00A65936" w:rsidRDefault="00A65936" w:rsidP="006C7B73">
            <w:pPr>
              <w:pStyle w:val="SingleTxtG"/>
              <w:tabs>
                <w:tab w:val="left" w:pos="3260"/>
              </w:tabs>
              <w:spacing w:after="0"/>
              <w:ind w:left="3260" w:hanging="2126"/>
              <w:jc w:val="left"/>
            </w:pPr>
            <w:r>
              <w:t xml:space="preserve">                                          </w:t>
            </w:r>
            <w:r w:rsidR="00CF7246">
              <w:t>Informal document INF.37 of the twenty-third session of the Sub-Committee of Experts</w:t>
            </w:r>
            <w:r w:rsidR="0059596F" w:rsidRPr="00A65936">
              <w:t xml:space="preserve"> (Working group on gases)</w:t>
            </w:r>
          </w:p>
          <w:p w:rsidR="0059596F" w:rsidRPr="00A65936" w:rsidRDefault="00A65936" w:rsidP="006C7B73">
            <w:pPr>
              <w:pStyle w:val="SingleTxtG"/>
              <w:tabs>
                <w:tab w:val="left" w:pos="3260"/>
              </w:tabs>
              <w:spacing w:after="0"/>
              <w:ind w:left="3260" w:hanging="2126"/>
              <w:jc w:val="left"/>
              <w:rPr>
                <w:lang w:val="en-US" w:eastAsia="en-GB"/>
              </w:rPr>
            </w:pPr>
            <w:r>
              <w:rPr>
                <w:lang w:eastAsia="en-GB"/>
              </w:rPr>
              <w:t xml:space="preserve">                                        </w:t>
            </w:r>
            <w:r w:rsidR="00CF7246">
              <w:rPr>
                <w:lang w:val="en-US" w:eastAsia="en-GB"/>
              </w:rPr>
              <w:t xml:space="preserve">  </w:t>
            </w:r>
            <w:r w:rsidR="0059596F" w:rsidRPr="00A65936">
              <w:rPr>
                <w:lang w:val="en-US" w:eastAsia="en-GB"/>
              </w:rPr>
              <w:t>TRANS/WP.15/AC.1/94</w:t>
            </w:r>
            <w:r w:rsidRPr="00A65936">
              <w:rPr>
                <w:lang w:val="en-US" w:eastAsia="en-GB"/>
              </w:rPr>
              <w:t>, paragraphs 10-13</w:t>
            </w:r>
          </w:p>
          <w:p w:rsidR="00DE4750" w:rsidRPr="0059596F" w:rsidRDefault="00A65936" w:rsidP="00A65936">
            <w:pPr>
              <w:pStyle w:val="SingleTxtG"/>
              <w:tabs>
                <w:tab w:val="left" w:pos="3260"/>
              </w:tabs>
              <w:spacing w:after="0"/>
              <w:ind w:left="3260" w:hanging="2126"/>
              <w:jc w:val="left"/>
            </w:pPr>
            <w:r>
              <w:rPr>
                <w:bCs/>
                <w:lang w:val="en-US" w:eastAsia="en-GB"/>
              </w:rPr>
              <w:t xml:space="preserve">                                     </w:t>
            </w:r>
            <w:r w:rsidR="007B5114">
              <w:rPr>
                <w:bCs/>
                <w:lang w:val="en-US" w:eastAsia="en-GB"/>
              </w:rPr>
              <w:t xml:space="preserve">   </w:t>
            </w:r>
            <w:r>
              <w:rPr>
                <w:bCs/>
                <w:lang w:val="en-US" w:eastAsia="en-GB"/>
              </w:rPr>
              <w:t xml:space="preserve">  </w:t>
            </w:r>
            <w:r w:rsidR="00CF7246">
              <w:rPr>
                <w:bCs/>
                <w:lang w:val="en-US" w:eastAsia="en-GB"/>
              </w:rPr>
              <w:t xml:space="preserve">Informal document </w:t>
            </w:r>
            <w:r>
              <w:rPr>
                <w:bCs/>
                <w:lang w:val="en-US" w:eastAsia="en-GB"/>
              </w:rPr>
              <w:t xml:space="preserve">  </w:t>
            </w:r>
            <w:r w:rsidR="001A5840">
              <w:rPr>
                <w:bCs/>
                <w:lang w:val="en-US" w:eastAsia="en-GB"/>
              </w:rPr>
              <w:t xml:space="preserve"> </w:t>
            </w:r>
            <w:r w:rsidRPr="00A65936">
              <w:rPr>
                <w:bCs/>
                <w:lang w:val="en-US" w:eastAsia="en-GB"/>
              </w:rPr>
              <w:t>INF.</w:t>
            </w:r>
            <w:r w:rsidR="00CF7246">
              <w:rPr>
                <w:bCs/>
                <w:lang w:val="en-US" w:eastAsia="en-GB"/>
              </w:rPr>
              <w:t xml:space="preserve">4 </w:t>
            </w:r>
            <w:proofErr w:type="gramStart"/>
            <w:r w:rsidR="00CF7246">
              <w:rPr>
                <w:bCs/>
                <w:lang w:val="en-US" w:eastAsia="en-GB"/>
              </w:rPr>
              <w:t xml:space="preserve">of </w:t>
            </w:r>
            <w:r w:rsidRPr="00A65936">
              <w:rPr>
                <w:bCs/>
                <w:lang w:val="en-US" w:eastAsia="en-GB"/>
              </w:rPr>
              <w:t xml:space="preserve"> the</w:t>
            </w:r>
            <w:proofErr w:type="gramEnd"/>
            <w:r w:rsidRPr="00A65936">
              <w:rPr>
                <w:bCs/>
                <w:lang w:val="en-US" w:eastAsia="en-GB"/>
              </w:rPr>
              <w:t xml:space="preserve"> Joint Meeting Autumn 2003 </w:t>
            </w:r>
            <w:r w:rsidR="00CF7246" w:rsidRPr="00A65936">
              <w:rPr>
                <w:bCs/>
                <w:lang w:val="en-US" w:eastAsia="en-GB"/>
              </w:rPr>
              <w:t xml:space="preserve">Session </w:t>
            </w:r>
            <w:r w:rsidRPr="00A65936">
              <w:rPr>
                <w:bCs/>
                <w:lang w:val="en-US" w:eastAsia="en-GB"/>
              </w:rPr>
              <w:t>(UIC)</w:t>
            </w:r>
          </w:p>
        </w:tc>
      </w:tr>
      <w:tr w:rsidR="00DE4750" w:rsidRPr="00AE331E" w:rsidTr="007B5114">
        <w:trPr>
          <w:jc w:val="center"/>
        </w:trPr>
        <w:tc>
          <w:tcPr>
            <w:tcW w:w="9351" w:type="dxa"/>
            <w:shd w:val="clear" w:color="auto" w:fill="auto"/>
          </w:tcPr>
          <w:p w:rsidR="00DE4750" w:rsidRPr="00D43932" w:rsidRDefault="00A65936" w:rsidP="00021DCA">
            <w:pPr>
              <w:rPr>
                <w:lang w:val="en-US"/>
              </w:rPr>
            </w:pPr>
            <w:r>
              <w:rPr>
                <w:lang w:val="en-US"/>
              </w:rPr>
              <w:t xml:space="preserve">                </w:t>
            </w:r>
          </w:p>
        </w:tc>
      </w:tr>
    </w:tbl>
    <w:p w:rsidR="00DE4750" w:rsidRPr="009A2C3D" w:rsidRDefault="00DE4750" w:rsidP="00DE4750">
      <w:pPr>
        <w:pStyle w:val="HChG"/>
        <w:rPr>
          <w:lang w:val="nl-NL"/>
        </w:rPr>
      </w:pPr>
      <w:r>
        <w:lastRenderedPageBreak/>
        <w:tab/>
      </w:r>
      <w:r>
        <w:tab/>
      </w:r>
      <w:r w:rsidR="009950AD" w:rsidRPr="009A2C3D">
        <w:t>Background</w:t>
      </w:r>
    </w:p>
    <w:p w:rsidR="00D32959" w:rsidRPr="009A2C3D" w:rsidRDefault="004F7CA5" w:rsidP="00FA1C80">
      <w:pPr>
        <w:pStyle w:val="SingleTxtG"/>
        <w:rPr>
          <w:lang w:val="en-US"/>
        </w:rPr>
      </w:pPr>
      <w:r w:rsidRPr="009A2C3D">
        <w:rPr>
          <w:rFonts w:eastAsiaTheme="minorEastAsia"/>
          <w:lang w:val="en-US" w:eastAsia="zh-CN"/>
        </w:rPr>
        <w:t>1.</w:t>
      </w:r>
      <w:r w:rsidR="00B62297" w:rsidRPr="009A2C3D">
        <w:rPr>
          <w:rFonts w:eastAsiaTheme="minorEastAsia"/>
          <w:lang w:val="en-US" w:eastAsia="zh-CN"/>
        </w:rPr>
        <w:tab/>
      </w:r>
      <w:r w:rsidR="00D32959" w:rsidRPr="009A2C3D">
        <w:rPr>
          <w:lang w:val="en-US"/>
        </w:rPr>
        <w:t xml:space="preserve">In </w:t>
      </w:r>
      <w:r w:rsidR="00FA1C80" w:rsidRPr="009A2C3D">
        <w:rPr>
          <w:lang w:val="en-US"/>
        </w:rPr>
        <w:t>the September</w:t>
      </w:r>
      <w:r w:rsidR="00CF7246">
        <w:rPr>
          <w:lang w:val="en-US"/>
        </w:rPr>
        <w:t xml:space="preserve"> 2018</w:t>
      </w:r>
      <w:r w:rsidR="00FA1C80" w:rsidRPr="009A2C3D">
        <w:rPr>
          <w:lang w:val="en-US"/>
        </w:rPr>
        <w:t xml:space="preserve"> meeting </w:t>
      </w:r>
      <w:r w:rsidR="00D32959" w:rsidRPr="009A2C3D">
        <w:rPr>
          <w:lang w:val="en-US"/>
        </w:rPr>
        <w:t xml:space="preserve">the Spanish </w:t>
      </w:r>
      <w:r w:rsidR="00CF7246">
        <w:rPr>
          <w:lang w:val="en-US"/>
        </w:rPr>
        <w:t>delegate</w:t>
      </w:r>
      <w:r w:rsidR="00D32959" w:rsidRPr="009A2C3D">
        <w:rPr>
          <w:lang w:val="en-US"/>
        </w:rPr>
        <w:t xml:space="preserve"> </w:t>
      </w:r>
      <w:r w:rsidR="001A5840" w:rsidRPr="009A2C3D">
        <w:rPr>
          <w:lang w:val="en-US"/>
        </w:rPr>
        <w:t>draw the attention of</w:t>
      </w:r>
      <w:r w:rsidR="00D32959" w:rsidRPr="009A2C3D">
        <w:rPr>
          <w:lang w:val="en-US"/>
        </w:rPr>
        <w:t xml:space="preserve"> </w:t>
      </w:r>
      <w:r w:rsidR="001A5840" w:rsidRPr="009A2C3D">
        <w:rPr>
          <w:lang w:val="en-US"/>
        </w:rPr>
        <w:t xml:space="preserve">the </w:t>
      </w:r>
      <w:r w:rsidR="00FA1C80" w:rsidRPr="009A2C3D">
        <w:rPr>
          <w:lang w:val="en-US"/>
        </w:rPr>
        <w:t xml:space="preserve">Joint Meeting, through </w:t>
      </w:r>
      <w:r w:rsidR="00FA1C80" w:rsidRPr="009A2C3D">
        <w:t>ECE/TRANS/WP.15/AC.1/2018/19</w:t>
      </w:r>
      <w:r w:rsidR="001A5840" w:rsidRPr="009A2C3D">
        <w:t xml:space="preserve">, </w:t>
      </w:r>
      <w:r w:rsidR="000646E5">
        <w:t>on</w:t>
      </w:r>
      <w:r w:rsidR="00FA1C80" w:rsidRPr="009A2C3D">
        <w:rPr>
          <w:lang w:val="en-US"/>
        </w:rPr>
        <w:t xml:space="preserve"> the</w:t>
      </w:r>
      <w:r w:rsidR="00CF7246">
        <w:rPr>
          <w:lang w:val="en-US"/>
        </w:rPr>
        <w:t xml:space="preserve"> difference existing</w:t>
      </w:r>
      <w:r w:rsidR="00D32959" w:rsidRPr="009A2C3D">
        <w:rPr>
          <w:lang w:val="en-US"/>
        </w:rPr>
        <w:t xml:space="preserve"> between the name and desc</w:t>
      </w:r>
      <w:r w:rsidR="003A2E91" w:rsidRPr="009A2C3D">
        <w:rPr>
          <w:lang w:val="en-US"/>
        </w:rPr>
        <w:t>ription of UN</w:t>
      </w:r>
      <w:r w:rsidR="00CF7246">
        <w:rPr>
          <w:lang w:val="en-US"/>
        </w:rPr>
        <w:t xml:space="preserve"> </w:t>
      </w:r>
      <w:r w:rsidR="003A2E91" w:rsidRPr="009A2C3D">
        <w:rPr>
          <w:lang w:val="en-US"/>
        </w:rPr>
        <w:t>1010 in the Model R</w:t>
      </w:r>
      <w:r w:rsidR="00D32959" w:rsidRPr="009A2C3D">
        <w:rPr>
          <w:lang w:val="en-US"/>
        </w:rPr>
        <w:t xml:space="preserve">egulations </w:t>
      </w:r>
      <w:r w:rsidR="00FE20CA" w:rsidRPr="009A2C3D">
        <w:rPr>
          <w:lang w:val="en-US"/>
        </w:rPr>
        <w:t xml:space="preserve">and </w:t>
      </w:r>
      <w:r w:rsidR="001A5840" w:rsidRPr="009A2C3D">
        <w:rPr>
          <w:lang w:val="en-US"/>
        </w:rPr>
        <w:t xml:space="preserve">in </w:t>
      </w:r>
      <w:r w:rsidR="00FE20CA" w:rsidRPr="009A2C3D">
        <w:rPr>
          <w:lang w:val="en-US"/>
        </w:rPr>
        <w:t>RID/ADR</w:t>
      </w:r>
      <w:r w:rsidR="001A5840" w:rsidRPr="009A2C3D">
        <w:rPr>
          <w:lang w:val="en-US"/>
        </w:rPr>
        <w:t xml:space="preserve"> for all languages</w:t>
      </w:r>
      <w:r w:rsidR="00FE20CA" w:rsidRPr="009A2C3D">
        <w:rPr>
          <w:lang w:val="en-US"/>
        </w:rPr>
        <w:t>.</w:t>
      </w:r>
    </w:p>
    <w:p w:rsidR="00FE20CA" w:rsidRPr="009A2C3D" w:rsidRDefault="000646E5" w:rsidP="00D32959">
      <w:pPr>
        <w:pStyle w:val="SingleTxtG"/>
        <w:rPr>
          <w:lang w:val="en-US"/>
        </w:rPr>
      </w:pPr>
      <w:r>
        <w:rPr>
          <w:lang w:val="en-US"/>
        </w:rPr>
        <w:t>2</w:t>
      </w:r>
      <w:r w:rsidR="00B62297" w:rsidRPr="009A2C3D">
        <w:rPr>
          <w:lang w:val="en-US"/>
        </w:rPr>
        <w:t>.</w:t>
      </w:r>
      <w:r w:rsidR="00B62297" w:rsidRPr="009A2C3D">
        <w:rPr>
          <w:lang w:val="en-US"/>
        </w:rPr>
        <w:tab/>
      </w:r>
      <w:r w:rsidR="00FE20CA" w:rsidRPr="009A2C3D">
        <w:rPr>
          <w:lang w:val="en-US"/>
        </w:rPr>
        <w:t>In the Model Regulations the entry for UN</w:t>
      </w:r>
      <w:r w:rsidR="00CF7246">
        <w:rPr>
          <w:lang w:val="en-US"/>
        </w:rPr>
        <w:t xml:space="preserve"> </w:t>
      </w:r>
      <w:r w:rsidR="00FE20CA" w:rsidRPr="009A2C3D">
        <w:rPr>
          <w:lang w:val="en-US"/>
        </w:rPr>
        <w:t>1010 is:</w:t>
      </w:r>
    </w:p>
    <w:p w:rsidR="00FE20CA" w:rsidRPr="009A2C3D" w:rsidRDefault="00FE20CA" w:rsidP="00D32959">
      <w:pPr>
        <w:pStyle w:val="SingleTxtG"/>
        <w:rPr>
          <w:lang w:val="en-US"/>
        </w:rPr>
      </w:pPr>
      <w:r w:rsidRPr="009A2C3D">
        <w:rPr>
          <w:lang w:val="en-US"/>
        </w:rPr>
        <w:t>“UN</w:t>
      </w:r>
      <w:r w:rsidR="00CF7246">
        <w:rPr>
          <w:lang w:val="en-US"/>
        </w:rPr>
        <w:t xml:space="preserve"> </w:t>
      </w:r>
      <w:r w:rsidRPr="009A2C3D">
        <w:rPr>
          <w:lang w:val="en-US"/>
        </w:rPr>
        <w:t xml:space="preserve">1010 BUTADIENES, STABILIZED or BUTADIENES AND HYDROCARBON MIXTURE, STABILIZED, containing more than 40% </w:t>
      </w:r>
      <w:proofErr w:type="spellStart"/>
      <w:r w:rsidRPr="009A2C3D">
        <w:rPr>
          <w:lang w:val="en-US"/>
        </w:rPr>
        <w:t>butadienes</w:t>
      </w:r>
      <w:proofErr w:type="spellEnd"/>
      <w:r w:rsidRPr="009A2C3D">
        <w:rPr>
          <w:lang w:val="en-US"/>
        </w:rPr>
        <w:t>”.</w:t>
      </w:r>
    </w:p>
    <w:p w:rsidR="00FE20CA" w:rsidRPr="009A2C3D" w:rsidRDefault="000646E5" w:rsidP="00D32959">
      <w:pPr>
        <w:pStyle w:val="SingleTxtG"/>
        <w:rPr>
          <w:lang w:val="en-US"/>
        </w:rPr>
      </w:pPr>
      <w:r>
        <w:rPr>
          <w:lang w:val="en-US"/>
        </w:rPr>
        <w:t>3</w:t>
      </w:r>
      <w:r w:rsidR="00B62297" w:rsidRPr="009A2C3D">
        <w:rPr>
          <w:lang w:val="en-US"/>
        </w:rPr>
        <w:t>.</w:t>
      </w:r>
      <w:r w:rsidR="00B62297" w:rsidRPr="009A2C3D">
        <w:rPr>
          <w:lang w:val="en-US"/>
        </w:rPr>
        <w:tab/>
      </w:r>
      <w:r w:rsidR="00FE20CA" w:rsidRPr="009A2C3D">
        <w:rPr>
          <w:lang w:val="en-US"/>
        </w:rPr>
        <w:t>Meanwhile, in RID/</w:t>
      </w:r>
      <w:r w:rsidR="00B62297" w:rsidRPr="009A2C3D">
        <w:rPr>
          <w:lang w:val="en-US"/>
        </w:rPr>
        <w:t>ADR, the corresponding entry is</w:t>
      </w:r>
      <w:r w:rsidR="00FE20CA" w:rsidRPr="009A2C3D">
        <w:rPr>
          <w:lang w:val="en-US"/>
        </w:rPr>
        <w:t>:</w:t>
      </w:r>
    </w:p>
    <w:p w:rsidR="00B62297" w:rsidRPr="009A2C3D" w:rsidRDefault="00B62297" w:rsidP="00D32959">
      <w:pPr>
        <w:pStyle w:val="SingleTxtG"/>
        <w:rPr>
          <w:lang w:val="en-US"/>
        </w:rPr>
      </w:pPr>
      <w:r w:rsidRPr="009A2C3D">
        <w:rPr>
          <w:lang w:val="en-US"/>
        </w:rPr>
        <w:t>“UN</w:t>
      </w:r>
      <w:r w:rsidR="00CF7246">
        <w:rPr>
          <w:lang w:val="en-US"/>
        </w:rPr>
        <w:t xml:space="preserve"> </w:t>
      </w:r>
      <w:r w:rsidRPr="009A2C3D">
        <w:rPr>
          <w:lang w:val="en-US"/>
        </w:rPr>
        <w:t xml:space="preserve">1010 BUTADIENES, STABILIZED or BUTADIENES AND HYDROCARBON MIXTURE, STABILIZED, </w:t>
      </w:r>
      <w:r w:rsidR="00CF7246">
        <w:rPr>
          <w:lang w:val="en-US"/>
        </w:rPr>
        <w:t xml:space="preserve">having a </w:t>
      </w:r>
      <w:proofErr w:type="spellStart"/>
      <w:r w:rsidR="00CF7246">
        <w:rPr>
          <w:lang w:val="en-US"/>
        </w:rPr>
        <w:t>vapour</w:t>
      </w:r>
      <w:proofErr w:type="spellEnd"/>
      <w:r w:rsidR="00CF7246">
        <w:rPr>
          <w:lang w:val="en-US"/>
        </w:rPr>
        <w:t xml:space="preserve"> pressure at 70</w:t>
      </w:r>
      <w:r w:rsidR="007B5114">
        <w:rPr>
          <w:lang w:val="en-US"/>
        </w:rPr>
        <w:t xml:space="preserve"> </w:t>
      </w:r>
      <w:r w:rsidR="00CF7246">
        <w:rPr>
          <w:lang w:val="en-US"/>
        </w:rPr>
        <w:t>°C</w:t>
      </w:r>
      <w:r w:rsidRPr="009A2C3D">
        <w:rPr>
          <w:lang w:val="en-US"/>
        </w:rPr>
        <w:t xml:space="preserve"> not exceeding 1.1 </w:t>
      </w:r>
      <w:r w:rsidR="00CF7246">
        <w:rPr>
          <w:lang w:val="en-US"/>
        </w:rPr>
        <w:t>MPa (11bar) and a density at 50</w:t>
      </w:r>
      <w:r w:rsidR="007B5114">
        <w:rPr>
          <w:lang w:val="en-US"/>
        </w:rPr>
        <w:t xml:space="preserve"> </w:t>
      </w:r>
      <w:r w:rsidR="00CF7246">
        <w:rPr>
          <w:lang w:val="en-US"/>
        </w:rPr>
        <w:t>°C</w:t>
      </w:r>
      <w:r w:rsidRPr="009A2C3D">
        <w:rPr>
          <w:lang w:val="en-US"/>
        </w:rPr>
        <w:t xml:space="preserve"> not lower than 0,525 kg/l”</w:t>
      </w:r>
    </w:p>
    <w:p w:rsidR="00B62297" w:rsidRDefault="000646E5" w:rsidP="00D32959">
      <w:pPr>
        <w:pStyle w:val="SingleTxtG"/>
        <w:rPr>
          <w:lang w:val="en-US"/>
        </w:rPr>
      </w:pPr>
      <w:r>
        <w:rPr>
          <w:lang w:val="en-US"/>
        </w:rPr>
        <w:t>4</w:t>
      </w:r>
      <w:r w:rsidR="00B62297" w:rsidRPr="009A2C3D">
        <w:rPr>
          <w:lang w:val="en-US"/>
        </w:rPr>
        <w:t>.</w:t>
      </w:r>
      <w:r w:rsidR="00B62297" w:rsidRPr="009A2C3D">
        <w:rPr>
          <w:lang w:val="en-US"/>
        </w:rPr>
        <w:tab/>
        <w:t>Both definitions are not equivalent, and clearly different su</w:t>
      </w:r>
      <w:r w:rsidR="00CF7246">
        <w:rPr>
          <w:lang w:val="en-US"/>
        </w:rPr>
        <w:t xml:space="preserve">bstances can be carried under UN </w:t>
      </w:r>
      <w:r w:rsidR="00B62297" w:rsidRPr="009A2C3D">
        <w:rPr>
          <w:lang w:val="en-US"/>
        </w:rPr>
        <w:t xml:space="preserve">1010 if the description of the Model Regulations is followed </w:t>
      </w:r>
      <w:r w:rsidR="007B5114">
        <w:rPr>
          <w:lang w:val="en-US"/>
        </w:rPr>
        <w:t xml:space="preserve">rather </w:t>
      </w:r>
      <w:proofErr w:type="gramStart"/>
      <w:r w:rsidR="007B5114">
        <w:rPr>
          <w:lang w:val="en-US"/>
        </w:rPr>
        <w:t xml:space="preserve">than </w:t>
      </w:r>
      <w:r w:rsidR="00B62297" w:rsidRPr="009A2C3D">
        <w:rPr>
          <w:lang w:val="en-US"/>
        </w:rPr>
        <w:t xml:space="preserve"> the</w:t>
      </w:r>
      <w:proofErr w:type="gramEnd"/>
      <w:r w:rsidR="00B62297" w:rsidRPr="009A2C3D">
        <w:rPr>
          <w:lang w:val="en-US"/>
        </w:rPr>
        <w:t xml:space="preserve"> one contained in RID/ADR.</w:t>
      </w:r>
    </w:p>
    <w:p w:rsidR="00EB52FF" w:rsidRPr="009A2C3D" w:rsidRDefault="000646E5" w:rsidP="00D32959">
      <w:pPr>
        <w:pStyle w:val="SingleTxtG"/>
        <w:rPr>
          <w:lang w:val="en-US"/>
        </w:rPr>
      </w:pPr>
      <w:r>
        <w:rPr>
          <w:lang w:val="en-US"/>
        </w:rPr>
        <w:t>5</w:t>
      </w:r>
      <w:r w:rsidR="00EB52FF">
        <w:rPr>
          <w:lang w:val="en-US"/>
        </w:rPr>
        <w:t>.</w:t>
      </w:r>
      <w:r w:rsidR="00EB52FF">
        <w:rPr>
          <w:lang w:val="en-US"/>
        </w:rPr>
        <w:tab/>
        <w:t xml:space="preserve">The </w:t>
      </w:r>
      <w:r w:rsidR="00EB52FF" w:rsidRPr="009A2C3D">
        <w:rPr>
          <w:lang w:val="en-US"/>
        </w:rPr>
        <w:t>Joint Meeting in its discussion, indicated that (ECE/TRANS/WP.15/AC.1/</w:t>
      </w:r>
      <w:proofErr w:type="gramStart"/>
      <w:r w:rsidR="00EB52FF" w:rsidRPr="009A2C3D">
        <w:rPr>
          <w:lang w:val="en-US"/>
        </w:rPr>
        <w:t>152 ,</w:t>
      </w:r>
      <w:proofErr w:type="gramEnd"/>
      <w:r w:rsidR="00EB52FF" w:rsidRPr="009A2C3D">
        <w:rPr>
          <w:lang w:val="en-US"/>
        </w:rPr>
        <w:t xml:space="preserve"> paragraphs 25-27)</w:t>
      </w:r>
      <w:r w:rsidR="00EB52FF">
        <w:rPr>
          <w:lang w:val="en-US"/>
        </w:rPr>
        <w:t>:</w:t>
      </w:r>
    </w:p>
    <w:p w:rsidR="00A219E6" w:rsidRPr="009A2C3D" w:rsidRDefault="00A219E6" w:rsidP="007B5114">
      <w:pPr>
        <w:pStyle w:val="SingleTxtG"/>
        <w:ind w:left="1701"/>
        <w:rPr>
          <w:lang w:val="en-US"/>
        </w:rPr>
      </w:pPr>
      <w:r w:rsidRPr="009A2C3D">
        <w:rPr>
          <w:lang w:val="en-US"/>
        </w:rPr>
        <w:t xml:space="preserve">“25. The Joint Meeting noted the differences between the name and description of UN No. 1010 in RID/ADR and in the Model Regulations. It was pointed out </w:t>
      </w:r>
      <w:proofErr w:type="gramStart"/>
      <w:r w:rsidRPr="009A2C3D">
        <w:rPr>
          <w:lang w:val="en-US"/>
        </w:rPr>
        <w:t>in particular that</w:t>
      </w:r>
      <w:proofErr w:type="gramEnd"/>
      <w:r w:rsidRPr="009A2C3D">
        <w:rPr>
          <w:lang w:val="en-US"/>
        </w:rPr>
        <w:t xml:space="preserve"> the description currently in RID/ADR could cover </w:t>
      </w:r>
      <w:proofErr w:type="spellStart"/>
      <w:r w:rsidRPr="009A2C3D">
        <w:rPr>
          <w:lang w:val="en-US"/>
        </w:rPr>
        <w:t>butadienes</w:t>
      </w:r>
      <w:proofErr w:type="spellEnd"/>
      <w:r w:rsidRPr="009A2C3D">
        <w:rPr>
          <w:lang w:val="en-US"/>
        </w:rPr>
        <w:t xml:space="preserve"> and butadiene mixtures with less than 40% butadiene, while the description in the Model Regulations covered only those with more than 40% butadiene. </w:t>
      </w:r>
    </w:p>
    <w:p w:rsidR="00A219E6" w:rsidRPr="009A2C3D" w:rsidRDefault="00A219E6" w:rsidP="007B5114">
      <w:pPr>
        <w:pStyle w:val="SingleTxtG"/>
        <w:ind w:left="1701"/>
        <w:rPr>
          <w:lang w:val="en-US"/>
        </w:rPr>
      </w:pPr>
      <w:r w:rsidRPr="009A2C3D">
        <w:rPr>
          <w:lang w:val="en-US"/>
        </w:rPr>
        <w:t xml:space="preserve">26. The representative of Spain indicated that to her knowledge, all </w:t>
      </w:r>
      <w:proofErr w:type="spellStart"/>
      <w:r w:rsidRPr="009A2C3D">
        <w:rPr>
          <w:lang w:val="en-US"/>
        </w:rPr>
        <w:t>butadienes</w:t>
      </w:r>
      <w:proofErr w:type="spellEnd"/>
      <w:r w:rsidRPr="009A2C3D">
        <w:rPr>
          <w:lang w:val="en-US"/>
        </w:rPr>
        <w:t xml:space="preserve"> and butadiene mixtures currently used and carried contained more than 40% butadiene and consequently, the description used in RID/ADR should be aligned with that of the Model Regulations. There was some support for this proposal in principle. However, some reservations were expressed regarding how to address stabilization of butadiene mixtures with less than 40% butadiene, if needed, in accordance with 2.2.2.2.1, if these </w:t>
      </w:r>
      <w:proofErr w:type="spellStart"/>
      <w:r w:rsidRPr="009A2C3D">
        <w:rPr>
          <w:lang w:val="en-US"/>
        </w:rPr>
        <w:t>butadienes</w:t>
      </w:r>
      <w:proofErr w:type="spellEnd"/>
      <w:r w:rsidRPr="009A2C3D">
        <w:rPr>
          <w:lang w:val="en-US"/>
        </w:rPr>
        <w:t xml:space="preserve"> were to be carried under generic </w:t>
      </w:r>
      <w:proofErr w:type="spellStart"/>
      <w:r w:rsidRPr="009A2C3D">
        <w:rPr>
          <w:lang w:val="en-US"/>
        </w:rPr>
        <w:t>n.o.s</w:t>
      </w:r>
      <w:proofErr w:type="spellEnd"/>
      <w:r w:rsidRPr="009A2C3D">
        <w:rPr>
          <w:lang w:val="en-US"/>
        </w:rPr>
        <w:t xml:space="preserve"> entries. </w:t>
      </w:r>
    </w:p>
    <w:p w:rsidR="0010720F" w:rsidRPr="009A2C3D" w:rsidRDefault="00A219E6" w:rsidP="007B5114">
      <w:pPr>
        <w:pStyle w:val="SingleTxtG"/>
        <w:ind w:left="1701"/>
        <w:rPr>
          <w:lang w:val="en-US"/>
        </w:rPr>
      </w:pPr>
      <w:r w:rsidRPr="009A2C3D">
        <w:rPr>
          <w:lang w:val="en-US"/>
        </w:rPr>
        <w:t xml:space="preserve">27. The Joint Meeting invited the representative of Spain to come back with a proposal identifying the </w:t>
      </w:r>
      <w:proofErr w:type="spellStart"/>
      <w:r w:rsidRPr="009A2C3D">
        <w:rPr>
          <w:lang w:val="en-US"/>
        </w:rPr>
        <w:t>n.o.s</w:t>
      </w:r>
      <w:proofErr w:type="spellEnd"/>
      <w:r w:rsidRPr="009A2C3D">
        <w:rPr>
          <w:lang w:val="en-US"/>
        </w:rPr>
        <w:t xml:space="preserve"> entries that could be used and to check whether they are suitable for </w:t>
      </w:r>
      <w:r w:rsidR="0010720F" w:rsidRPr="009A2C3D">
        <w:rPr>
          <w:lang w:val="en-US"/>
        </w:rPr>
        <w:t>carriage of these substances by all modes.”</w:t>
      </w:r>
    </w:p>
    <w:p w:rsidR="00DD506E" w:rsidRPr="009A2C3D" w:rsidRDefault="00DD506E" w:rsidP="00DD506E">
      <w:pPr>
        <w:pStyle w:val="HChG"/>
        <w:rPr>
          <w:rFonts w:eastAsiaTheme="minorEastAsia"/>
          <w:lang w:eastAsia="zh-CN"/>
        </w:rPr>
      </w:pPr>
      <w:r w:rsidRPr="009A2C3D">
        <w:rPr>
          <w:rFonts w:eastAsiaTheme="minorEastAsia"/>
          <w:lang w:eastAsia="zh-CN"/>
        </w:rPr>
        <w:tab/>
      </w:r>
      <w:r w:rsidRPr="009A2C3D">
        <w:rPr>
          <w:rFonts w:eastAsiaTheme="minorEastAsia"/>
          <w:lang w:eastAsia="zh-CN"/>
        </w:rPr>
        <w:tab/>
        <w:t xml:space="preserve">Alternative </w:t>
      </w:r>
      <w:r w:rsidR="00FF5B28">
        <w:rPr>
          <w:rFonts w:eastAsiaTheme="minorEastAsia"/>
          <w:lang w:eastAsia="zh-CN"/>
        </w:rPr>
        <w:t>entries</w:t>
      </w:r>
      <w:r w:rsidRPr="009A2C3D">
        <w:rPr>
          <w:rFonts w:eastAsiaTheme="minorEastAsia"/>
          <w:lang w:eastAsia="zh-CN"/>
        </w:rPr>
        <w:t xml:space="preserve"> for </w:t>
      </w:r>
      <w:proofErr w:type="spellStart"/>
      <w:r w:rsidRPr="009A2C3D">
        <w:rPr>
          <w:rFonts w:eastAsiaTheme="minorEastAsia"/>
          <w:lang w:eastAsia="zh-CN"/>
        </w:rPr>
        <w:t>butadienes</w:t>
      </w:r>
      <w:proofErr w:type="spellEnd"/>
      <w:r w:rsidRPr="009A2C3D">
        <w:rPr>
          <w:rFonts w:eastAsiaTheme="minorEastAsia"/>
          <w:lang w:eastAsia="zh-CN"/>
        </w:rPr>
        <w:t xml:space="preserve"> not to be carried under UN 1010</w:t>
      </w:r>
    </w:p>
    <w:p w:rsidR="00A219E6" w:rsidRPr="009A2C3D" w:rsidRDefault="000646E5" w:rsidP="00DD506E">
      <w:pPr>
        <w:pStyle w:val="SingleTxtG"/>
        <w:rPr>
          <w:lang w:val="en-US"/>
        </w:rPr>
      </w:pPr>
      <w:r>
        <w:rPr>
          <w:lang w:val="en-US"/>
        </w:rPr>
        <w:t>6.</w:t>
      </w:r>
      <w:r>
        <w:rPr>
          <w:lang w:val="en-US"/>
        </w:rPr>
        <w:tab/>
      </w:r>
      <w:r w:rsidR="00A219E6" w:rsidRPr="009A2C3D">
        <w:rPr>
          <w:lang w:val="en-US"/>
        </w:rPr>
        <w:t xml:space="preserve">As asked for by the Joint Meeting, alternative UN numbers and their transport conditions </w:t>
      </w:r>
      <w:r w:rsidR="000421CB" w:rsidRPr="009A2C3D">
        <w:rPr>
          <w:lang w:val="en-US"/>
        </w:rPr>
        <w:t xml:space="preserve">for those </w:t>
      </w:r>
      <w:proofErr w:type="spellStart"/>
      <w:r w:rsidR="000421CB" w:rsidRPr="009A2C3D">
        <w:rPr>
          <w:lang w:val="en-US"/>
        </w:rPr>
        <w:t>butadienes</w:t>
      </w:r>
      <w:proofErr w:type="spellEnd"/>
      <w:r w:rsidR="000421CB" w:rsidRPr="009A2C3D">
        <w:rPr>
          <w:lang w:val="en-US"/>
        </w:rPr>
        <w:t xml:space="preserve"> that would not be carried under UN 1010, because their butadiene content is lower than 40% of the mixture, </w:t>
      </w:r>
      <w:r w:rsidR="00A219E6" w:rsidRPr="009A2C3D">
        <w:rPr>
          <w:lang w:val="en-US"/>
        </w:rPr>
        <w:t>have been analyzed.</w:t>
      </w:r>
    </w:p>
    <w:p w:rsidR="00DD506E" w:rsidRPr="009A2C3D" w:rsidRDefault="000646E5" w:rsidP="00DD506E">
      <w:pPr>
        <w:pStyle w:val="SingleTxtG"/>
        <w:rPr>
          <w:lang w:val="en-US"/>
        </w:rPr>
      </w:pPr>
      <w:r>
        <w:rPr>
          <w:lang w:val="en-US"/>
        </w:rPr>
        <w:t>7.</w:t>
      </w:r>
      <w:r>
        <w:rPr>
          <w:lang w:val="en-US"/>
        </w:rPr>
        <w:tab/>
      </w:r>
      <w:r w:rsidR="000421CB" w:rsidRPr="009A2C3D">
        <w:rPr>
          <w:lang w:val="en-US"/>
        </w:rPr>
        <w:t>For carriage of these mixtures t</w:t>
      </w:r>
      <w:r w:rsidR="00DD506E" w:rsidRPr="009A2C3D">
        <w:rPr>
          <w:lang w:val="en-US"/>
        </w:rPr>
        <w:t xml:space="preserve">here may be different options, as the classification </w:t>
      </w:r>
      <w:r w:rsidR="001A5840" w:rsidRPr="009A2C3D">
        <w:rPr>
          <w:lang w:val="en-US"/>
        </w:rPr>
        <w:t xml:space="preserve">also </w:t>
      </w:r>
      <w:r w:rsidR="00DD506E" w:rsidRPr="009A2C3D">
        <w:rPr>
          <w:lang w:val="en-US"/>
        </w:rPr>
        <w:t xml:space="preserve">depends on the </w:t>
      </w:r>
      <w:r w:rsidR="00432715" w:rsidRPr="009A2C3D">
        <w:rPr>
          <w:lang w:val="en-US"/>
        </w:rPr>
        <w:t>other</w:t>
      </w:r>
      <w:r w:rsidR="00DD506E" w:rsidRPr="009A2C3D">
        <w:rPr>
          <w:lang w:val="en-US"/>
        </w:rPr>
        <w:t xml:space="preserve"> components of the mixture</w:t>
      </w:r>
      <w:r w:rsidR="001A5840" w:rsidRPr="009A2C3D">
        <w:rPr>
          <w:lang w:val="en-US"/>
        </w:rPr>
        <w:t xml:space="preserve">. The </w:t>
      </w:r>
      <w:r w:rsidR="00DD506E" w:rsidRPr="009A2C3D">
        <w:rPr>
          <w:lang w:val="en-US"/>
        </w:rPr>
        <w:t xml:space="preserve">most probable </w:t>
      </w:r>
      <w:r w:rsidR="001A5840" w:rsidRPr="009A2C3D">
        <w:rPr>
          <w:lang w:val="en-US"/>
        </w:rPr>
        <w:t>options</w:t>
      </w:r>
      <w:r w:rsidR="00EB52FF">
        <w:rPr>
          <w:lang w:val="en-US"/>
        </w:rPr>
        <w:t>, according to i</w:t>
      </w:r>
      <w:r w:rsidR="00432715" w:rsidRPr="009A2C3D">
        <w:rPr>
          <w:lang w:val="en-US"/>
        </w:rPr>
        <w:t>ndustry,</w:t>
      </w:r>
      <w:r w:rsidR="00DD506E" w:rsidRPr="009A2C3D">
        <w:rPr>
          <w:lang w:val="en-US"/>
        </w:rPr>
        <w:t xml:space="preserve"> would be </w:t>
      </w:r>
      <w:r w:rsidR="0010720F" w:rsidRPr="009A2C3D">
        <w:rPr>
          <w:lang w:val="en-US"/>
        </w:rPr>
        <w:t>“</w:t>
      </w:r>
      <w:r w:rsidR="00DD506E" w:rsidRPr="009A2C3D">
        <w:rPr>
          <w:lang w:val="en-US"/>
        </w:rPr>
        <w:t>UN 1965 HYDROCARBON MIXTURE, LIQUEFIED, N.O.S. such as mixtures A, A01, A02, A0, B1, B2, B or C</w:t>
      </w:r>
      <w:r w:rsidR="0010720F" w:rsidRPr="009A2C3D">
        <w:rPr>
          <w:lang w:val="en-US"/>
        </w:rPr>
        <w:t>”</w:t>
      </w:r>
      <w:r w:rsidR="00DD506E" w:rsidRPr="009A2C3D">
        <w:rPr>
          <w:lang w:val="en-US"/>
        </w:rPr>
        <w:t xml:space="preserve"> and </w:t>
      </w:r>
      <w:r w:rsidR="0010720F" w:rsidRPr="009A2C3D">
        <w:rPr>
          <w:lang w:val="en-US"/>
        </w:rPr>
        <w:t>“</w:t>
      </w:r>
      <w:r w:rsidR="00DD506E" w:rsidRPr="009A2C3D">
        <w:rPr>
          <w:lang w:val="en-US"/>
        </w:rPr>
        <w:t>UN 3161 LIQUEFIED GAS, FLAMMABLE, N.O.S</w:t>
      </w:r>
      <w:r w:rsidR="0010720F" w:rsidRPr="009A2C3D">
        <w:rPr>
          <w:lang w:val="en-US"/>
        </w:rPr>
        <w:t>”</w:t>
      </w:r>
      <w:r w:rsidR="00DD506E" w:rsidRPr="009A2C3D">
        <w:rPr>
          <w:lang w:val="en-US"/>
        </w:rPr>
        <w:t>.</w:t>
      </w:r>
      <w:r w:rsidR="00A219E6" w:rsidRPr="009A2C3D">
        <w:rPr>
          <w:lang w:val="en-US"/>
        </w:rPr>
        <w:t xml:space="preserve"> It </w:t>
      </w:r>
      <w:proofErr w:type="gramStart"/>
      <w:r w:rsidR="00A219E6" w:rsidRPr="009A2C3D">
        <w:rPr>
          <w:lang w:val="en-US"/>
        </w:rPr>
        <w:t>has to</w:t>
      </w:r>
      <w:proofErr w:type="gramEnd"/>
      <w:r w:rsidR="00A219E6" w:rsidRPr="009A2C3D">
        <w:rPr>
          <w:lang w:val="en-US"/>
        </w:rPr>
        <w:t xml:space="preserve"> be noted that this kind of mixture could also be carried under other entries, N.O.S. or not, depending on the specific mixture that has to be carried.</w:t>
      </w:r>
    </w:p>
    <w:p w:rsidR="00187F12" w:rsidRPr="009A2C3D" w:rsidRDefault="000646E5" w:rsidP="00DD506E">
      <w:pPr>
        <w:pStyle w:val="SingleTxtG"/>
        <w:rPr>
          <w:lang w:val="en-US"/>
        </w:rPr>
      </w:pPr>
      <w:r>
        <w:rPr>
          <w:lang w:val="en-US"/>
        </w:rPr>
        <w:lastRenderedPageBreak/>
        <w:t>8.</w:t>
      </w:r>
      <w:r>
        <w:rPr>
          <w:lang w:val="en-US"/>
        </w:rPr>
        <w:tab/>
      </w:r>
      <w:r w:rsidR="00DD506E" w:rsidRPr="009A2C3D">
        <w:rPr>
          <w:lang w:val="en-US"/>
        </w:rPr>
        <w:t xml:space="preserve">The transport conditions for </w:t>
      </w:r>
      <w:r w:rsidR="00564808" w:rsidRPr="009A2C3D">
        <w:rPr>
          <w:lang w:val="en-US"/>
        </w:rPr>
        <w:t>UN numbers</w:t>
      </w:r>
      <w:r w:rsidR="00A219E6" w:rsidRPr="009A2C3D">
        <w:rPr>
          <w:lang w:val="en-US"/>
        </w:rPr>
        <w:t xml:space="preserve"> 1965 and 3165 are the same in the Model Regulations as for UN</w:t>
      </w:r>
      <w:r w:rsidR="007B5114">
        <w:rPr>
          <w:lang w:val="en-US"/>
        </w:rPr>
        <w:t xml:space="preserve"> </w:t>
      </w:r>
      <w:r w:rsidR="00A219E6" w:rsidRPr="009A2C3D">
        <w:rPr>
          <w:lang w:val="en-US"/>
        </w:rPr>
        <w:t>1010,</w:t>
      </w:r>
      <w:r w:rsidR="00187F12" w:rsidRPr="009A2C3D">
        <w:rPr>
          <w:lang w:val="en-US"/>
        </w:rPr>
        <w:t xml:space="preserve"> </w:t>
      </w:r>
      <w:proofErr w:type="gramStart"/>
      <w:r w:rsidR="00187F12" w:rsidRPr="009A2C3D">
        <w:rPr>
          <w:lang w:val="en-US"/>
        </w:rPr>
        <w:t>with the exception of</w:t>
      </w:r>
      <w:proofErr w:type="gramEnd"/>
      <w:r w:rsidR="00187F12" w:rsidRPr="009A2C3D">
        <w:rPr>
          <w:lang w:val="en-US"/>
        </w:rPr>
        <w:t xml:space="preserve"> the applicable special provisions</w:t>
      </w:r>
      <w:r w:rsidR="007B5114">
        <w:rPr>
          <w:lang w:val="en-US"/>
        </w:rPr>
        <w:t xml:space="preserve"> (SP)</w:t>
      </w:r>
      <w:r w:rsidR="00187F12" w:rsidRPr="009A2C3D">
        <w:rPr>
          <w:lang w:val="en-US"/>
        </w:rPr>
        <w:t>:</w:t>
      </w:r>
    </w:p>
    <w:p w:rsidR="00187F12" w:rsidRPr="009A2C3D" w:rsidRDefault="00187F12" w:rsidP="00187F12">
      <w:pPr>
        <w:pStyle w:val="SingleTxtG"/>
        <w:numPr>
          <w:ilvl w:val="0"/>
          <w:numId w:val="30"/>
        </w:numPr>
        <w:rPr>
          <w:lang w:val="en-US"/>
        </w:rPr>
      </w:pPr>
      <w:r w:rsidRPr="009A2C3D">
        <w:rPr>
          <w:lang w:val="en-US"/>
        </w:rPr>
        <w:t>UN 1010: SP 386</w:t>
      </w:r>
    </w:p>
    <w:p w:rsidR="00187F12" w:rsidRPr="009A2C3D" w:rsidRDefault="00187F12" w:rsidP="00187F12">
      <w:pPr>
        <w:pStyle w:val="SingleTxtG"/>
        <w:numPr>
          <w:ilvl w:val="0"/>
          <w:numId w:val="30"/>
        </w:numPr>
        <w:rPr>
          <w:lang w:val="en-US"/>
        </w:rPr>
      </w:pPr>
      <w:r w:rsidRPr="009A2C3D">
        <w:rPr>
          <w:lang w:val="en-US"/>
        </w:rPr>
        <w:t>UN 1965 : SP 274+392</w:t>
      </w:r>
    </w:p>
    <w:p w:rsidR="00187F12" w:rsidRPr="009A2C3D" w:rsidRDefault="00187F12" w:rsidP="00187F12">
      <w:pPr>
        <w:pStyle w:val="SingleTxtG"/>
        <w:numPr>
          <w:ilvl w:val="0"/>
          <w:numId w:val="30"/>
        </w:numPr>
        <w:rPr>
          <w:lang w:val="en-US"/>
        </w:rPr>
      </w:pPr>
      <w:r w:rsidRPr="009A2C3D">
        <w:rPr>
          <w:lang w:val="en-US"/>
        </w:rPr>
        <w:t>UN 3161: SP 274</w:t>
      </w:r>
    </w:p>
    <w:p w:rsidR="00187F12" w:rsidRPr="009A2C3D" w:rsidRDefault="000646E5" w:rsidP="00187F12">
      <w:pPr>
        <w:pStyle w:val="SingleTxtG"/>
        <w:rPr>
          <w:lang w:val="en-US"/>
        </w:rPr>
      </w:pPr>
      <w:r>
        <w:rPr>
          <w:lang w:val="en-US"/>
        </w:rPr>
        <w:t>9.</w:t>
      </w:r>
      <w:r>
        <w:rPr>
          <w:lang w:val="en-US"/>
        </w:rPr>
        <w:tab/>
      </w:r>
      <w:r w:rsidR="00187F12" w:rsidRPr="009A2C3D">
        <w:rPr>
          <w:lang w:val="en-US"/>
        </w:rPr>
        <w:t>Only SP 386, applicable to UN 1010</w:t>
      </w:r>
      <w:r w:rsidR="00B52EFF" w:rsidRPr="009A2C3D">
        <w:rPr>
          <w:lang w:val="en-US"/>
        </w:rPr>
        <w:t>,</w:t>
      </w:r>
      <w:r w:rsidR="00DB079D">
        <w:rPr>
          <w:lang w:val="en-US"/>
        </w:rPr>
        <w:t xml:space="preserve"> and the name of UN 1010 itself,</w:t>
      </w:r>
      <w:r w:rsidR="00187F12" w:rsidRPr="009A2C3D">
        <w:rPr>
          <w:lang w:val="en-US"/>
        </w:rPr>
        <w:t xml:space="preserve"> details on stabilization.</w:t>
      </w:r>
    </w:p>
    <w:p w:rsidR="00EE4585" w:rsidRPr="009A2C3D" w:rsidRDefault="000646E5" w:rsidP="00DD506E">
      <w:pPr>
        <w:pStyle w:val="SingleTxtG"/>
        <w:rPr>
          <w:lang w:val="en-US"/>
        </w:rPr>
      </w:pPr>
      <w:r>
        <w:rPr>
          <w:lang w:val="en-US"/>
        </w:rPr>
        <w:t>10.</w:t>
      </w:r>
      <w:r>
        <w:rPr>
          <w:lang w:val="en-US"/>
        </w:rPr>
        <w:tab/>
      </w:r>
      <w:r w:rsidR="00DB079D">
        <w:rPr>
          <w:lang w:val="en-US"/>
        </w:rPr>
        <w:t>In</w:t>
      </w:r>
      <w:r w:rsidR="00B52EFF" w:rsidRPr="009A2C3D">
        <w:rPr>
          <w:lang w:val="en-US"/>
        </w:rPr>
        <w:t xml:space="preserve"> </w:t>
      </w:r>
      <w:r w:rsidR="00A219E6" w:rsidRPr="009A2C3D">
        <w:rPr>
          <w:lang w:val="en-US"/>
        </w:rPr>
        <w:t>RID/ADR</w:t>
      </w:r>
      <w:r w:rsidR="00B52EFF" w:rsidRPr="009A2C3D">
        <w:rPr>
          <w:lang w:val="en-US"/>
        </w:rPr>
        <w:t xml:space="preserve"> </w:t>
      </w:r>
      <w:r w:rsidR="00DB079D">
        <w:rPr>
          <w:lang w:val="en-US"/>
        </w:rPr>
        <w:t>for UN 1010, UN 1965 and UN 3161 the transport conditions are the same, with the follo</w:t>
      </w:r>
      <w:r w:rsidR="007B5114">
        <w:rPr>
          <w:lang w:val="en-US"/>
        </w:rPr>
        <w:t>wing differences</w:t>
      </w:r>
      <w:r w:rsidR="00EE4585" w:rsidRPr="009A2C3D">
        <w:rPr>
          <w:lang w:val="en-US"/>
        </w:rPr>
        <w:t>:</w:t>
      </w:r>
    </w:p>
    <w:p w:rsidR="00EE4585" w:rsidRPr="009A2C3D" w:rsidRDefault="00EE4585" w:rsidP="00EE4585">
      <w:pPr>
        <w:pStyle w:val="SingleTxtG"/>
        <w:numPr>
          <w:ilvl w:val="0"/>
          <w:numId w:val="29"/>
        </w:numPr>
        <w:rPr>
          <w:lang w:val="en-US"/>
        </w:rPr>
      </w:pPr>
      <w:r w:rsidRPr="009A2C3D">
        <w:rPr>
          <w:lang w:val="en-US"/>
        </w:rPr>
        <w:t>D</w:t>
      </w:r>
      <w:r w:rsidR="00564808" w:rsidRPr="009A2C3D">
        <w:rPr>
          <w:lang w:val="en-US"/>
        </w:rPr>
        <w:t xml:space="preserve">ifferent </w:t>
      </w:r>
      <w:r w:rsidR="007B5114">
        <w:rPr>
          <w:lang w:val="en-US"/>
        </w:rPr>
        <w:t xml:space="preserve">SP </w:t>
      </w:r>
      <w:r w:rsidRPr="009A2C3D">
        <w:rPr>
          <w:lang w:val="en-US"/>
        </w:rPr>
        <w:t>(</w:t>
      </w:r>
      <w:r w:rsidR="00DB079D">
        <w:rPr>
          <w:lang w:val="en-US"/>
        </w:rPr>
        <w:t xml:space="preserve">column </w:t>
      </w:r>
      <w:r w:rsidRPr="009A2C3D">
        <w:rPr>
          <w:lang w:val="en-US"/>
        </w:rPr>
        <w:t xml:space="preserve">6) </w:t>
      </w:r>
      <w:r w:rsidR="00027033" w:rsidRPr="009A2C3D">
        <w:rPr>
          <w:lang w:val="en-US"/>
        </w:rPr>
        <w:t>and hazard identification number</w:t>
      </w:r>
      <w:r w:rsidRPr="009A2C3D">
        <w:rPr>
          <w:lang w:val="en-US"/>
        </w:rPr>
        <w:t xml:space="preserve"> (</w:t>
      </w:r>
      <w:r w:rsidR="00DB079D">
        <w:rPr>
          <w:lang w:val="en-US"/>
        </w:rPr>
        <w:t xml:space="preserve">column </w:t>
      </w:r>
      <w:r w:rsidR="00E5258F" w:rsidRPr="009A2C3D">
        <w:rPr>
          <w:lang w:val="en-US"/>
        </w:rPr>
        <w:t>20)</w:t>
      </w:r>
      <w:r w:rsidR="00DB079D">
        <w:rPr>
          <w:lang w:val="en-US"/>
        </w:rPr>
        <w:t xml:space="preserve"> both for RID and ADR</w:t>
      </w:r>
    </w:p>
    <w:p w:rsidR="00DD506E" w:rsidRPr="009A2C3D" w:rsidRDefault="00DB079D" w:rsidP="00EE4585">
      <w:pPr>
        <w:pStyle w:val="SingleTxtG"/>
        <w:numPr>
          <w:ilvl w:val="0"/>
          <w:numId w:val="29"/>
        </w:numPr>
        <w:rPr>
          <w:lang w:val="en-US"/>
        </w:rPr>
      </w:pPr>
      <w:r>
        <w:rPr>
          <w:lang w:val="en-US"/>
        </w:rPr>
        <w:t>D</w:t>
      </w:r>
      <w:r w:rsidR="00EE4585" w:rsidRPr="009A2C3D">
        <w:rPr>
          <w:lang w:val="en-US"/>
        </w:rPr>
        <w:t>ifferent SP for tanks</w:t>
      </w:r>
      <w:r w:rsidR="00E5258F" w:rsidRPr="009A2C3D">
        <w:rPr>
          <w:lang w:val="en-US"/>
        </w:rPr>
        <w:t xml:space="preserve"> (</w:t>
      </w:r>
      <w:r>
        <w:rPr>
          <w:lang w:val="en-US"/>
        </w:rPr>
        <w:t xml:space="preserve">column </w:t>
      </w:r>
      <w:r w:rsidR="00E5258F" w:rsidRPr="009A2C3D">
        <w:rPr>
          <w:lang w:val="en-US"/>
        </w:rPr>
        <w:t>13)</w:t>
      </w:r>
      <w:r w:rsidR="00EE4585" w:rsidRPr="009A2C3D">
        <w:rPr>
          <w:lang w:val="en-US"/>
        </w:rPr>
        <w:t>, SP for carriage for packages</w:t>
      </w:r>
      <w:r w:rsidR="00E5258F" w:rsidRPr="009A2C3D">
        <w:rPr>
          <w:lang w:val="en-US"/>
        </w:rPr>
        <w:t xml:space="preserve"> (</w:t>
      </w:r>
      <w:r>
        <w:rPr>
          <w:lang w:val="en-US"/>
        </w:rPr>
        <w:t xml:space="preserve">column </w:t>
      </w:r>
      <w:r w:rsidR="00E5258F" w:rsidRPr="009A2C3D">
        <w:rPr>
          <w:lang w:val="en-US"/>
        </w:rPr>
        <w:t>16)</w:t>
      </w:r>
      <w:r w:rsidR="00EE4585" w:rsidRPr="009A2C3D">
        <w:rPr>
          <w:lang w:val="en-US"/>
        </w:rPr>
        <w:t xml:space="preserve"> and SP for carriage for operation</w:t>
      </w:r>
      <w:r w:rsidR="00E5258F" w:rsidRPr="009A2C3D">
        <w:rPr>
          <w:lang w:val="en-US"/>
        </w:rPr>
        <w:t xml:space="preserve"> (</w:t>
      </w:r>
      <w:r>
        <w:rPr>
          <w:lang w:val="en-US"/>
        </w:rPr>
        <w:t xml:space="preserve">column </w:t>
      </w:r>
      <w:r w:rsidR="00E5258F" w:rsidRPr="009A2C3D">
        <w:rPr>
          <w:lang w:val="en-US"/>
        </w:rPr>
        <w:t>19)</w:t>
      </w:r>
      <w:r>
        <w:rPr>
          <w:lang w:val="en-US"/>
        </w:rPr>
        <w:t xml:space="preserve"> for ADR</w:t>
      </w:r>
    </w:p>
    <w:tbl>
      <w:tblPr>
        <w:tblStyle w:val="TableGrid"/>
        <w:tblW w:w="7479" w:type="dxa"/>
        <w:tblInd w:w="1134" w:type="dxa"/>
        <w:tblLayout w:type="fixed"/>
        <w:tblLook w:val="04A0" w:firstRow="1" w:lastRow="0" w:firstColumn="1" w:lastColumn="0" w:noHBand="0" w:noVBand="1"/>
      </w:tblPr>
      <w:tblGrid>
        <w:gridCol w:w="675"/>
        <w:gridCol w:w="2977"/>
        <w:gridCol w:w="851"/>
        <w:gridCol w:w="737"/>
        <w:gridCol w:w="709"/>
        <w:gridCol w:w="850"/>
        <w:gridCol w:w="680"/>
      </w:tblGrid>
      <w:tr w:rsidR="00EE4585" w:rsidRPr="009A2C3D" w:rsidTr="007B5114">
        <w:trPr>
          <w:cantSplit/>
          <w:trHeight w:val="2054"/>
        </w:trPr>
        <w:tc>
          <w:tcPr>
            <w:tcW w:w="675" w:type="dxa"/>
            <w:textDirection w:val="btLr"/>
          </w:tcPr>
          <w:p w:rsidR="00EE4585" w:rsidRPr="009A2C3D" w:rsidRDefault="00EE4585" w:rsidP="00027033">
            <w:pPr>
              <w:pStyle w:val="SingleTxtG"/>
              <w:spacing w:line="240" w:lineRule="auto"/>
              <w:ind w:left="113" w:right="113"/>
              <w:rPr>
                <w:sz w:val="18"/>
                <w:szCs w:val="18"/>
                <w:lang w:val="en-US"/>
              </w:rPr>
            </w:pPr>
            <w:r w:rsidRPr="009A2C3D">
              <w:rPr>
                <w:sz w:val="18"/>
                <w:szCs w:val="18"/>
                <w:lang w:val="en-US"/>
              </w:rPr>
              <w:t>UN</w:t>
            </w:r>
          </w:p>
        </w:tc>
        <w:tc>
          <w:tcPr>
            <w:tcW w:w="2977" w:type="dxa"/>
            <w:textDirection w:val="btLr"/>
          </w:tcPr>
          <w:p w:rsidR="00EE4585" w:rsidRPr="009A2C3D" w:rsidRDefault="00EE4585" w:rsidP="00027033">
            <w:pPr>
              <w:pStyle w:val="SingleTxtG"/>
              <w:spacing w:line="240" w:lineRule="auto"/>
              <w:ind w:left="113" w:right="113"/>
              <w:rPr>
                <w:sz w:val="18"/>
                <w:szCs w:val="18"/>
                <w:lang w:val="en-US"/>
              </w:rPr>
            </w:pPr>
            <w:r w:rsidRPr="009A2C3D">
              <w:rPr>
                <w:sz w:val="18"/>
                <w:szCs w:val="18"/>
                <w:lang w:val="en-US"/>
              </w:rPr>
              <w:t>Name and description</w:t>
            </w:r>
          </w:p>
        </w:tc>
        <w:tc>
          <w:tcPr>
            <w:tcW w:w="851" w:type="dxa"/>
            <w:textDirection w:val="btLr"/>
          </w:tcPr>
          <w:p w:rsidR="00EE4585" w:rsidRPr="009A2C3D" w:rsidRDefault="00EE4585" w:rsidP="00027033">
            <w:pPr>
              <w:pStyle w:val="SingleTxtG"/>
              <w:spacing w:line="240" w:lineRule="auto"/>
              <w:ind w:left="113" w:right="113"/>
              <w:rPr>
                <w:sz w:val="18"/>
                <w:szCs w:val="18"/>
                <w:lang w:val="en-US"/>
              </w:rPr>
            </w:pPr>
            <w:r w:rsidRPr="009A2C3D">
              <w:rPr>
                <w:sz w:val="18"/>
                <w:szCs w:val="18"/>
                <w:lang w:val="en-US"/>
              </w:rPr>
              <w:t>Special provisions (6)</w:t>
            </w:r>
          </w:p>
        </w:tc>
        <w:tc>
          <w:tcPr>
            <w:tcW w:w="737" w:type="dxa"/>
            <w:textDirection w:val="btLr"/>
          </w:tcPr>
          <w:p w:rsidR="00EE4585" w:rsidRPr="009A2C3D" w:rsidRDefault="00EE4585" w:rsidP="00027033">
            <w:pPr>
              <w:pStyle w:val="SingleTxtG"/>
              <w:spacing w:line="240" w:lineRule="auto"/>
              <w:ind w:left="113" w:right="113"/>
              <w:rPr>
                <w:sz w:val="18"/>
                <w:szCs w:val="18"/>
                <w:lang w:val="en-US"/>
              </w:rPr>
            </w:pPr>
            <w:r w:rsidRPr="009A2C3D">
              <w:rPr>
                <w:sz w:val="18"/>
                <w:szCs w:val="18"/>
                <w:lang w:val="en-US"/>
              </w:rPr>
              <w:t>SP for tank (13) (</w:t>
            </w:r>
            <w:r w:rsidR="00DB079D">
              <w:rPr>
                <w:sz w:val="18"/>
                <w:szCs w:val="18"/>
                <w:lang w:val="en-US"/>
              </w:rPr>
              <w:t>only different in ADR</w:t>
            </w:r>
            <w:r w:rsidRPr="009A2C3D">
              <w:rPr>
                <w:sz w:val="18"/>
                <w:szCs w:val="18"/>
                <w:lang w:val="en-US"/>
              </w:rPr>
              <w:t>)</w:t>
            </w:r>
          </w:p>
        </w:tc>
        <w:tc>
          <w:tcPr>
            <w:tcW w:w="709" w:type="dxa"/>
            <w:textDirection w:val="btLr"/>
          </w:tcPr>
          <w:p w:rsidR="00EE4585" w:rsidRPr="009A2C3D" w:rsidRDefault="00EE4585" w:rsidP="00027033">
            <w:pPr>
              <w:pStyle w:val="SingleTxtG"/>
              <w:spacing w:line="240" w:lineRule="auto"/>
              <w:ind w:left="113" w:right="113"/>
              <w:rPr>
                <w:sz w:val="18"/>
                <w:szCs w:val="18"/>
                <w:lang w:val="en-US"/>
              </w:rPr>
            </w:pPr>
            <w:r w:rsidRPr="009A2C3D">
              <w:rPr>
                <w:sz w:val="18"/>
                <w:szCs w:val="18"/>
                <w:lang w:val="en-US"/>
              </w:rPr>
              <w:t xml:space="preserve">SP carriage packages (16) </w:t>
            </w:r>
            <w:r w:rsidR="00DB079D" w:rsidRPr="009A2C3D">
              <w:rPr>
                <w:sz w:val="18"/>
                <w:szCs w:val="18"/>
                <w:lang w:val="en-US"/>
              </w:rPr>
              <w:t>(</w:t>
            </w:r>
            <w:r w:rsidR="00DB079D">
              <w:rPr>
                <w:sz w:val="18"/>
                <w:szCs w:val="18"/>
                <w:lang w:val="en-US"/>
              </w:rPr>
              <w:t>only different in ADR</w:t>
            </w:r>
            <w:r w:rsidR="00DB079D" w:rsidRPr="009A2C3D">
              <w:rPr>
                <w:sz w:val="18"/>
                <w:szCs w:val="18"/>
                <w:lang w:val="en-US"/>
              </w:rPr>
              <w:t>)</w:t>
            </w:r>
          </w:p>
        </w:tc>
        <w:tc>
          <w:tcPr>
            <w:tcW w:w="850" w:type="dxa"/>
            <w:textDirection w:val="btLr"/>
          </w:tcPr>
          <w:p w:rsidR="00EE4585" w:rsidRPr="009A2C3D" w:rsidRDefault="00EE4585" w:rsidP="00027033">
            <w:pPr>
              <w:pStyle w:val="SingleTxtG"/>
              <w:spacing w:line="240" w:lineRule="auto"/>
              <w:ind w:left="113" w:right="113"/>
              <w:rPr>
                <w:sz w:val="18"/>
                <w:szCs w:val="18"/>
                <w:lang w:val="en-US"/>
              </w:rPr>
            </w:pPr>
            <w:r w:rsidRPr="009A2C3D">
              <w:rPr>
                <w:sz w:val="18"/>
                <w:szCs w:val="18"/>
                <w:lang w:val="en-US"/>
              </w:rPr>
              <w:t xml:space="preserve">SP carriage operation (19) </w:t>
            </w:r>
            <w:r w:rsidR="00DB079D" w:rsidRPr="009A2C3D">
              <w:rPr>
                <w:sz w:val="18"/>
                <w:szCs w:val="18"/>
                <w:lang w:val="en-US"/>
              </w:rPr>
              <w:t>(</w:t>
            </w:r>
            <w:r w:rsidR="00DB079D">
              <w:rPr>
                <w:sz w:val="18"/>
                <w:szCs w:val="18"/>
                <w:lang w:val="en-US"/>
              </w:rPr>
              <w:t>only different in ADR</w:t>
            </w:r>
            <w:r w:rsidR="00DB079D" w:rsidRPr="009A2C3D">
              <w:rPr>
                <w:sz w:val="18"/>
                <w:szCs w:val="18"/>
                <w:lang w:val="en-US"/>
              </w:rPr>
              <w:t>)</w:t>
            </w:r>
          </w:p>
        </w:tc>
        <w:tc>
          <w:tcPr>
            <w:tcW w:w="680" w:type="dxa"/>
            <w:textDirection w:val="btLr"/>
          </w:tcPr>
          <w:p w:rsidR="00EE4585" w:rsidRPr="009A2C3D" w:rsidRDefault="00E5258F" w:rsidP="00027033">
            <w:pPr>
              <w:pStyle w:val="SingleTxtG"/>
              <w:spacing w:line="240" w:lineRule="auto"/>
              <w:ind w:left="113" w:right="113"/>
              <w:rPr>
                <w:sz w:val="18"/>
                <w:szCs w:val="18"/>
                <w:lang w:val="en-US"/>
              </w:rPr>
            </w:pPr>
            <w:r w:rsidRPr="009A2C3D">
              <w:rPr>
                <w:sz w:val="18"/>
                <w:szCs w:val="18"/>
                <w:lang w:val="en-US"/>
              </w:rPr>
              <w:t>Hazard identification number (20)</w:t>
            </w:r>
          </w:p>
        </w:tc>
      </w:tr>
      <w:tr w:rsidR="00EE4585" w:rsidRPr="009A2C3D" w:rsidTr="007B5114">
        <w:tc>
          <w:tcPr>
            <w:tcW w:w="675"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 xml:space="preserve">1010 </w:t>
            </w:r>
          </w:p>
        </w:tc>
        <w:tc>
          <w:tcPr>
            <w:tcW w:w="2977"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 xml:space="preserve">BUTADIENES, STABILIZED or BUTADIENES AND HYDROCARBON MIXTURE, STABILIZED, having a </w:t>
            </w:r>
            <w:proofErr w:type="spellStart"/>
            <w:r w:rsidRPr="009A2C3D">
              <w:rPr>
                <w:sz w:val="18"/>
                <w:szCs w:val="18"/>
                <w:lang w:val="en-US"/>
              </w:rPr>
              <w:t>vapour</w:t>
            </w:r>
            <w:proofErr w:type="spellEnd"/>
            <w:r w:rsidRPr="009A2C3D">
              <w:rPr>
                <w:sz w:val="18"/>
                <w:szCs w:val="18"/>
                <w:lang w:val="en-US"/>
              </w:rPr>
              <w:t xml:space="preserve"> pressure at 70º not exceeding 1.1 MPa (11bar) and a density at 50º not lower than 0,525 kg/l</w:t>
            </w:r>
          </w:p>
        </w:tc>
        <w:tc>
          <w:tcPr>
            <w:tcW w:w="851"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386</w:t>
            </w:r>
          </w:p>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618</w:t>
            </w:r>
          </w:p>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662</w:t>
            </w:r>
          </w:p>
        </w:tc>
        <w:tc>
          <w:tcPr>
            <w:tcW w:w="737"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TA4</w:t>
            </w:r>
          </w:p>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TT9</w:t>
            </w:r>
          </w:p>
        </w:tc>
        <w:tc>
          <w:tcPr>
            <w:tcW w:w="709"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V8</w:t>
            </w:r>
          </w:p>
        </w:tc>
        <w:tc>
          <w:tcPr>
            <w:tcW w:w="850"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S2</w:t>
            </w:r>
          </w:p>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S4</w:t>
            </w:r>
          </w:p>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S20</w:t>
            </w:r>
          </w:p>
        </w:tc>
        <w:tc>
          <w:tcPr>
            <w:tcW w:w="680"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239</w:t>
            </w:r>
          </w:p>
        </w:tc>
      </w:tr>
      <w:tr w:rsidR="00EE4585" w:rsidRPr="009A2C3D" w:rsidTr="007B5114">
        <w:tc>
          <w:tcPr>
            <w:tcW w:w="675"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1965</w:t>
            </w:r>
          </w:p>
        </w:tc>
        <w:tc>
          <w:tcPr>
            <w:tcW w:w="2977"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HYDROCARBON MIXTURE, LIQUEFIED, N.O.S. such as mixtures A, A01, A02, A0, B1, B2, B or C</w:t>
            </w:r>
          </w:p>
        </w:tc>
        <w:tc>
          <w:tcPr>
            <w:tcW w:w="851"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274</w:t>
            </w:r>
          </w:p>
          <w:p w:rsidR="00EE4585" w:rsidRDefault="00EE4585" w:rsidP="00027033">
            <w:pPr>
              <w:pStyle w:val="SingleTxtG"/>
              <w:spacing w:after="0" w:line="240" w:lineRule="auto"/>
              <w:ind w:left="0" w:right="0"/>
              <w:jc w:val="left"/>
              <w:rPr>
                <w:sz w:val="18"/>
                <w:szCs w:val="18"/>
                <w:lang w:val="en-US"/>
              </w:rPr>
            </w:pPr>
            <w:r w:rsidRPr="009A2C3D">
              <w:rPr>
                <w:sz w:val="18"/>
                <w:szCs w:val="18"/>
                <w:lang w:val="en-US"/>
              </w:rPr>
              <w:t>583</w:t>
            </w:r>
          </w:p>
          <w:p w:rsidR="00DB079D" w:rsidRPr="009A2C3D" w:rsidRDefault="00DB079D" w:rsidP="00027033">
            <w:pPr>
              <w:pStyle w:val="SingleTxtG"/>
              <w:spacing w:after="0" w:line="240" w:lineRule="auto"/>
              <w:ind w:left="0" w:right="0"/>
              <w:jc w:val="left"/>
              <w:rPr>
                <w:sz w:val="18"/>
                <w:szCs w:val="18"/>
                <w:lang w:val="en-US"/>
              </w:rPr>
            </w:pPr>
            <w:r>
              <w:rPr>
                <w:sz w:val="18"/>
                <w:szCs w:val="18"/>
                <w:lang w:val="en-US"/>
              </w:rPr>
              <w:t>652</w:t>
            </w:r>
          </w:p>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660</w:t>
            </w:r>
          </w:p>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662</w:t>
            </w:r>
          </w:p>
        </w:tc>
        <w:tc>
          <w:tcPr>
            <w:tcW w:w="737" w:type="dxa"/>
          </w:tcPr>
          <w:p w:rsidR="00EE4585" w:rsidRPr="009A2C3D" w:rsidRDefault="00EE4585" w:rsidP="00682446">
            <w:pPr>
              <w:pStyle w:val="SingleTxtG"/>
              <w:spacing w:after="0" w:line="240" w:lineRule="auto"/>
              <w:ind w:left="0" w:right="0"/>
              <w:jc w:val="left"/>
              <w:rPr>
                <w:sz w:val="18"/>
                <w:szCs w:val="18"/>
                <w:lang w:val="en-US"/>
              </w:rPr>
            </w:pPr>
            <w:r w:rsidRPr="009A2C3D">
              <w:rPr>
                <w:sz w:val="18"/>
                <w:szCs w:val="18"/>
                <w:lang w:val="en-US"/>
              </w:rPr>
              <w:t>TA4</w:t>
            </w:r>
          </w:p>
          <w:p w:rsidR="00EE4585" w:rsidRPr="009A2C3D" w:rsidRDefault="00EE4585" w:rsidP="00682446">
            <w:pPr>
              <w:pStyle w:val="SingleTxtG"/>
              <w:spacing w:after="0" w:line="240" w:lineRule="auto"/>
              <w:ind w:left="0" w:right="0"/>
              <w:jc w:val="left"/>
              <w:rPr>
                <w:sz w:val="18"/>
                <w:szCs w:val="18"/>
                <w:lang w:val="en-US"/>
              </w:rPr>
            </w:pPr>
            <w:r w:rsidRPr="009A2C3D">
              <w:rPr>
                <w:sz w:val="18"/>
                <w:szCs w:val="18"/>
                <w:lang w:val="en-US"/>
              </w:rPr>
              <w:t>TT9</w:t>
            </w:r>
          </w:p>
          <w:p w:rsidR="00EE4585" w:rsidRPr="009A2C3D" w:rsidRDefault="00EE4585" w:rsidP="00682446">
            <w:pPr>
              <w:pStyle w:val="SingleTxtG"/>
              <w:spacing w:after="0" w:line="240" w:lineRule="auto"/>
              <w:ind w:left="0" w:right="0"/>
              <w:jc w:val="left"/>
              <w:rPr>
                <w:sz w:val="18"/>
                <w:szCs w:val="18"/>
                <w:lang w:val="en-US"/>
              </w:rPr>
            </w:pPr>
            <w:r w:rsidRPr="009A2C3D">
              <w:rPr>
                <w:sz w:val="18"/>
                <w:szCs w:val="18"/>
                <w:lang w:val="en-US"/>
              </w:rPr>
              <w:t>TT11</w:t>
            </w:r>
          </w:p>
        </w:tc>
        <w:tc>
          <w:tcPr>
            <w:tcW w:w="709"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w:t>
            </w:r>
          </w:p>
        </w:tc>
        <w:tc>
          <w:tcPr>
            <w:tcW w:w="850"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S2</w:t>
            </w:r>
          </w:p>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S20</w:t>
            </w:r>
          </w:p>
          <w:p w:rsidR="00EE4585" w:rsidRPr="009A2C3D" w:rsidRDefault="00EE4585" w:rsidP="00027033">
            <w:pPr>
              <w:pStyle w:val="SingleTxtG"/>
              <w:spacing w:after="0" w:line="240" w:lineRule="auto"/>
              <w:ind w:left="0" w:right="0"/>
              <w:jc w:val="left"/>
              <w:rPr>
                <w:sz w:val="18"/>
                <w:szCs w:val="18"/>
                <w:lang w:val="en-US"/>
              </w:rPr>
            </w:pPr>
          </w:p>
        </w:tc>
        <w:tc>
          <w:tcPr>
            <w:tcW w:w="680"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23</w:t>
            </w:r>
          </w:p>
        </w:tc>
      </w:tr>
      <w:tr w:rsidR="00EE4585" w:rsidRPr="009A2C3D" w:rsidTr="007B5114">
        <w:tc>
          <w:tcPr>
            <w:tcW w:w="675"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3161</w:t>
            </w:r>
          </w:p>
        </w:tc>
        <w:tc>
          <w:tcPr>
            <w:tcW w:w="2977"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LIQUEFIED GAS, FLAMMABLE, N.O.S.</w:t>
            </w:r>
          </w:p>
        </w:tc>
        <w:tc>
          <w:tcPr>
            <w:tcW w:w="851"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274</w:t>
            </w:r>
          </w:p>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662</w:t>
            </w:r>
          </w:p>
        </w:tc>
        <w:tc>
          <w:tcPr>
            <w:tcW w:w="737" w:type="dxa"/>
          </w:tcPr>
          <w:p w:rsidR="00EE4585" w:rsidRPr="009A2C3D" w:rsidRDefault="00EE4585" w:rsidP="00EE4585">
            <w:pPr>
              <w:pStyle w:val="SingleTxtG"/>
              <w:spacing w:after="0" w:line="240" w:lineRule="auto"/>
              <w:ind w:left="0" w:right="0"/>
              <w:jc w:val="left"/>
              <w:rPr>
                <w:sz w:val="18"/>
                <w:szCs w:val="18"/>
                <w:lang w:val="en-US"/>
              </w:rPr>
            </w:pPr>
            <w:r w:rsidRPr="009A2C3D">
              <w:rPr>
                <w:sz w:val="18"/>
                <w:szCs w:val="18"/>
                <w:lang w:val="en-US"/>
              </w:rPr>
              <w:t>TA4</w:t>
            </w:r>
          </w:p>
          <w:p w:rsidR="00EE4585" w:rsidRPr="009A2C3D" w:rsidRDefault="00EE4585" w:rsidP="00EE4585">
            <w:pPr>
              <w:pStyle w:val="SingleTxtG"/>
              <w:spacing w:after="0" w:line="240" w:lineRule="auto"/>
              <w:ind w:left="0" w:right="0"/>
              <w:jc w:val="left"/>
              <w:rPr>
                <w:sz w:val="18"/>
                <w:szCs w:val="18"/>
                <w:lang w:val="en-US"/>
              </w:rPr>
            </w:pPr>
            <w:r w:rsidRPr="009A2C3D">
              <w:rPr>
                <w:sz w:val="18"/>
                <w:szCs w:val="18"/>
                <w:lang w:val="en-US"/>
              </w:rPr>
              <w:t>TT9</w:t>
            </w:r>
          </w:p>
        </w:tc>
        <w:tc>
          <w:tcPr>
            <w:tcW w:w="709"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w:t>
            </w:r>
          </w:p>
        </w:tc>
        <w:tc>
          <w:tcPr>
            <w:tcW w:w="850" w:type="dxa"/>
          </w:tcPr>
          <w:p w:rsidR="00EE4585" w:rsidRPr="009A2C3D" w:rsidRDefault="00EE4585" w:rsidP="00EE4585">
            <w:pPr>
              <w:pStyle w:val="SingleTxtG"/>
              <w:spacing w:after="0" w:line="240" w:lineRule="auto"/>
              <w:ind w:left="0" w:right="0"/>
              <w:jc w:val="left"/>
              <w:rPr>
                <w:sz w:val="18"/>
                <w:szCs w:val="18"/>
                <w:lang w:val="en-US"/>
              </w:rPr>
            </w:pPr>
            <w:r w:rsidRPr="009A2C3D">
              <w:rPr>
                <w:sz w:val="18"/>
                <w:szCs w:val="18"/>
                <w:lang w:val="en-US"/>
              </w:rPr>
              <w:t>S2</w:t>
            </w:r>
          </w:p>
          <w:p w:rsidR="00EE4585" w:rsidRPr="009A2C3D" w:rsidRDefault="00EE4585" w:rsidP="00EE4585">
            <w:pPr>
              <w:pStyle w:val="SingleTxtG"/>
              <w:spacing w:after="0" w:line="240" w:lineRule="auto"/>
              <w:ind w:left="0" w:right="0"/>
              <w:jc w:val="left"/>
              <w:rPr>
                <w:sz w:val="18"/>
                <w:szCs w:val="18"/>
                <w:lang w:val="en-US"/>
              </w:rPr>
            </w:pPr>
            <w:r w:rsidRPr="009A2C3D">
              <w:rPr>
                <w:sz w:val="18"/>
                <w:szCs w:val="18"/>
                <w:lang w:val="en-US"/>
              </w:rPr>
              <w:t>S20</w:t>
            </w:r>
          </w:p>
          <w:p w:rsidR="00EE4585" w:rsidRPr="009A2C3D" w:rsidRDefault="00EE4585" w:rsidP="00027033">
            <w:pPr>
              <w:pStyle w:val="SingleTxtG"/>
              <w:spacing w:after="0" w:line="240" w:lineRule="auto"/>
              <w:ind w:left="0" w:right="0"/>
              <w:jc w:val="left"/>
              <w:rPr>
                <w:sz w:val="18"/>
                <w:szCs w:val="18"/>
                <w:lang w:val="en-US"/>
              </w:rPr>
            </w:pPr>
          </w:p>
        </w:tc>
        <w:tc>
          <w:tcPr>
            <w:tcW w:w="680" w:type="dxa"/>
          </w:tcPr>
          <w:p w:rsidR="00EE4585" w:rsidRPr="009A2C3D" w:rsidRDefault="00EE4585" w:rsidP="00027033">
            <w:pPr>
              <w:pStyle w:val="SingleTxtG"/>
              <w:spacing w:after="0" w:line="240" w:lineRule="auto"/>
              <w:ind w:left="0" w:right="0"/>
              <w:jc w:val="left"/>
              <w:rPr>
                <w:sz w:val="18"/>
                <w:szCs w:val="18"/>
                <w:lang w:val="en-US"/>
              </w:rPr>
            </w:pPr>
            <w:r w:rsidRPr="009A2C3D">
              <w:rPr>
                <w:sz w:val="18"/>
                <w:szCs w:val="18"/>
                <w:lang w:val="en-US"/>
              </w:rPr>
              <w:t>23</w:t>
            </w:r>
          </w:p>
        </w:tc>
      </w:tr>
    </w:tbl>
    <w:p w:rsidR="00432715" w:rsidRPr="009A2C3D" w:rsidRDefault="00432715" w:rsidP="00DD506E">
      <w:pPr>
        <w:pStyle w:val="SingleTxtG"/>
        <w:rPr>
          <w:lang w:val="en-US"/>
        </w:rPr>
      </w:pPr>
    </w:p>
    <w:p w:rsidR="00564808" w:rsidRPr="009A2C3D" w:rsidRDefault="000646E5" w:rsidP="00DD506E">
      <w:pPr>
        <w:pStyle w:val="SingleTxtG"/>
        <w:rPr>
          <w:lang w:val="en-US"/>
        </w:rPr>
      </w:pPr>
      <w:r>
        <w:rPr>
          <w:lang w:val="en-US"/>
        </w:rPr>
        <w:t>11.</w:t>
      </w:r>
      <w:r>
        <w:rPr>
          <w:lang w:val="en-US"/>
        </w:rPr>
        <w:tab/>
      </w:r>
      <w:r w:rsidR="0010720F" w:rsidRPr="009A2C3D">
        <w:rPr>
          <w:lang w:val="en-US"/>
        </w:rPr>
        <w:t xml:space="preserve">Even with these differences, the basic transport conditions can </w:t>
      </w:r>
      <w:proofErr w:type="gramStart"/>
      <w:r w:rsidR="0010720F" w:rsidRPr="009A2C3D">
        <w:rPr>
          <w:lang w:val="en-US"/>
        </w:rPr>
        <w:t>be considered to be</w:t>
      </w:r>
      <w:proofErr w:type="gramEnd"/>
      <w:r w:rsidR="0010720F" w:rsidRPr="009A2C3D">
        <w:rPr>
          <w:lang w:val="en-US"/>
        </w:rPr>
        <w:t xml:space="preserve"> the same for all modes.</w:t>
      </w:r>
      <w:r w:rsidR="00B52EFF" w:rsidRPr="009A2C3D">
        <w:rPr>
          <w:lang w:val="en-US"/>
        </w:rPr>
        <w:t xml:space="preserve"> The main differences are in the SP applying. As before in the Model Regulations, only SP 386, applicable to UN 1010, details on stabilization.</w:t>
      </w:r>
    </w:p>
    <w:p w:rsidR="0010720F" w:rsidRPr="009A2C3D" w:rsidRDefault="00DE4750" w:rsidP="00C6622E">
      <w:pPr>
        <w:pStyle w:val="HChG"/>
        <w:spacing w:before="120" w:after="120"/>
        <w:rPr>
          <w:rFonts w:eastAsiaTheme="minorEastAsia"/>
          <w:lang w:val="en-US" w:eastAsia="zh-CN"/>
        </w:rPr>
      </w:pPr>
      <w:r w:rsidRPr="009A2C3D">
        <w:rPr>
          <w:rFonts w:eastAsiaTheme="minorEastAsia"/>
          <w:lang w:val="en-US" w:eastAsia="zh-CN"/>
        </w:rPr>
        <w:tab/>
      </w:r>
      <w:r w:rsidRPr="009A2C3D">
        <w:rPr>
          <w:rFonts w:eastAsiaTheme="minorEastAsia"/>
          <w:lang w:val="en-US" w:eastAsia="zh-CN"/>
        </w:rPr>
        <w:tab/>
      </w:r>
      <w:r w:rsidR="0010720F" w:rsidRPr="009A2C3D">
        <w:rPr>
          <w:rFonts w:eastAsiaTheme="minorEastAsia"/>
          <w:lang w:val="en-US" w:eastAsia="zh-CN"/>
        </w:rPr>
        <w:t>Analysis</w:t>
      </w:r>
    </w:p>
    <w:p w:rsidR="00187F12" w:rsidRPr="009A2C3D" w:rsidRDefault="000646E5" w:rsidP="00187F12">
      <w:pPr>
        <w:pStyle w:val="SingleTxtG"/>
        <w:rPr>
          <w:lang w:val="en-US"/>
        </w:rPr>
      </w:pPr>
      <w:r>
        <w:rPr>
          <w:lang w:val="en-US"/>
        </w:rPr>
        <w:t>12.</w:t>
      </w:r>
      <w:r>
        <w:rPr>
          <w:lang w:val="en-US"/>
        </w:rPr>
        <w:tab/>
      </w:r>
      <w:r w:rsidR="00187F12" w:rsidRPr="009A2C3D">
        <w:rPr>
          <w:lang w:val="en-US"/>
        </w:rPr>
        <w:t xml:space="preserve">When analyzing other UN numbers that could be used for transport of </w:t>
      </w:r>
      <w:proofErr w:type="spellStart"/>
      <w:r w:rsidR="00187F12" w:rsidRPr="009A2C3D">
        <w:rPr>
          <w:lang w:val="en-US"/>
        </w:rPr>
        <w:t>butadienes</w:t>
      </w:r>
      <w:proofErr w:type="spellEnd"/>
      <w:r w:rsidR="00187F12" w:rsidRPr="009A2C3D">
        <w:rPr>
          <w:lang w:val="en-US"/>
        </w:rPr>
        <w:t xml:space="preserve"> with less than 40% of </w:t>
      </w:r>
      <w:proofErr w:type="spellStart"/>
      <w:r w:rsidR="00187F12" w:rsidRPr="009A2C3D">
        <w:rPr>
          <w:lang w:val="en-US"/>
        </w:rPr>
        <w:t>butadienes</w:t>
      </w:r>
      <w:proofErr w:type="spellEnd"/>
      <w:r w:rsidR="00187F12" w:rsidRPr="009A2C3D">
        <w:rPr>
          <w:lang w:val="en-US"/>
        </w:rPr>
        <w:t xml:space="preserve">, transport conditions for the most usual alternative UN numbers have similar transport conditions. </w:t>
      </w:r>
      <w:r w:rsidR="009A2C3D" w:rsidRPr="009A2C3D">
        <w:rPr>
          <w:lang w:val="en-US"/>
        </w:rPr>
        <w:t xml:space="preserve">Nevertheless, </w:t>
      </w:r>
      <w:proofErr w:type="gramStart"/>
      <w:r w:rsidR="009A2C3D" w:rsidRPr="009A2C3D">
        <w:rPr>
          <w:lang w:val="en-US"/>
        </w:rPr>
        <w:t>i</w:t>
      </w:r>
      <w:r w:rsidR="00187F12" w:rsidRPr="009A2C3D">
        <w:rPr>
          <w:lang w:val="en-US"/>
        </w:rPr>
        <w:t>n regards to</w:t>
      </w:r>
      <w:proofErr w:type="gramEnd"/>
      <w:r w:rsidR="00187F12" w:rsidRPr="009A2C3D">
        <w:rPr>
          <w:lang w:val="en-US"/>
        </w:rPr>
        <w:t xml:space="preserve"> the stabilization, both the name of UN</w:t>
      </w:r>
      <w:r w:rsidR="007B5114">
        <w:rPr>
          <w:lang w:val="en-US"/>
        </w:rPr>
        <w:t xml:space="preserve"> </w:t>
      </w:r>
      <w:r w:rsidR="00187F12" w:rsidRPr="009A2C3D">
        <w:rPr>
          <w:lang w:val="en-US"/>
        </w:rPr>
        <w:t xml:space="preserve">1010 and SP386 clearly indicate the need for stabilization, which is not the case for the alternative UN numbers. </w:t>
      </w:r>
    </w:p>
    <w:p w:rsidR="0010720F" w:rsidRPr="009A2C3D" w:rsidRDefault="000646E5" w:rsidP="0010720F">
      <w:pPr>
        <w:pStyle w:val="SingleTxtG"/>
        <w:rPr>
          <w:lang w:val="en-US"/>
        </w:rPr>
      </w:pPr>
      <w:r>
        <w:rPr>
          <w:lang w:val="en-US"/>
        </w:rPr>
        <w:t>13</w:t>
      </w:r>
      <w:r w:rsidR="0010720F" w:rsidRPr="009A2C3D">
        <w:rPr>
          <w:lang w:val="en-US"/>
        </w:rPr>
        <w:t>.</w:t>
      </w:r>
      <w:r w:rsidR="0010720F" w:rsidRPr="009A2C3D">
        <w:rPr>
          <w:lang w:val="en-US"/>
        </w:rPr>
        <w:tab/>
      </w:r>
      <w:r w:rsidR="00FB7C9A" w:rsidRPr="009A2C3D">
        <w:rPr>
          <w:lang w:val="en-US"/>
        </w:rPr>
        <w:t>The decision to introduce a different definition</w:t>
      </w:r>
      <w:r w:rsidRPr="000646E5">
        <w:rPr>
          <w:lang w:val="en-US"/>
        </w:rPr>
        <w:t xml:space="preserve"> </w:t>
      </w:r>
      <w:r>
        <w:rPr>
          <w:lang w:val="en-US"/>
        </w:rPr>
        <w:t>for UN 1010</w:t>
      </w:r>
      <w:r w:rsidRPr="009A2C3D">
        <w:rPr>
          <w:lang w:val="en-US"/>
        </w:rPr>
        <w:t xml:space="preserve"> </w:t>
      </w:r>
      <w:r w:rsidR="00FB7C9A" w:rsidRPr="009A2C3D">
        <w:rPr>
          <w:lang w:val="en-US"/>
        </w:rPr>
        <w:t>into RID/ADR</w:t>
      </w:r>
      <w:r>
        <w:rPr>
          <w:lang w:val="en-US"/>
        </w:rPr>
        <w:t xml:space="preserve"> than in</w:t>
      </w:r>
      <w:r w:rsidR="00FB7C9A" w:rsidRPr="009A2C3D">
        <w:rPr>
          <w:lang w:val="en-US"/>
        </w:rPr>
        <w:t>to the Model Regulations was taken several years ago. Since then</w:t>
      </w:r>
      <w:r>
        <w:rPr>
          <w:lang w:val="en-US"/>
        </w:rPr>
        <w:t>:</w:t>
      </w:r>
    </w:p>
    <w:p w:rsidR="0010720F" w:rsidRPr="009A2C3D" w:rsidRDefault="0010720F" w:rsidP="0010720F">
      <w:pPr>
        <w:pStyle w:val="SingleTxtG"/>
        <w:numPr>
          <w:ilvl w:val="0"/>
          <w:numId w:val="28"/>
        </w:numPr>
        <w:rPr>
          <w:lang w:val="en-US"/>
        </w:rPr>
      </w:pPr>
      <w:r w:rsidRPr="009A2C3D">
        <w:rPr>
          <w:lang w:val="en-US"/>
        </w:rPr>
        <w:lastRenderedPageBreak/>
        <w:t>No accident, incident nor known problem has arisen in the U</w:t>
      </w:r>
      <w:r w:rsidR="007B5114">
        <w:rPr>
          <w:lang w:val="en-US"/>
        </w:rPr>
        <w:t>nited States</w:t>
      </w:r>
      <w:r w:rsidRPr="009A2C3D">
        <w:rPr>
          <w:lang w:val="en-US"/>
        </w:rPr>
        <w:t xml:space="preserve"> when transporting UN 1010</w:t>
      </w:r>
      <w:r w:rsidR="0008367D" w:rsidRPr="009A2C3D">
        <w:rPr>
          <w:lang w:val="en-US"/>
        </w:rPr>
        <w:t xml:space="preserve"> according to the Model Regulation</w:t>
      </w:r>
      <w:r w:rsidR="00FB7C9A" w:rsidRPr="009A2C3D">
        <w:rPr>
          <w:lang w:val="en-US"/>
        </w:rPr>
        <w:t xml:space="preserve"> </w:t>
      </w:r>
      <w:r w:rsidR="002E6F58">
        <w:rPr>
          <w:lang w:val="en-US"/>
        </w:rPr>
        <w:t>name and description</w:t>
      </w:r>
      <w:r w:rsidRPr="009A2C3D">
        <w:rPr>
          <w:lang w:val="en-US"/>
        </w:rPr>
        <w:t xml:space="preserve">. </w:t>
      </w:r>
    </w:p>
    <w:p w:rsidR="0010720F" w:rsidRPr="009A2C3D" w:rsidRDefault="0010720F" w:rsidP="0010720F">
      <w:pPr>
        <w:pStyle w:val="SingleTxtG"/>
        <w:numPr>
          <w:ilvl w:val="0"/>
          <w:numId w:val="28"/>
        </w:numPr>
        <w:rPr>
          <w:lang w:val="en-US"/>
        </w:rPr>
      </w:pPr>
      <w:r w:rsidRPr="009A2C3D">
        <w:rPr>
          <w:lang w:val="en-US"/>
        </w:rPr>
        <w:t xml:space="preserve">In Spain, and in other countries that have been consulted, transport of </w:t>
      </w:r>
      <w:proofErr w:type="spellStart"/>
      <w:r w:rsidRPr="009A2C3D">
        <w:rPr>
          <w:lang w:val="en-US"/>
        </w:rPr>
        <w:t>butadienes</w:t>
      </w:r>
      <w:proofErr w:type="spellEnd"/>
      <w:r w:rsidRPr="009A2C3D">
        <w:rPr>
          <w:lang w:val="en-US"/>
        </w:rPr>
        <w:t xml:space="preserve"> or butadiene mixtures with less than 40% of </w:t>
      </w:r>
      <w:proofErr w:type="spellStart"/>
      <w:r w:rsidRPr="009A2C3D">
        <w:rPr>
          <w:lang w:val="en-US"/>
        </w:rPr>
        <w:t>butadienes</w:t>
      </w:r>
      <w:proofErr w:type="spellEnd"/>
      <w:r w:rsidRPr="009A2C3D">
        <w:rPr>
          <w:lang w:val="en-US"/>
        </w:rPr>
        <w:t xml:space="preserve"> do</w:t>
      </w:r>
      <w:r w:rsidR="009A2C3D" w:rsidRPr="009A2C3D">
        <w:rPr>
          <w:lang w:val="en-US"/>
        </w:rPr>
        <w:t xml:space="preserve">es </w:t>
      </w:r>
      <w:r w:rsidRPr="009A2C3D">
        <w:rPr>
          <w:lang w:val="en-US"/>
        </w:rPr>
        <w:t>n</w:t>
      </w:r>
      <w:r w:rsidR="009A2C3D" w:rsidRPr="009A2C3D">
        <w:rPr>
          <w:lang w:val="en-US"/>
        </w:rPr>
        <w:t>o</w:t>
      </w:r>
      <w:r w:rsidRPr="009A2C3D">
        <w:rPr>
          <w:lang w:val="en-US"/>
        </w:rPr>
        <w:t xml:space="preserve">t take place. </w:t>
      </w:r>
    </w:p>
    <w:p w:rsidR="0010720F" w:rsidRPr="009A2C3D" w:rsidRDefault="0010720F" w:rsidP="00FB7C9A">
      <w:pPr>
        <w:pStyle w:val="SingleTxtG"/>
        <w:numPr>
          <w:ilvl w:val="0"/>
          <w:numId w:val="28"/>
        </w:numPr>
        <w:rPr>
          <w:lang w:val="en-US"/>
        </w:rPr>
      </w:pPr>
      <w:r w:rsidRPr="009A2C3D">
        <w:rPr>
          <w:lang w:val="en-US"/>
        </w:rPr>
        <w:t>2.2.2.2.1 has been introduced into RID/ADR, indicating in a general way for all gases that chemically unstable gases shall not be accepted for carriage unless the necessary precautions have been taken to prevent the possibility of a dangerous decomposition or polymerization.</w:t>
      </w:r>
    </w:p>
    <w:p w:rsidR="0010720F" w:rsidRDefault="00976B6D" w:rsidP="0010720F">
      <w:pPr>
        <w:pStyle w:val="SingleTxtG"/>
        <w:rPr>
          <w:lang w:val="en-US"/>
        </w:rPr>
      </w:pPr>
      <w:r w:rsidRPr="009A2C3D">
        <w:rPr>
          <w:lang w:val="en-US"/>
        </w:rPr>
        <w:t>1</w:t>
      </w:r>
      <w:r w:rsidR="000646E5">
        <w:rPr>
          <w:lang w:val="en-US"/>
        </w:rPr>
        <w:t>4</w:t>
      </w:r>
      <w:r w:rsidR="0010720F" w:rsidRPr="009A2C3D">
        <w:rPr>
          <w:lang w:val="en-US"/>
        </w:rPr>
        <w:t>.</w:t>
      </w:r>
      <w:r w:rsidR="0010720F" w:rsidRPr="009A2C3D">
        <w:rPr>
          <w:lang w:val="en-US"/>
        </w:rPr>
        <w:tab/>
      </w:r>
      <w:r w:rsidR="00B672D0" w:rsidRPr="009A2C3D">
        <w:rPr>
          <w:lang w:val="en-US"/>
        </w:rPr>
        <w:t>According to 2.2.2.2.1 of RID/ADR</w:t>
      </w:r>
      <w:r w:rsidR="0010720F" w:rsidRPr="009A2C3D">
        <w:rPr>
          <w:lang w:val="en-US"/>
        </w:rPr>
        <w:t xml:space="preserve">, even if butadiene with less than 40% of </w:t>
      </w:r>
      <w:proofErr w:type="spellStart"/>
      <w:r w:rsidR="00160FC6" w:rsidRPr="009A2C3D">
        <w:rPr>
          <w:lang w:val="en-US"/>
        </w:rPr>
        <w:t>butadienes</w:t>
      </w:r>
      <w:proofErr w:type="spellEnd"/>
      <w:r w:rsidR="00160FC6" w:rsidRPr="009A2C3D">
        <w:rPr>
          <w:lang w:val="en-US"/>
        </w:rPr>
        <w:t xml:space="preserve"> would be transported under other UN numbers, </w:t>
      </w:r>
      <w:r w:rsidR="0010720F" w:rsidRPr="009A2C3D">
        <w:rPr>
          <w:lang w:val="en-US"/>
        </w:rPr>
        <w:t>the necessary precautions</w:t>
      </w:r>
      <w:r w:rsidRPr="009A2C3D">
        <w:rPr>
          <w:lang w:val="en-US"/>
        </w:rPr>
        <w:t xml:space="preserve"> (stabilization)</w:t>
      </w:r>
      <w:r w:rsidR="0010720F" w:rsidRPr="009A2C3D">
        <w:rPr>
          <w:lang w:val="en-US"/>
        </w:rPr>
        <w:t xml:space="preserve"> would have to be taken, independently of under which UN number the mixture would be transported.</w:t>
      </w:r>
    </w:p>
    <w:p w:rsidR="00B672D0" w:rsidRDefault="000646E5" w:rsidP="0010720F">
      <w:pPr>
        <w:pStyle w:val="SingleTxtG"/>
        <w:rPr>
          <w:lang w:val="en-US"/>
        </w:rPr>
      </w:pPr>
      <w:r>
        <w:rPr>
          <w:lang w:val="en-US"/>
        </w:rPr>
        <w:t>15.</w:t>
      </w:r>
      <w:r>
        <w:rPr>
          <w:lang w:val="en-US"/>
        </w:rPr>
        <w:tab/>
      </w:r>
      <w:r w:rsidR="00B672D0">
        <w:rPr>
          <w:lang w:val="en-US"/>
        </w:rPr>
        <w:t xml:space="preserve">Transport of </w:t>
      </w:r>
      <w:proofErr w:type="spellStart"/>
      <w:r w:rsidR="00B672D0">
        <w:rPr>
          <w:lang w:val="en-US"/>
        </w:rPr>
        <w:t>butadienes</w:t>
      </w:r>
      <w:proofErr w:type="spellEnd"/>
      <w:r w:rsidR="00B672D0">
        <w:rPr>
          <w:lang w:val="en-US"/>
        </w:rPr>
        <w:t xml:space="preserve"> is carried out </w:t>
      </w:r>
      <w:r w:rsidR="00B21114">
        <w:rPr>
          <w:lang w:val="en-US"/>
        </w:rPr>
        <w:t>for</w:t>
      </w:r>
      <w:r w:rsidR="00B672D0">
        <w:rPr>
          <w:lang w:val="en-US"/>
        </w:rPr>
        <w:t xml:space="preserve"> a very limited number of companies. </w:t>
      </w:r>
      <w:r w:rsidR="00B21114">
        <w:rPr>
          <w:lang w:val="en-US"/>
        </w:rPr>
        <w:t>These companies</w:t>
      </w:r>
      <w:r w:rsidR="00B672D0">
        <w:rPr>
          <w:lang w:val="en-US"/>
        </w:rPr>
        <w:t xml:space="preserve"> have the means to carry out a class</w:t>
      </w:r>
      <w:r w:rsidR="00B21114">
        <w:rPr>
          <w:lang w:val="en-US"/>
        </w:rPr>
        <w:t>ification</w:t>
      </w:r>
      <w:r w:rsidR="00B672D0">
        <w:rPr>
          <w:lang w:val="en-US"/>
        </w:rPr>
        <w:t>, deciding on a case to case basis on which is the most appropriate classification.</w:t>
      </w:r>
      <w:r w:rsidR="00B21114">
        <w:rPr>
          <w:lang w:val="en-US"/>
        </w:rPr>
        <w:t xml:space="preserve"> </w:t>
      </w:r>
      <w:r w:rsidR="007014E9">
        <w:rPr>
          <w:lang w:val="en-US"/>
        </w:rPr>
        <w:t>Additionally, they are well aware of when their product needs stabilization.</w:t>
      </w:r>
    </w:p>
    <w:p w:rsidR="00B21114" w:rsidRDefault="000646E5" w:rsidP="0010720F">
      <w:pPr>
        <w:pStyle w:val="SingleTxtG"/>
        <w:rPr>
          <w:lang w:val="en-US"/>
        </w:rPr>
      </w:pPr>
      <w:r>
        <w:rPr>
          <w:lang w:val="en-US"/>
        </w:rPr>
        <w:t>16.</w:t>
      </w:r>
      <w:r>
        <w:rPr>
          <w:lang w:val="en-US"/>
        </w:rPr>
        <w:tab/>
      </w:r>
      <w:r w:rsidR="00B21114">
        <w:rPr>
          <w:lang w:val="en-US"/>
        </w:rPr>
        <w:t xml:space="preserve">All previous facts together imply that modifying the name and description </w:t>
      </w:r>
      <w:proofErr w:type="gramStart"/>
      <w:r w:rsidR="00B21114">
        <w:rPr>
          <w:lang w:val="en-US"/>
        </w:rPr>
        <w:t xml:space="preserve">of </w:t>
      </w:r>
      <w:r w:rsidR="00231F8F">
        <w:rPr>
          <w:lang w:val="en-US"/>
        </w:rPr>
        <w:t xml:space="preserve"> </w:t>
      </w:r>
      <w:r w:rsidR="00B21114">
        <w:rPr>
          <w:lang w:val="en-US"/>
        </w:rPr>
        <w:t>UN</w:t>
      </w:r>
      <w:proofErr w:type="gramEnd"/>
      <w:r w:rsidR="00231F8F">
        <w:rPr>
          <w:lang w:val="en-US"/>
        </w:rPr>
        <w:t> </w:t>
      </w:r>
      <w:r w:rsidR="00B21114">
        <w:rPr>
          <w:lang w:val="en-US"/>
        </w:rPr>
        <w:t>1010 to follow the name and description in the Model Regulations would have no great impact, also from the safety point of view, while permitting a harmonization with the Model Regulations and other transport modes and easing administrative burdens.</w:t>
      </w:r>
    </w:p>
    <w:p w:rsidR="001027FB" w:rsidRPr="00F318A5" w:rsidRDefault="00F318A5" w:rsidP="0010720F">
      <w:pPr>
        <w:pStyle w:val="SingleTxtG"/>
        <w:rPr>
          <w:lang w:val="en-US"/>
        </w:rPr>
      </w:pPr>
      <w:r>
        <w:rPr>
          <w:lang w:val="en-US"/>
        </w:rPr>
        <w:t>17.</w:t>
      </w:r>
      <w:r>
        <w:rPr>
          <w:lang w:val="en-US"/>
        </w:rPr>
        <w:tab/>
      </w:r>
      <w:r w:rsidR="00214408">
        <w:rPr>
          <w:lang w:val="en-US"/>
        </w:rPr>
        <w:t xml:space="preserve">Additionally, if it is thought necessary </w:t>
      </w:r>
      <w:r w:rsidRPr="00F318A5">
        <w:rPr>
          <w:lang w:val="en-US"/>
        </w:rPr>
        <w:t>t</w:t>
      </w:r>
      <w:r w:rsidR="001027FB" w:rsidRPr="00F318A5">
        <w:rPr>
          <w:lang w:val="en-US"/>
        </w:rPr>
        <w:t xml:space="preserve">o </w:t>
      </w:r>
      <w:r w:rsidRPr="00F318A5">
        <w:rPr>
          <w:lang w:val="en-US"/>
        </w:rPr>
        <w:t>maintain</w:t>
      </w:r>
      <w:r w:rsidR="001027FB" w:rsidRPr="00F318A5">
        <w:rPr>
          <w:lang w:val="en-US"/>
        </w:rPr>
        <w:t xml:space="preserve"> </w:t>
      </w:r>
      <w:r w:rsidR="00214408">
        <w:rPr>
          <w:lang w:val="en-US"/>
        </w:rPr>
        <w:t>a</w:t>
      </w:r>
      <w:r w:rsidR="001027FB" w:rsidRPr="00F318A5">
        <w:rPr>
          <w:lang w:val="en-US"/>
        </w:rPr>
        <w:t xml:space="preserve"> </w:t>
      </w:r>
      <w:r w:rsidR="00214408">
        <w:rPr>
          <w:lang w:val="en-US"/>
        </w:rPr>
        <w:t>direct</w:t>
      </w:r>
      <w:r w:rsidR="001027FB" w:rsidRPr="00F318A5">
        <w:rPr>
          <w:lang w:val="en-US"/>
        </w:rPr>
        <w:t xml:space="preserve"> </w:t>
      </w:r>
      <w:r w:rsidR="00214408">
        <w:rPr>
          <w:lang w:val="en-US"/>
        </w:rPr>
        <w:t>reference</w:t>
      </w:r>
      <w:r w:rsidR="001027FB" w:rsidRPr="00F318A5">
        <w:rPr>
          <w:lang w:val="en-US"/>
        </w:rPr>
        <w:t xml:space="preserve"> </w:t>
      </w:r>
      <w:r w:rsidR="00214408">
        <w:rPr>
          <w:lang w:val="en-US"/>
        </w:rPr>
        <w:t xml:space="preserve">to </w:t>
      </w:r>
      <w:r w:rsidR="001027FB" w:rsidRPr="00F318A5">
        <w:rPr>
          <w:lang w:val="en-US"/>
        </w:rPr>
        <w:t>stabilization,</w:t>
      </w:r>
      <w:r w:rsidRPr="00F318A5">
        <w:rPr>
          <w:lang w:val="en-US"/>
        </w:rPr>
        <w:t xml:space="preserve"> a Special Provision on UN 1010 </w:t>
      </w:r>
      <w:r w:rsidR="00214408">
        <w:rPr>
          <w:lang w:val="en-US"/>
        </w:rPr>
        <w:t xml:space="preserve">could be introduced </w:t>
      </w:r>
      <w:r w:rsidRPr="00F318A5">
        <w:rPr>
          <w:lang w:val="en-US"/>
        </w:rPr>
        <w:t>that</w:t>
      </w:r>
      <w:r w:rsidR="00214408">
        <w:rPr>
          <w:lang w:val="en-US"/>
        </w:rPr>
        <w:t xml:space="preserve"> would indicate</w:t>
      </w:r>
      <w:r w:rsidRPr="00F318A5">
        <w:rPr>
          <w:lang w:val="en-US"/>
        </w:rPr>
        <w:t xml:space="preserve"> the need to evaluate if stabilization is necessary</w:t>
      </w:r>
      <w:r w:rsidR="001027FB" w:rsidRPr="00F318A5">
        <w:rPr>
          <w:lang w:val="en-US"/>
        </w:rPr>
        <w:t xml:space="preserve"> in each case,</w:t>
      </w:r>
      <w:r>
        <w:rPr>
          <w:lang w:val="en-US"/>
        </w:rPr>
        <w:t xml:space="preserve"> even if the content of </w:t>
      </w:r>
      <w:proofErr w:type="spellStart"/>
      <w:r>
        <w:rPr>
          <w:lang w:val="en-US"/>
        </w:rPr>
        <w:t>butadienes</w:t>
      </w:r>
      <w:proofErr w:type="spellEnd"/>
      <w:r>
        <w:rPr>
          <w:lang w:val="en-US"/>
        </w:rPr>
        <w:t xml:space="preserve"> in the mixture is below 40%.</w:t>
      </w:r>
      <w:r w:rsidR="001027FB" w:rsidRPr="00F318A5">
        <w:rPr>
          <w:lang w:val="en-US"/>
        </w:rPr>
        <w:t xml:space="preserve"> </w:t>
      </w:r>
      <w:r w:rsidRPr="00F318A5">
        <w:rPr>
          <w:lang w:val="en-US"/>
        </w:rPr>
        <w:t>This proposal has been included as proposal 2, which may be ado</w:t>
      </w:r>
      <w:r w:rsidR="00214408">
        <w:rPr>
          <w:lang w:val="en-US"/>
        </w:rPr>
        <w:t xml:space="preserve">pted in addition to proposal 1. </w:t>
      </w:r>
    </w:p>
    <w:p w:rsidR="00DE4750" w:rsidRDefault="0010720F" w:rsidP="00C6622E">
      <w:pPr>
        <w:pStyle w:val="HChG"/>
        <w:spacing w:before="240"/>
        <w:rPr>
          <w:rFonts w:eastAsiaTheme="minorEastAsia"/>
          <w:lang w:val="en-US" w:eastAsia="zh-CN"/>
        </w:rPr>
      </w:pPr>
      <w:r w:rsidRPr="001027FB">
        <w:rPr>
          <w:rFonts w:eastAsiaTheme="minorEastAsia"/>
          <w:lang w:val="en-US" w:eastAsia="zh-CN"/>
        </w:rPr>
        <w:tab/>
      </w:r>
      <w:r w:rsidRPr="001027FB">
        <w:rPr>
          <w:rFonts w:eastAsiaTheme="minorEastAsia"/>
          <w:lang w:val="en-US" w:eastAsia="zh-CN"/>
        </w:rPr>
        <w:tab/>
      </w:r>
      <w:r w:rsidR="00DE4750" w:rsidRPr="00576C71">
        <w:rPr>
          <w:rFonts w:eastAsiaTheme="minorEastAsia"/>
          <w:lang w:val="en-US" w:eastAsia="zh-CN"/>
        </w:rPr>
        <w:t>Proposal</w:t>
      </w:r>
      <w:r w:rsidR="002C134A">
        <w:rPr>
          <w:rFonts w:eastAsiaTheme="minorEastAsia"/>
          <w:lang w:val="en-US" w:eastAsia="zh-CN"/>
        </w:rPr>
        <w:t>s</w:t>
      </w:r>
    </w:p>
    <w:p w:rsidR="00F318A5" w:rsidRPr="00F318A5" w:rsidRDefault="006A39B9" w:rsidP="00C6622E">
      <w:pPr>
        <w:pStyle w:val="H1G"/>
        <w:spacing w:before="240"/>
        <w:rPr>
          <w:rFonts w:eastAsiaTheme="minorEastAsia"/>
          <w:lang w:val="en-US" w:eastAsia="zh-CN"/>
        </w:rPr>
      </w:pPr>
      <w:r>
        <w:rPr>
          <w:rFonts w:eastAsiaTheme="minorEastAsia"/>
          <w:lang w:val="en-US" w:eastAsia="zh-CN"/>
        </w:rPr>
        <w:tab/>
      </w:r>
      <w:r>
        <w:rPr>
          <w:rFonts w:eastAsiaTheme="minorEastAsia"/>
          <w:lang w:val="en-US" w:eastAsia="zh-CN"/>
        </w:rPr>
        <w:tab/>
      </w:r>
      <w:r w:rsidR="00F318A5" w:rsidRPr="00F318A5">
        <w:rPr>
          <w:rFonts w:eastAsiaTheme="minorEastAsia"/>
          <w:lang w:val="en-US" w:eastAsia="zh-CN"/>
        </w:rPr>
        <w:t>Proposal 1</w:t>
      </w:r>
    </w:p>
    <w:p w:rsidR="008A7147" w:rsidRDefault="00A718BF" w:rsidP="00224507">
      <w:pPr>
        <w:pStyle w:val="SingleTxtG"/>
      </w:pPr>
      <w:r w:rsidRPr="00B21114">
        <w:t>1</w:t>
      </w:r>
      <w:r w:rsidR="00F318A5">
        <w:t>8</w:t>
      </w:r>
      <w:r w:rsidR="004F7CA5" w:rsidRPr="00B21114">
        <w:t>.</w:t>
      </w:r>
      <w:r w:rsidR="004F7CA5" w:rsidRPr="00B21114">
        <w:tab/>
      </w:r>
      <w:r w:rsidR="00224507" w:rsidRPr="00B21114">
        <w:t>Spain would suggest harmonizing the name and description for UN</w:t>
      </w:r>
      <w:r w:rsidR="007B5114">
        <w:t xml:space="preserve"> </w:t>
      </w:r>
      <w:r w:rsidR="00224507" w:rsidRPr="00B21114">
        <w:t xml:space="preserve">1010 </w:t>
      </w:r>
      <w:r w:rsidR="001027FB">
        <w:t xml:space="preserve">in RID/ADR </w:t>
      </w:r>
      <w:r w:rsidR="00224507" w:rsidRPr="00B21114">
        <w:t>with the</w:t>
      </w:r>
      <w:r w:rsidR="00B21114" w:rsidRPr="00B21114">
        <w:t xml:space="preserve"> one from the Model Regulations, such as follows:</w:t>
      </w:r>
    </w:p>
    <w:p w:rsidR="00B21114" w:rsidRDefault="00B21114" w:rsidP="00224507">
      <w:pPr>
        <w:pStyle w:val="SingleTxtG"/>
        <w:rPr>
          <w:lang w:val="en-US"/>
        </w:rPr>
      </w:pPr>
      <w:r w:rsidRPr="00FA1C80">
        <w:rPr>
          <w:lang w:val="en-US"/>
        </w:rPr>
        <w:t>“UN</w:t>
      </w:r>
      <w:r w:rsidR="007B5114">
        <w:rPr>
          <w:lang w:val="en-US"/>
        </w:rPr>
        <w:t xml:space="preserve"> </w:t>
      </w:r>
      <w:r w:rsidRPr="00FA1C80">
        <w:rPr>
          <w:lang w:val="en-US"/>
        </w:rPr>
        <w:t xml:space="preserve">1010 BUTADIENES, STABILIZED or BUTADIENES AND HYDROCARBON MIXTURE, STABILIZED, containing more than 40% </w:t>
      </w:r>
      <w:proofErr w:type="spellStart"/>
      <w:r w:rsidRPr="00FA1C80">
        <w:rPr>
          <w:lang w:val="en-US"/>
        </w:rPr>
        <w:t>butadienes</w:t>
      </w:r>
      <w:proofErr w:type="spellEnd"/>
      <w:r w:rsidRPr="00FA1C80">
        <w:rPr>
          <w:lang w:val="en-US"/>
        </w:rPr>
        <w:t>”</w:t>
      </w:r>
    </w:p>
    <w:p w:rsidR="00B21114" w:rsidRDefault="00B21114" w:rsidP="00224507">
      <w:pPr>
        <w:pStyle w:val="SingleTxtG"/>
        <w:rPr>
          <w:lang w:val="en-US"/>
        </w:rPr>
      </w:pPr>
      <w:r>
        <w:rPr>
          <w:lang w:val="en-US"/>
        </w:rPr>
        <w:t>This name and description</w:t>
      </w:r>
      <w:r w:rsidR="001027FB">
        <w:rPr>
          <w:lang w:val="en-US"/>
        </w:rPr>
        <w:t xml:space="preserve"> also</w:t>
      </w:r>
      <w:r>
        <w:rPr>
          <w:lang w:val="en-US"/>
        </w:rPr>
        <w:t xml:space="preserve"> </w:t>
      </w:r>
      <w:proofErr w:type="gramStart"/>
      <w:r>
        <w:rPr>
          <w:lang w:val="en-US"/>
        </w:rPr>
        <w:t>has to</w:t>
      </w:r>
      <w:proofErr w:type="gramEnd"/>
      <w:r>
        <w:rPr>
          <w:lang w:val="en-US"/>
        </w:rPr>
        <w:t xml:space="preserve"> be </w:t>
      </w:r>
      <w:r w:rsidR="001027FB">
        <w:rPr>
          <w:lang w:val="en-US"/>
        </w:rPr>
        <w:t>modified in</w:t>
      </w:r>
      <w:r w:rsidR="00C360EE">
        <w:rPr>
          <w:lang w:val="en-US"/>
        </w:rPr>
        <w:t xml:space="preserve"> the list of collective entries under 2.2.2.3 and into</w:t>
      </w:r>
      <w:r>
        <w:rPr>
          <w:lang w:val="en-US"/>
        </w:rPr>
        <w:t xml:space="preserve"> table A and B in chapter 3.2</w:t>
      </w:r>
      <w:r w:rsidR="001027FB">
        <w:rPr>
          <w:lang w:val="en-US"/>
        </w:rPr>
        <w:t xml:space="preserve"> of RID/ADR</w:t>
      </w:r>
      <w:r>
        <w:rPr>
          <w:lang w:val="en-US"/>
        </w:rPr>
        <w:t>.</w:t>
      </w:r>
    </w:p>
    <w:p w:rsidR="00F318A5" w:rsidRDefault="006A39B9" w:rsidP="00C6622E">
      <w:pPr>
        <w:pStyle w:val="H1G"/>
        <w:spacing w:before="240"/>
        <w:rPr>
          <w:lang w:val="en-US"/>
        </w:rPr>
      </w:pPr>
      <w:r>
        <w:rPr>
          <w:lang w:val="en-US"/>
        </w:rPr>
        <w:tab/>
      </w:r>
      <w:r>
        <w:rPr>
          <w:lang w:val="en-US"/>
        </w:rPr>
        <w:tab/>
      </w:r>
      <w:r w:rsidR="00F318A5" w:rsidRPr="00F318A5">
        <w:rPr>
          <w:lang w:val="en-US"/>
        </w:rPr>
        <w:t>Proposal 2</w:t>
      </w:r>
    </w:p>
    <w:p w:rsidR="00F318A5" w:rsidRPr="00F318A5" w:rsidRDefault="00F318A5" w:rsidP="00224507">
      <w:pPr>
        <w:pStyle w:val="SingleTxtG"/>
        <w:rPr>
          <w:lang w:val="en-US"/>
        </w:rPr>
      </w:pPr>
      <w:r>
        <w:rPr>
          <w:lang w:val="en-US"/>
        </w:rPr>
        <w:t>19.</w:t>
      </w:r>
      <w:r>
        <w:rPr>
          <w:lang w:val="en-US"/>
        </w:rPr>
        <w:tab/>
      </w:r>
      <w:proofErr w:type="gramStart"/>
      <w:r w:rsidRPr="00F318A5">
        <w:rPr>
          <w:lang w:val="en-US"/>
        </w:rPr>
        <w:t>Additionally</w:t>
      </w:r>
      <w:proofErr w:type="gramEnd"/>
      <w:r w:rsidRPr="00F318A5">
        <w:rPr>
          <w:lang w:val="en-US"/>
        </w:rPr>
        <w:t xml:space="preserve"> to proposal 1, the following special provision may be introduced for UN 1010:</w:t>
      </w:r>
    </w:p>
    <w:p w:rsidR="00F318A5" w:rsidRDefault="00F318A5" w:rsidP="00F318A5">
      <w:pPr>
        <w:pStyle w:val="SingleTxtG"/>
        <w:rPr>
          <w:lang w:val="en-US"/>
        </w:rPr>
      </w:pPr>
      <w:r w:rsidRPr="00F318A5">
        <w:rPr>
          <w:lang w:val="en-US"/>
        </w:rPr>
        <w:t xml:space="preserve">“SP XXX </w:t>
      </w:r>
      <w:proofErr w:type="gramStart"/>
      <w:r w:rsidRPr="00F318A5">
        <w:rPr>
          <w:lang w:val="en-US"/>
        </w:rPr>
        <w:t>For</w:t>
      </w:r>
      <w:proofErr w:type="gramEnd"/>
      <w:r w:rsidRPr="00F318A5">
        <w:rPr>
          <w:lang w:val="en-US"/>
        </w:rPr>
        <w:t xml:space="preserve"> </w:t>
      </w:r>
      <w:proofErr w:type="spellStart"/>
      <w:r w:rsidRPr="00F318A5">
        <w:rPr>
          <w:lang w:val="en-US"/>
        </w:rPr>
        <w:t>butadienes</w:t>
      </w:r>
      <w:proofErr w:type="spellEnd"/>
      <w:r w:rsidRPr="00F318A5">
        <w:rPr>
          <w:lang w:val="en-US"/>
        </w:rPr>
        <w:t xml:space="preserve"> or </w:t>
      </w:r>
      <w:proofErr w:type="spellStart"/>
      <w:r w:rsidRPr="00F318A5">
        <w:rPr>
          <w:lang w:val="en-US"/>
        </w:rPr>
        <w:t>butadienes</w:t>
      </w:r>
      <w:proofErr w:type="spellEnd"/>
      <w:r w:rsidRPr="00F318A5">
        <w:rPr>
          <w:lang w:val="en-US"/>
        </w:rPr>
        <w:t xml:space="preserve"> and hydrocarbon mixtures not fulfilling the minimal content of butadiene to be assigned to this entry, the need of stabilization during transport has to be analyzed [according to 2.2.2.2.1].</w:t>
      </w:r>
      <w:r>
        <w:rPr>
          <w:lang w:val="en-US"/>
        </w:rPr>
        <w:t xml:space="preserve">” </w:t>
      </w:r>
    </w:p>
    <w:p w:rsidR="00FA16BB" w:rsidRPr="00FA16BB" w:rsidRDefault="00081202" w:rsidP="00081202">
      <w:pPr>
        <w:spacing w:before="240"/>
        <w:ind w:left="1134" w:right="992"/>
        <w:jc w:val="center"/>
        <w:rPr>
          <w:u w:val="single"/>
          <w:lang w:val="en-US"/>
        </w:rPr>
      </w:pPr>
      <w:r>
        <w:t>__________________</w:t>
      </w:r>
      <w:r w:rsidR="00C517D2">
        <w:br/>
      </w:r>
      <w:r w:rsidR="00C517D2">
        <w:br/>
      </w:r>
    </w:p>
    <w:sectPr w:rsidR="00FA16BB" w:rsidRPr="00FA16BB" w:rsidSect="006A39B9">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D7F" w:rsidRDefault="006D5D7F"/>
  </w:endnote>
  <w:endnote w:type="continuationSeparator" w:id="0">
    <w:p w:rsidR="006D5D7F" w:rsidRDefault="006D5D7F"/>
  </w:endnote>
  <w:endnote w:type="continuationNotice" w:id="1">
    <w:p w:rsidR="006D5D7F" w:rsidRDefault="006D5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53759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53759D">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D7F" w:rsidRPr="000B175B" w:rsidRDefault="006D5D7F" w:rsidP="000B175B">
      <w:pPr>
        <w:tabs>
          <w:tab w:val="right" w:pos="2155"/>
        </w:tabs>
        <w:spacing w:after="80"/>
        <w:ind w:left="680"/>
        <w:rPr>
          <w:u w:val="single"/>
        </w:rPr>
      </w:pPr>
      <w:r>
        <w:rPr>
          <w:u w:val="single"/>
        </w:rPr>
        <w:tab/>
      </w:r>
    </w:p>
  </w:footnote>
  <w:footnote w:type="continuationSeparator" w:id="0">
    <w:p w:rsidR="006D5D7F" w:rsidRPr="00FC68B7" w:rsidRDefault="006D5D7F" w:rsidP="00FC68B7">
      <w:pPr>
        <w:tabs>
          <w:tab w:val="left" w:pos="2155"/>
        </w:tabs>
        <w:spacing w:after="80"/>
        <w:ind w:left="680"/>
        <w:rPr>
          <w:u w:val="single"/>
        </w:rPr>
      </w:pPr>
      <w:r>
        <w:rPr>
          <w:u w:val="single"/>
        </w:rPr>
        <w:tab/>
      </w:r>
    </w:p>
  </w:footnote>
  <w:footnote w:type="continuationNotice" w:id="1">
    <w:p w:rsidR="006D5D7F" w:rsidRDefault="006D5D7F"/>
  </w:footnote>
  <w:footnote w:id="2">
    <w:p w:rsidR="004C38A6" w:rsidRPr="006E5117" w:rsidRDefault="004C38A6" w:rsidP="004C38A6">
      <w:pPr>
        <w:pStyle w:val="FootnoteText"/>
      </w:pPr>
      <w:r>
        <w:tab/>
      </w:r>
      <w:r w:rsidRPr="00004AD5">
        <w:rPr>
          <w:rStyle w:val="FootnoteReference"/>
          <w:sz w:val="20"/>
        </w:rPr>
        <w:footnoteRef/>
      </w:r>
      <w:r>
        <w:tab/>
        <w:t xml:space="preserve">In accordance with the programme of work of the Inland Transport Committee for 2018-2019, </w:t>
      </w:r>
      <w:r>
        <w:rPr>
          <w:szCs w:val="18"/>
        </w:rPr>
        <w:t>(ECE/TRANS</w:t>
      </w:r>
      <w:r w:rsidRPr="004809ED">
        <w:rPr>
          <w:szCs w:val="18"/>
        </w:rPr>
        <w:t>/</w:t>
      </w:r>
      <w:r>
        <w:rPr>
          <w:szCs w:val="18"/>
        </w:rPr>
        <w:t>WP.15/237, annexe V, (</w:t>
      </w:r>
      <w:r w:rsidRPr="004809ED">
        <w:rPr>
          <w:szCs w:val="18"/>
        </w:rPr>
        <w:t>9.2)</w:t>
      </w:r>
      <w:r>
        <w:rPr>
          <w:szCs w:val="18"/>
        </w:rPr>
        <w:t>)</w:t>
      </w:r>
      <w:r w:rsidRPr="004809ED">
        <w:rPr>
          <w:szCs w:val="18"/>
        </w:rPr>
        <w:t>.</w:t>
      </w:r>
    </w:p>
  </w:footnote>
  <w:footnote w:id="3">
    <w:p w:rsidR="004C38A6" w:rsidRPr="00004AD5" w:rsidRDefault="004C38A6" w:rsidP="004C38A6">
      <w:pPr>
        <w:pStyle w:val="FootnoteText"/>
        <w:rPr>
          <w:lang w:val="fr-CH"/>
        </w:rPr>
      </w:pPr>
      <w:r>
        <w:rPr>
          <w:rStyle w:val="FootnoteReference"/>
          <w:sz w:val="20"/>
        </w:rPr>
        <w:tab/>
      </w:r>
      <w:r w:rsidRPr="00004AD5">
        <w:rPr>
          <w:rStyle w:val="FootnoteReference"/>
          <w:sz w:val="20"/>
        </w:rPr>
        <w:t>**</w:t>
      </w:r>
      <w:r>
        <w:tab/>
      </w:r>
      <w:r w:rsidRPr="00F30C99">
        <w:t xml:space="preserve">Circulated by the Intergovernmental Organisation for International Carriage by Rail (OTIF) under the symbol </w:t>
      </w:r>
      <w:r w:rsidRPr="00561474">
        <w:t>OTIF/RID/RC/201</w:t>
      </w:r>
      <w:r w:rsidR="00CF7246">
        <w:t>9</w:t>
      </w:r>
      <w:r w:rsidRPr="00561474">
        <w:t>/</w:t>
      </w:r>
      <w:r>
        <w:t>16</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pPr>
    <w:r w:rsidRPr="009D2A5B">
      <w:t>ECE/TRANS/WP.15/AC.1/201</w:t>
    </w:r>
    <w:r w:rsidR="006A39B9">
      <w:t>9/16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jc w:val="right"/>
    </w:pPr>
    <w:r w:rsidRPr="009D2A5B">
      <w:t>ECE/TRANS/WP.15/AC.1/201</w:t>
    </w:r>
    <w:r w:rsidR="006A39B9">
      <w:t>9/16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4483329"/>
    <w:multiLevelType w:val="hybridMultilevel"/>
    <w:tmpl w:val="FF54FF66"/>
    <w:lvl w:ilvl="0" w:tplc="0C0A0001">
      <w:start w:val="1"/>
      <w:numFmt w:val="bullet"/>
      <w:lvlText w:val=""/>
      <w:lvlJc w:val="left"/>
      <w:pPr>
        <w:ind w:left="1905" w:hanging="360"/>
      </w:pPr>
      <w:rPr>
        <w:rFonts w:ascii="Symbol" w:hAnsi="Symbol" w:hint="default"/>
      </w:rPr>
    </w:lvl>
    <w:lvl w:ilvl="1" w:tplc="0C0A0003" w:tentative="1">
      <w:start w:val="1"/>
      <w:numFmt w:val="bullet"/>
      <w:lvlText w:val="o"/>
      <w:lvlJc w:val="left"/>
      <w:pPr>
        <w:ind w:left="2625" w:hanging="360"/>
      </w:pPr>
      <w:rPr>
        <w:rFonts w:ascii="Courier New" w:hAnsi="Courier New" w:cs="Courier New" w:hint="default"/>
      </w:rPr>
    </w:lvl>
    <w:lvl w:ilvl="2" w:tplc="0C0A0005" w:tentative="1">
      <w:start w:val="1"/>
      <w:numFmt w:val="bullet"/>
      <w:lvlText w:val=""/>
      <w:lvlJc w:val="left"/>
      <w:pPr>
        <w:ind w:left="3345" w:hanging="360"/>
      </w:pPr>
      <w:rPr>
        <w:rFonts w:ascii="Wingdings" w:hAnsi="Wingdings" w:hint="default"/>
      </w:rPr>
    </w:lvl>
    <w:lvl w:ilvl="3" w:tplc="0C0A0001" w:tentative="1">
      <w:start w:val="1"/>
      <w:numFmt w:val="bullet"/>
      <w:lvlText w:val=""/>
      <w:lvlJc w:val="left"/>
      <w:pPr>
        <w:ind w:left="4065" w:hanging="360"/>
      </w:pPr>
      <w:rPr>
        <w:rFonts w:ascii="Symbol" w:hAnsi="Symbol" w:hint="default"/>
      </w:rPr>
    </w:lvl>
    <w:lvl w:ilvl="4" w:tplc="0C0A0003" w:tentative="1">
      <w:start w:val="1"/>
      <w:numFmt w:val="bullet"/>
      <w:lvlText w:val="o"/>
      <w:lvlJc w:val="left"/>
      <w:pPr>
        <w:ind w:left="4785" w:hanging="360"/>
      </w:pPr>
      <w:rPr>
        <w:rFonts w:ascii="Courier New" w:hAnsi="Courier New" w:cs="Courier New" w:hint="default"/>
      </w:rPr>
    </w:lvl>
    <w:lvl w:ilvl="5" w:tplc="0C0A0005" w:tentative="1">
      <w:start w:val="1"/>
      <w:numFmt w:val="bullet"/>
      <w:lvlText w:val=""/>
      <w:lvlJc w:val="left"/>
      <w:pPr>
        <w:ind w:left="5505" w:hanging="360"/>
      </w:pPr>
      <w:rPr>
        <w:rFonts w:ascii="Wingdings" w:hAnsi="Wingdings" w:hint="default"/>
      </w:rPr>
    </w:lvl>
    <w:lvl w:ilvl="6" w:tplc="0C0A0001" w:tentative="1">
      <w:start w:val="1"/>
      <w:numFmt w:val="bullet"/>
      <w:lvlText w:val=""/>
      <w:lvlJc w:val="left"/>
      <w:pPr>
        <w:ind w:left="6225" w:hanging="360"/>
      </w:pPr>
      <w:rPr>
        <w:rFonts w:ascii="Symbol" w:hAnsi="Symbol" w:hint="default"/>
      </w:rPr>
    </w:lvl>
    <w:lvl w:ilvl="7" w:tplc="0C0A0003" w:tentative="1">
      <w:start w:val="1"/>
      <w:numFmt w:val="bullet"/>
      <w:lvlText w:val="o"/>
      <w:lvlJc w:val="left"/>
      <w:pPr>
        <w:ind w:left="6945" w:hanging="360"/>
      </w:pPr>
      <w:rPr>
        <w:rFonts w:ascii="Courier New" w:hAnsi="Courier New" w:cs="Courier New" w:hint="default"/>
      </w:rPr>
    </w:lvl>
    <w:lvl w:ilvl="8" w:tplc="0C0A0005" w:tentative="1">
      <w:start w:val="1"/>
      <w:numFmt w:val="bullet"/>
      <w:lvlText w:val=""/>
      <w:lvlJc w:val="left"/>
      <w:pPr>
        <w:ind w:left="7665"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9" w15:restartNumberingAfterBreak="0">
    <w:nsid w:val="25A31CCF"/>
    <w:multiLevelType w:val="hybridMultilevel"/>
    <w:tmpl w:val="D7208092"/>
    <w:lvl w:ilvl="0" w:tplc="0C0A0001">
      <w:start w:val="1"/>
      <w:numFmt w:val="bullet"/>
      <w:lvlText w:val=""/>
      <w:lvlJc w:val="left"/>
      <w:pPr>
        <w:ind w:left="1905" w:hanging="360"/>
      </w:pPr>
      <w:rPr>
        <w:rFonts w:ascii="Symbol" w:hAnsi="Symbol" w:hint="default"/>
      </w:rPr>
    </w:lvl>
    <w:lvl w:ilvl="1" w:tplc="0C0A0003" w:tentative="1">
      <w:start w:val="1"/>
      <w:numFmt w:val="bullet"/>
      <w:lvlText w:val="o"/>
      <w:lvlJc w:val="left"/>
      <w:pPr>
        <w:ind w:left="2625" w:hanging="360"/>
      </w:pPr>
      <w:rPr>
        <w:rFonts w:ascii="Courier New" w:hAnsi="Courier New" w:cs="Courier New" w:hint="default"/>
      </w:rPr>
    </w:lvl>
    <w:lvl w:ilvl="2" w:tplc="0C0A0005" w:tentative="1">
      <w:start w:val="1"/>
      <w:numFmt w:val="bullet"/>
      <w:lvlText w:val=""/>
      <w:lvlJc w:val="left"/>
      <w:pPr>
        <w:ind w:left="3345" w:hanging="360"/>
      </w:pPr>
      <w:rPr>
        <w:rFonts w:ascii="Wingdings" w:hAnsi="Wingdings" w:hint="default"/>
      </w:rPr>
    </w:lvl>
    <w:lvl w:ilvl="3" w:tplc="0C0A0001" w:tentative="1">
      <w:start w:val="1"/>
      <w:numFmt w:val="bullet"/>
      <w:lvlText w:val=""/>
      <w:lvlJc w:val="left"/>
      <w:pPr>
        <w:ind w:left="4065" w:hanging="360"/>
      </w:pPr>
      <w:rPr>
        <w:rFonts w:ascii="Symbol" w:hAnsi="Symbol" w:hint="default"/>
      </w:rPr>
    </w:lvl>
    <w:lvl w:ilvl="4" w:tplc="0C0A0003" w:tentative="1">
      <w:start w:val="1"/>
      <w:numFmt w:val="bullet"/>
      <w:lvlText w:val="o"/>
      <w:lvlJc w:val="left"/>
      <w:pPr>
        <w:ind w:left="4785" w:hanging="360"/>
      </w:pPr>
      <w:rPr>
        <w:rFonts w:ascii="Courier New" w:hAnsi="Courier New" w:cs="Courier New" w:hint="default"/>
      </w:rPr>
    </w:lvl>
    <w:lvl w:ilvl="5" w:tplc="0C0A0005" w:tentative="1">
      <w:start w:val="1"/>
      <w:numFmt w:val="bullet"/>
      <w:lvlText w:val=""/>
      <w:lvlJc w:val="left"/>
      <w:pPr>
        <w:ind w:left="5505" w:hanging="360"/>
      </w:pPr>
      <w:rPr>
        <w:rFonts w:ascii="Wingdings" w:hAnsi="Wingdings" w:hint="default"/>
      </w:rPr>
    </w:lvl>
    <w:lvl w:ilvl="6" w:tplc="0C0A0001" w:tentative="1">
      <w:start w:val="1"/>
      <w:numFmt w:val="bullet"/>
      <w:lvlText w:val=""/>
      <w:lvlJc w:val="left"/>
      <w:pPr>
        <w:ind w:left="6225" w:hanging="360"/>
      </w:pPr>
      <w:rPr>
        <w:rFonts w:ascii="Symbol" w:hAnsi="Symbol" w:hint="default"/>
      </w:rPr>
    </w:lvl>
    <w:lvl w:ilvl="7" w:tplc="0C0A0003" w:tentative="1">
      <w:start w:val="1"/>
      <w:numFmt w:val="bullet"/>
      <w:lvlText w:val="o"/>
      <w:lvlJc w:val="left"/>
      <w:pPr>
        <w:ind w:left="6945" w:hanging="360"/>
      </w:pPr>
      <w:rPr>
        <w:rFonts w:ascii="Courier New" w:hAnsi="Courier New" w:cs="Courier New" w:hint="default"/>
      </w:rPr>
    </w:lvl>
    <w:lvl w:ilvl="8" w:tplc="0C0A0005" w:tentative="1">
      <w:start w:val="1"/>
      <w:numFmt w:val="bullet"/>
      <w:lvlText w:val=""/>
      <w:lvlJc w:val="left"/>
      <w:pPr>
        <w:ind w:left="7665"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2"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3"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4"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29" w15:restartNumberingAfterBreak="0">
    <w:nsid w:val="7E7C259A"/>
    <w:multiLevelType w:val="hybridMultilevel"/>
    <w:tmpl w:val="63540F8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25"/>
  </w:num>
  <w:num w:numId="15">
    <w:abstractNumId w:val="15"/>
  </w:num>
  <w:num w:numId="16">
    <w:abstractNumId w:val="11"/>
  </w:num>
  <w:num w:numId="17">
    <w:abstractNumId w:val="22"/>
  </w:num>
  <w:num w:numId="18">
    <w:abstractNumId w:val="28"/>
  </w:num>
  <w:num w:numId="19">
    <w:abstractNumId w:val="26"/>
  </w:num>
  <w:num w:numId="20">
    <w:abstractNumId w:val="12"/>
  </w:num>
  <w:num w:numId="21">
    <w:abstractNumId w:val="16"/>
  </w:num>
  <w:num w:numId="22">
    <w:abstractNumId w:val="24"/>
  </w:num>
  <w:num w:numId="23">
    <w:abstractNumId w:val="13"/>
  </w:num>
  <w:num w:numId="24">
    <w:abstractNumId w:val="23"/>
  </w:num>
  <w:num w:numId="25">
    <w:abstractNumId w:val="18"/>
  </w:num>
  <w:num w:numId="26">
    <w:abstractNumId w:val="21"/>
  </w:num>
  <w:num w:numId="27">
    <w:abstractNumId w:val="27"/>
  </w:num>
  <w:num w:numId="28">
    <w:abstractNumId w:val="14"/>
  </w:num>
  <w:num w:numId="29">
    <w:abstractNumId w:val="19"/>
  </w:num>
  <w:num w:numId="3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113DE"/>
    <w:rsid w:val="000229B5"/>
    <w:rsid w:val="00027033"/>
    <w:rsid w:val="00034A36"/>
    <w:rsid w:val="00037F90"/>
    <w:rsid w:val="000421CB"/>
    <w:rsid w:val="00046B1F"/>
    <w:rsid w:val="00046BE6"/>
    <w:rsid w:val="0004788E"/>
    <w:rsid w:val="000509A7"/>
    <w:rsid w:val="00050F6B"/>
    <w:rsid w:val="0005583C"/>
    <w:rsid w:val="00057E97"/>
    <w:rsid w:val="000646E5"/>
    <w:rsid w:val="00072C8C"/>
    <w:rsid w:val="000733B5"/>
    <w:rsid w:val="00080491"/>
    <w:rsid w:val="00081202"/>
    <w:rsid w:val="0008179C"/>
    <w:rsid w:val="00081815"/>
    <w:rsid w:val="0008367D"/>
    <w:rsid w:val="00091625"/>
    <w:rsid w:val="000931C0"/>
    <w:rsid w:val="000B0595"/>
    <w:rsid w:val="000B1333"/>
    <w:rsid w:val="000B175B"/>
    <w:rsid w:val="000B3A0F"/>
    <w:rsid w:val="000B4EF7"/>
    <w:rsid w:val="000C2C03"/>
    <w:rsid w:val="000C2D2E"/>
    <w:rsid w:val="000C4D51"/>
    <w:rsid w:val="000D230B"/>
    <w:rsid w:val="000E0415"/>
    <w:rsid w:val="000F4E0D"/>
    <w:rsid w:val="001027FB"/>
    <w:rsid w:val="0010720F"/>
    <w:rsid w:val="001103AA"/>
    <w:rsid w:val="001107F3"/>
    <w:rsid w:val="0011666B"/>
    <w:rsid w:val="001208E2"/>
    <w:rsid w:val="00126112"/>
    <w:rsid w:val="00155068"/>
    <w:rsid w:val="00160FC6"/>
    <w:rsid w:val="00165F3A"/>
    <w:rsid w:val="0017587F"/>
    <w:rsid w:val="00180463"/>
    <w:rsid w:val="00187F12"/>
    <w:rsid w:val="001A1DCA"/>
    <w:rsid w:val="001A5840"/>
    <w:rsid w:val="001B13A5"/>
    <w:rsid w:val="001B4B04"/>
    <w:rsid w:val="001C012A"/>
    <w:rsid w:val="001C6663"/>
    <w:rsid w:val="001C7895"/>
    <w:rsid w:val="001D0C8C"/>
    <w:rsid w:val="001D1419"/>
    <w:rsid w:val="001D26DF"/>
    <w:rsid w:val="001D3A03"/>
    <w:rsid w:val="001D7F46"/>
    <w:rsid w:val="001E0B9E"/>
    <w:rsid w:val="001E7B67"/>
    <w:rsid w:val="001F7435"/>
    <w:rsid w:val="001F7FE2"/>
    <w:rsid w:val="00202DA8"/>
    <w:rsid w:val="0021157B"/>
    <w:rsid w:val="00211E0B"/>
    <w:rsid w:val="00214408"/>
    <w:rsid w:val="00214D4D"/>
    <w:rsid w:val="00224507"/>
    <w:rsid w:val="00231F8F"/>
    <w:rsid w:val="002564BC"/>
    <w:rsid w:val="00260F3E"/>
    <w:rsid w:val="00267F5F"/>
    <w:rsid w:val="00277C12"/>
    <w:rsid w:val="00286B4D"/>
    <w:rsid w:val="002A5964"/>
    <w:rsid w:val="002A603B"/>
    <w:rsid w:val="002C134A"/>
    <w:rsid w:val="002D1A0F"/>
    <w:rsid w:val="002D2DC1"/>
    <w:rsid w:val="002D4643"/>
    <w:rsid w:val="002D4B6C"/>
    <w:rsid w:val="002E6F58"/>
    <w:rsid w:val="002F175C"/>
    <w:rsid w:val="002F3454"/>
    <w:rsid w:val="00300853"/>
    <w:rsid w:val="00302B8D"/>
    <w:rsid w:val="00302E18"/>
    <w:rsid w:val="00307FAA"/>
    <w:rsid w:val="00312506"/>
    <w:rsid w:val="003229D8"/>
    <w:rsid w:val="00352709"/>
    <w:rsid w:val="00361E92"/>
    <w:rsid w:val="00371178"/>
    <w:rsid w:val="00371194"/>
    <w:rsid w:val="00381475"/>
    <w:rsid w:val="003A2E91"/>
    <w:rsid w:val="003A6810"/>
    <w:rsid w:val="003C2CC4"/>
    <w:rsid w:val="003D4B23"/>
    <w:rsid w:val="004059B4"/>
    <w:rsid w:val="00410C89"/>
    <w:rsid w:val="00422E03"/>
    <w:rsid w:val="00426B9B"/>
    <w:rsid w:val="0043040E"/>
    <w:rsid w:val="00430EFE"/>
    <w:rsid w:val="004325CB"/>
    <w:rsid w:val="00432715"/>
    <w:rsid w:val="00432B58"/>
    <w:rsid w:val="00441896"/>
    <w:rsid w:val="00442A83"/>
    <w:rsid w:val="00443AB5"/>
    <w:rsid w:val="00453D14"/>
    <w:rsid w:val="0045495B"/>
    <w:rsid w:val="0048397A"/>
    <w:rsid w:val="00495D15"/>
    <w:rsid w:val="004A12F2"/>
    <w:rsid w:val="004C2461"/>
    <w:rsid w:val="004C38A6"/>
    <w:rsid w:val="004C7462"/>
    <w:rsid w:val="004D4E04"/>
    <w:rsid w:val="004D5426"/>
    <w:rsid w:val="004E0C05"/>
    <w:rsid w:val="004E77B2"/>
    <w:rsid w:val="004F7CA5"/>
    <w:rsid w:val="00503DEB"/>
    <w:rsid w:val="00504B2D"/>
    <w:rsid w:val="00511A9B"/>
    <w:rsid w:val="0052136D"/>
    <w:rsid w:val="00522B58"/>
    <w:rsid w:val="0052775E"/>
    <w:rsid w:val="00531AFA"/>
    <w:rsid w:val="00535C90"/>
    <w:rsid w:val="0053759D"/>
    <w:rsid w:val="005420F2"/>
    <w:rsid w:val="00543785"/>
    <w:rsid w:val="00545927"/>
    <w:rsid w:val="00546993"/>
    <w:rsid w:val="00546AD4"/>
    <w:rsid w:val="005628B6"/>
    <w:rsid w:val="00564808"/>
    <w:rsid w:val="0059596F"/>
    <w:rsid w:val="00596432"/>
    <w:rsid w:val="00597EDC"/>
    <w:rsid w:val="005A575C"/>
    <w:rsid w:val="005B3DB3"/>
    <w:rsid w:val="005B4E13"/>
    <w:rsid w:val="005E6A77"/>
    <w:rsid w:val="005F7B75"/>
    <w:rsid w:val="006001EE"/>
    <w:rsid w:val="00600A17"/>
    <w:rsid w:val="00605042"/>
    <w:rsid w:val="00605A9A"/>
    <w:rsid w:val="00611FC4"/>
    <w:rsid w:val="006176FB"/>
    <w:rsid w:val="00626B45"/>
    <w:rsid w:val="00633CF0"/>
    <w:rsid w:val="00640B26"/>
    <w:rsid w:val="00652D0A"/>
    <w:rsid w:val="00656B98"/>
    <w:rsid w:val="006623D5"/>
    <w:rsid w:val="00662BB6"/>
    <w:rsid w:val="00667F8F"/>
    <w:rsid w:val="00682446"/>
    <w:rsid w:val="00684C21"/>
    <w:rsid w:val="0069232B"/>
    <w:rsid w:val="006A2530"/>
    <w:rsid w:val="006A39B9"/>
    <w:rsid w:val="006B7864"/>
    <w:rsid w:val="006C3589"/>
    <w:rsid w:val="006C7B73"/>
    <w:rsid w:val="006D37AF"/>
    <w:rsid w:val="006D51D0"/>
    <w:rsid w:val="006D5D7F"/>
    <w:rsid w:val="006E5117"/>
    <w:rsid w:val="006E564B"/>
    <w:rsid w:val="006E7191"/>
    <w:rsid w:val="006F4A9F"/>
    <w:rsid w:val="007014E9"/>
    <w:rsid w:val="00703577"/>
    <w:rsid w:val="00705894"/>
    <w:rsid w:val="007229CF"/>
    <w:rsid w:val="0072632A"/>
    <w:rsid w:val="00731FF0"/>
    <w:rsid w:val="007327D5"/>
    <w:rsid w:val="00744E2A"/>
    <w:rsid w:val="007611CF"/>
    <w:rsid w:val="007629C8"/>
    <w:rsid w:val="00764081"/>
    <w:rsid w:val="007674FA"/>
    <w:rsid w:val="0077047D"/>
    <w:rsid w:val="007A084C"/>
    <w:rsid w:val="007B5114"/>
    <w:rsid w:val="007B6BA5"/>
    <w:rsid w:val="007C0E33"/>
    <w:rsid w:val="007C3390"/>
    <w:rsid w:val="007C4F4B"/>
    <w:rsid w:val="007D46D5"/>
    <w:rsid w:val="007E01E9"/>
    <w:rsid w:val="007E63F3"/>
    <w:rsid w:val="007F2A80"/>
    <w:rsid w:val="007F6611"/>
    <w:rsid w:val="007F7106"/>
    <w:rsid w:val="00806396"/>
    <w:rsid w:val="00811150"/>
    <w:rsid w:val="00811920"/>
    <w:rsid w:val="00815AD0"/>
    <w:rsid w:val="008242D7"/>
    <w:rsid w:val="008257B1"/>
    <w:rsid w:val="00843767"/>
    <w:rsid w:val="00850F50"/>
    <w:rsid w:val="008521A5"/>
    <w:rsid w:val="00860D0C"/>
    <w:rsid w:val="008679D9"/>
    <w:rsid w:val="00871389"/>
    <w:rsid w:val="00871E5E"/>
    <w:rsid w:val="00874CB6"/>
    <w:rsid w:val="00881C0C"/>
    <w:rsid w:val="00883999"/>
    <w:rsid w:val="008878DE"/>
    <w:rsid w:val="008979B1"/>
    <w:rsid w:val="008A2607"/>
    <w:rsid w:val="008A6B25"/>
    <w:rsid w:val="008A6C4F"/>
    <w:rsid w:val="008A7147"/>
    <w:rsid w:val="008B2335"/>
    <w:rsid w:val="008B717B"/>
    <w:rsid w:val="008D6256"/>
    <w:rsid w:val="008E0678"/>
    <w:rsid w:val="008E7526"/>
    <w:rsid w:val="00901B81"/>
    <w:rsid w:val="0092212D"/>
    <w:rsid w:val="009223CA"/>
    <w:rsid w:val="00940F93"/>
    <w:rsid w:val="0094558F"/>
    <w:rsid w:val="0094766B"/>
    <w:rsid w:val="00961690"/>
    <w:rsid w:val="009760F3"/>
    <w:rsid w:val="00976B6D"/>
    <w:rsid w:val="009950AD"/>
    <w:rsid w:val="009A0E8D"/>
    <w:rsid w:val="009A2C3D"/>
    <w:rsid w:val="009B1518"/>
    <w:rsid w:val="009B192C"/>
    <w:rsid w:val="009B26E7"/>
    <w:rsid w:val="009B6669"/>
    <w:rsid w:val="009C3EED"/>
    <w:rsid w:val="009C454F"/>
    <w:rsid w:val="009D2A5B"/>
    <w:rsid w:val="00A00A3F"/>
    <w:rsid w:val="00A01489"/>
    <w:rsid w:val="00A2041E"/>
    <w:rsid w:val="00A219E6"/>
    <w:rsid w:val="00A2358C"/>
    <w:rsid w:val="00A3009E"/>
    <w:rsid w:val="00A3026E"/>
    <w:rsid w:val="00A338F1"/>
    <w:rsid w:val="00A43545"/>
    <w:rsid w:val="00A65936"/>
    <w:rsid w:val="00A66C37"/>
    <w:rsid w:val="00A718BF"/>
    <w:rsid w:val="00A72F22"/>
    <w:rsid w:val="00A7360F"/>
    <w:rsid w:val="00A748A6"/>
    <w:rsid w:val="00A769F4"/>
    <w:rsid w:val="00A776B4"/>
    <w:rsid w:val="00A81407"/>
    <w:rsid w:val="00A8207E"/>
    <w:rsid w:val="00A9093D"/>
    <w:rsid w:val="00A9142D"/>
    <w:rsid w:val="00A94361"/>
    <w:rsid w:val="00AA293C"/>
    <w:rsid w:val="00AB25C8"/>
    <w:rsid w:val="00AD13BA"/>
    <w:rsid w:val="00AE08DA"/>
    <w:rsid w:val="00AE1E36"/>
    <w:rsid w:val="00AE6935"/>
    <w:rsid w:val="00AF3993"/>
    <w:rsid w:val="00B012FA"/>
    <w:rsid w:val="00B11BB4"/>
    <w:rsid w:val="00B175D8"/>
    <w:rsid w:val="00B21114"/>
    <w:rsid w:val="00B22BC2"/>
    <w:rsid w:val="00B30179"/>
    <w:rsid w:val="00B36283"/>
    <w:rsid w:val="00B421C1"/>
    <w:rsid w:val="00B42658"/>
    <w:rsid w:val="00B52EFF"/>
    <w:rsid w:val="00B55C71"/>
    <w:rsid w:val="00B56E4A"/>
    <w:rsid w:val="00B56E9C"/>
    <w:rsid w:val="00B61320"/>
    <w:rsid w:val="00B62297"/>
    <w:rsid w:val="00B64B1F"/>
    <w:rsid w:val="00B6553F"/>
    <w:rsid w:val="00B672D0"/>
    <w:rsid w:val="00B70F1E"/>
    <w:rsid w:val="00B734ED"/>
    <w:rsid w:val="00B77D05"/>
    <w:rsid w:val="00B81206"/>
    <w:rsid w:val="00B81E12"/>
    <w:rsid w:val="00B857E8"/>
    <w:rsid w:val="00BA1092"/>
    <w:rsid w:val="00BB7CD1"/>
    <w:rsid w:val="00BC3FA0"/>
    <w:rsid w:val="00BC74E9"/>
    <w:rsid w:val="00BD4443"/>
    <w:rsid w:val="00BF13DE"/>
    <w:rsid w:val="00BF68A8"/>
    <w:rsid w:val="00C10FE6"/>
    <w:rsid w:val="00C11A03"/>
    <w:rsid w:val="00C22C0C"/>
    <w:rsid w:val="00C22F9A"/>
    <w:rsid w:val="00C255AF"/>
    <w:rsid w:val="00C30C61"/>
    <w:rsid w:val="00C3172E"/>
    <w:rsid w:val="00C35502"/>
    <w:rsid w:val="00C360EE"/>
    <w:rsid w:val="00C40B11"/>
    <w:rsid w:val="00C4527F"/>
    <w:rsid w:val="00C463DD"/>
    <w:rsid w:val="00C4724C"/>
    <w:rsid w:val="00C517D2"/>
    <w:rsid w:val="00C563BF"/>
    <w:rsid w:val="00C629A0"/>
    <w:rsid w:val="00C64629"/>
    <w:rsid w:val="00C6622E"/>
    <w:rsid w:val="00C745C3"/>
    <w:rsid w:val="00C76F8B"/>
    <w:rsid w:val="00C81EB8"/>
    <w:rsid w:val="00C92461"/>
    <w:rsid w:val="00CB3E03"/>
    <w:rsid w:val="00CE4A8F"/>
    <w:rsid w:val="00CF0197"/>
    <w:rsid w:val="00CF1BAD"/>
    <w:rsid w:val="00CF7246"/>
    <w:rsid w:val="00D2031B"/>
    <w:rsid w:val="00D25FE2"/>
    <w:rsid w:val="00D32959"/>
    <w:rsid w:val="00D43252"/>
    <w:rsid w:val="00D47EEA"/>
    <w:rsid w:val="00D550D4"/>
    <w:rsid w:val="00D773DF"/>
    <w:rsid w:val="00D872AC"/>
    <w:rsid w:val="00D9255F"/>
    <w:rsid w:val="00D95303"/>
    <w:rsid w:val="00D978C6"/>
    <w:rsid w:val="00DA2390"/>
    <w:rsid w:val="00DA3C1C"/>
    <w:rsid w:val="00DB079D"/>
    <w:rsid w:val="00DD29BD"/>
    <w:rsid w:val="00DD506E"/>
    <w:rsid w:val="00DE1D53"/>
    <w:rsid w:val="00DE3392"/>
    <w:rsid w:val="00DE4750"/>
    <w:rsid w:val="00DF0F1A"/>
    <w:rsid w:val="00E046DF"/>
    <w:rsid w:val="00E15557"/>
    <w:rsid w:val="00E240D2"/>
    <w:rsid w:val="00E27346"/>
    <w:rsid w:val="00E5258F"/>
    <w:rsid w:val="00E71610"/>
    <w:rsid w:val="00E71BC8"/>
    <w:rsid w:val="00E72409"/>
    <w:rsid w:val="00E7260F"/>
    <w:rsid w:val="00E73F5D"/>
    <w:rsid w:val="00E74859"/>
    <w:rsid w:val="00E77E4E"/>
    <w:rsid w:val="00E8771C"/>
    <w:rsid w:val="00E96630"/>
    <w:rsid w:val="00EA3763"/>
    <w:rsid w:val="00EB2FD1"/>
    <w:rsid w:val="00EB52FF"/>
    <w:rsid w:val="00EC106A"/>
    <w:rsid w:val="00EC1E8A"/>
    <w:rsid w:val="00ED1389"/>
    <w:rsid w:val="00ED7A2A"/>
    <w:rsid w:val="00EE1FD0"/>
    <w:rsid w:val="00EE4585"/>
    <w:rsid w:val="00EE6B3A"/>
    <w:rsid w:val="00EF1D7F"/>
    <w:rsid w:val="00F14530"/>
    <w:rsid w:val="00F318A5"/>
    <w:rsid w:val="00F31E5F"/>
    <w:rsid w:val="00F32BB7"/>
    <w:rsid w:val="00F35A48"/>
    <w:rsid w:val="00F420E4"/>
    <w:rsid w:val="00F47EDC"/>
    <w:rsid w:val="00F6100A"/>
    <w:rsid w:val="00F63C9D"/>
    <w:rsid w:val="00F64DBF"/>
    <w:rsid w:val="00F66565"/>
    <w:rsid w:val="00F75A16"/>
    <w:rsid w:val="00F77976"/>
    <w:rsid w:val="00F852F4"/>
    <w:rsid w:val="00F913E2"/>
    <w:rsid w:val="00F92A22"/>
    <w:rsid w:val="00F93781"/>
    <w:rsid w:val="00FA16BB"/>
    <w:rsid w:val="00FA1C80"/>
    <w:rsid w:val="00FA6DA6"/>
    <w:rsid w:val="00FB06F6"/>
    <w:rsid w:val="00FB1BC5"/>
    <w:rsid w:val="00FB3838"/>
    <w:rsid w:val="00FB613B"/>
    <w:rsid w:val="00FB7C9A"/>
    <w:rsid w:val="00FC68B7"/>
    <w:rsid w:val="00FE106A"/>
    <w:rsid w:val="00FE20CA"/>
    <w:rsid w:val="00FF145D"/>
    <w:rsid w:val="00FF4220"/>
    <w:rsid w:val="00FF5B28"/>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741727"/>
  <w15:docId w15:val="{E85CF4AA-0300-4EF8-83D0-89BD1907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 w:type="paragraph" w:customStyle="1" w:styleId="Default">
    <w:name w:val="Default"/>
    <w:rsid w:val="00FA1C80"/>
    <w:pP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8832">
      <w:bodyDiv w:val="1"/>
      <w:marLeft w:val="0"/>
      <w:marRight w:val="0"/>
      <w:marTop w:val="0"/>
      <w:marBottom w:val="0"/>
      <w:divBdr>
        <w:top w:val="none" w:sz="0" w:space="0" w:color="auto"/>
        <w:left w:val="none" w:sz="0" w:space="0" w:color="auto"/>
        <w:bottom w:val="none" w:sz="0" w:space="0" w:color="auto"/>
        <w:right w:val="none" w:sz="0" w:space="0" w:color="auto"/>
      </w:divBdr>
    </w:div>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14549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66F8-75E1-459C-9386-C4282844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1390</Words>
  <Characters>7927</Characters>
  <Application>Microsoft Office Word</Application>
  <DocSecurity>0</DocSecurity>
  <Lines>66</Lines>
  <Paragraphs>18</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Titre</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De Marcos de Frutos Ángeles</dc:creator>
  <cp:keywords>ECE/TRANS/WP.15/AC.1/2012/8</cp:keywords>
  <dc:description>Final</dc:description>
  <cp:lastModifiedBy>Christine Barrio-Champeau</cp:lastModifiedBy>
  <cp:revision>7</cp:revision>
  <cp:lastPrinted>2018-12-27T10:55:00Z</cp:lastPrinted>
  <dcterms:created xsi:type="dcterms:W3CDTF">2018-12-27T11:04:00Z</dcterms:created>
  <dcterms:modified xsi:type="dcterms:W3CDTF">2018-12-28T08:21:00Z</dcterms:modified>
</cp:coreProperties>
</file>