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01748C" w14:paraId="1F571A0D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5D8BE0" w14:textId="77777777" w:rsidR="00446DE4" w:rsidRPr="0001748C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CBD3D0" w14:textId="77777777" w:rsidR="00446DE4" w:rsidRPr="0001748C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899852" w14:textId="6D548E69" w:rsidR="00FC215C" w:rsidRPr="0001748C" w:rsidRDefault="00FC215C" w:rsidP="00FC215C">
            <w:pPr>
              <w:jc w:val="right"/>
              <w:rPr>
                <w:b/>
                <w:sz w:val="40"/>
                <w:szCs w:val="40"/>
              </w:rPr>
            </w:pPr>
            <w:r w:rsidRPr="0001748C">
              <w:rPr>
                <w:b/>
                <w:sz w:val="40"/>
                <w:szCs w:val="40"/>
              </w:rPr>
              <w:t>UN/SCEGHS/</w:t>
            </w:r>
            <w:r w:rsidR="00F64C95" w:rsidRPr="0001748C">
              <w:rPr>
                <w:b/>
                <w:sz w:val="40"/>
                <w:szCs w:val="40"/>
              </w:rPr>
              <w:t>3</w:t>
            </w:r>
            <w:r w:rsidR="008869E3">
              <w:rPr>
                <w:b/>
                <w:sz w:val="40"/>
                <w:szCs w:val="40"/>
              </w:rPr>
              <w:t>8</w:t>
            </w:r>
            <w:r w:rsidRPr="0001748C">
              <w:rPr>
                <w:b/>
                <w:sz w:val="40"/>
                <w:szCs w:val="40"/>
              </w:rPr>
              <w:t>/INF.</w:t>
            </w:r>
            <w:r w:rsidR="00C93962">
              <w:rPr>
                <w:b/>
                <w:sz w:val="40"/>
                <w:szCs w:val="40"/>
              </w:rPr>
              <w:t>5</w:t>
            </w:r>
          </w:p>
          <w:p w14:paraId="6CA55FBF" w14:textId="77777777" w:rsidR="000216CC" w:rsidRPr="0001748C" w:rsidRDefault="000216CC" w:rsidP="00497711">
            <w:pPr>
              <w:jc w:val="right"/>
              <w:rPr>
                <w:highlight w:val="yellow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8"/>
      </w:tblGrid>
      <w:tr w:rsidR="00645A0B" w:rsidRPr="0001748C" w14:paraId="12A69354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C18E8C4" w14:textId="4986FFF7" w:rsidR="00645A0B" w:rsidRPr="00013CF9" w:rsidRDefault="00645A0B" w:rsidP="00013CF9">
            <w:pPr>
              <w:tabs>
                <w:tab w:val="right" w:pos="9214"/>
              </w:tabs>
            </w:pPr>
            <w:r w:rsidRPr="00013CF9">
              <w:rPr>
                <w:b/>
                <w:sz w:val="24"/>
                <w:szCs w:val="24"/>
              </w:rPr>
              <w:t>Committee of Experts on the Transport of Dangerous Goods</w:t>
            </w:r>
            <w:r w:rsidRPr="00013CF9">
              <w:rPr>
                <w:b/>
                <w:sz w:val="24"/>
                <w:szCs w:val="24"/>
              </w:rPr>
              <w:tab/>
            </w:r>
            <w:r w:rsidRPr="00013CF9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13CF9">
              <w:rPr>
                <w:b/>
                <w:sz w:val="24"/>
                <w:szCs w:val="24"/>
              </w:rPr>
              <w:br/>
              <w:t>and Labelling of Chemicals</w:t>
            </w:r>
            <w:r w:rsidRPr="00013CF9">
              <w:rPr>
                <w:b/>
              </w:rPr>
              <w:tab/>
            </w:r>
            <w:r w:rsidR="00C93962">
              <w:rPr>
                <w:b/>
              </w:rPr>
              <w:t>8 October</w:t>
            </w:r>
            <w:r w:rsidR="004130AC" w:rsidRPr="00013CF9">
              <w:rPr>
                <w:b/>
              </w:rPr>
              <w:t xml:space="preserve"> 201</w:t>
            </w:r>
            <w:r w:rsidR="00F05690" w:rsidRPr="00013CF9">
              <w:rPr>
                <w:b/>
              </w:rPr>
              <w:t>9</w:t>
            </w:r>
          </w:p>
        </w:tc>
      </w:tr>
      <w:tr w:rsidR="00FB2CDB" w:rsidRPr="0001748C" w14:paraId="3B52342E" w14:textId="77777777" w:rsidTr="00B92989">
        <w:tc>
          <w:tcPr>
            <w:tcW w:w="538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B6EB531" w14:textId="77777777" w:rsidR="00FB2CDB" w:rsidRPr="00013CF9" w:rsidRDefault="00FB2CDB" w:rsidP="00A26040">
            <w:pPr>
              <w:spacing w:before="120"/>
              <w:rPr>
                <w:b/>
              </w:rPr>
            </w:pPr>
            <w:r w:rsidRPr="00013CF9">
              <w:rPr>
                <w:b/>
              </w:rPr>
              <w:t>Sub-Committee of Experts on the Globally Harmonized System of Classification and Labelling of Chemicals</w:t>
            </w:r>
          </w:p>
        </w:tc>
        <w:tc>
          <w:tcPr>
            <w:tcW w:w="4258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129CAB5" w14:textId="77777777" w:rsidR="00FB2CDB" w:rsidRPr="0001748C" w:rsidRDefault="00FB2CDB" w:rsidP="00165735">
            <w:pPr>
              <w:spacing w:before="120"/>
              <w:rPr>
                <w:b/>
              </w:rPr>
            </w:pPr>
          </w:p>
        </w:tc>
      </w:tr>
      <w:tr w:rsidR="00FB2CDB" w:rsidRPr="0001748C" w14:paraId="2F8AC721" w14:textId="77777777" w:rsidTr="00B92989">
        <w:tc>
          <w:tcPr>
            <w:tcW w:w="5387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BA8ABEA" w14:textId="47507133" w:rsidR="00FB2CDB" w:rsidRPr="00806C53" w:rsidRDefault="00FB2CDB" w:rsidP="00C93962">
            <w:pPr>
              <w:spacing w:before="120"/>
              <w:rPr>
                <w:b/>
              </w:rPr>
            </w:pPr>
            <w:r w:rsidRPr="00806C53">
              <w:rPr>
                <w:b/>
              </w:rPr>
              <w:t>Thirty-</w:t>
            </w:r>
            <w:r w:rsidR="008869E3" w:rsidRPr="00806C53">
              <w:rPr>
                <w:b/>
              </w:rPr>
              <w:t>eigh</w:t>
            </w:r>
            <w:r w:rsidR="004130AC" w:rsidRPr="00806C53">
              <w:rPr>
                <w:b/>
              </w:rPr>
              <w:t>th</w:t>
            </w:r>
            <w:r w:rsidRPr="00806C53">
              <w:rPr>
                <w:b/>
              </w:rPr>
              <w:t xml:space="preserve"> session</w:t>
            </w:r>
          </w:p>
        </w:tc>
        <w:tc>
          <w:tcPr>
            <w:tcW w:w="4258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0D82831" w14:textId="77777777" w:rsidR="00FB2CDB" w:rsidRPr="0001748C" w:rsidRDefault="00FB2CDB" w:rsidP="00C93962">
            <w:pPr>
              <w:spacing w:before="120"/>
              <w:rPr>
                <w:b/>
                <w:highlight w:val="yellow"/>
              </w:rPr>
            </w:pPr>
          </w:p>
        </w:tc>
      </w:tr>
      <w:tr w:rsidR="00FB2CDB" w:rsidRPr="0001748C" w14:paraId="5DAAF824" w14:textId="77777777" w:rsidTr="00B92989">
        <w:tc>
          <w:tcPr>
            <w:tcW w:w="538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1705CA58" w14:textId="1F2796A4" w:rsidR="00FB2CDB" w:rsidRPr="00806C53" w:rsidRDefault="00FB2CDB" w:rsidP="00C93962">
            <w:pPr>
              <w:rPr>
                <w:b/>
                <w:bCs/>
              </w:rPr>
            </w:pPr>
            <w:r w:rsidRPr="00806C53">
              <w:t>Geneva,</w:t>
            </w:r>
            <w:r w:rsidR="004130AC" w:rsidRPr="00806C53">
              <w:t xml:space="preserve"> </w:t>
            </w:r>
            <w:r w:rsidR="00013CF9" w:rsidRPr="00806C53">
              <w:t>11</w:t>
            </w:r>
            <w:r w:rsidR="00F05690" w:rsidRPr="00806C53">
              <w:t>-</w:t>
            </w:r>
            <w:r w:rsidR="00013CF9" w:rsidRPr="00806C53">
              <w:t>13</w:t>
            </w:r>
            <w:r w:rsidR="00F05690" w:rsidRPr="00806C53">
              <w:t xml:space="preserve"> December</w:t>
            </w:r>
            <w:r w:rsidR="004130AC" w:rsidRPr="00806C53">
              <w:t xml:space="preserve"> 201</w:t>
            </w:r>
            <w:r w:rsidR="00F05690" w:rsidRPr="00806C53">
              <w:t>9</w:t>
            </w:r>
            <w:r w:rsidR="004130AC" w:rsidRPr="00806C53">
              <w:t xml:space="preserve"> </w:t>
            </w:r>
            <w:r w:rsidR="00C93962">
              <w:br/>
            </w:r>
            <w:r w:rsidRPr="00806C53">
              <w:t xml:space="preserve">Item </w:t>
            </w:r>
            <w:r w:rsidR="00806C53" w:rsidRPr="00806C53">
              <w:t>4</w:t>
            </w:r>
            <w:r w:rsidRPr="00806C53">
              <w:t xml:space="preserve"> (</w:t>
            </w:r>
            <w:r w:rsidR="004466E2" w:rsidRPr="00806C53">
              <w:t>b</w:t>
            </w:r>
            <w:r w:rsidRPr="00806C53">
              <w:t>) of the provisional agenda</w:t>
            </w:r>
            <w:r w:rsidR="00C93962">
              <w:br/>
            </w:r>
            <w:r w:rsidR="004466E2" w:rsidRPr="00806C53">
              <w:rPr>
                <w:b/>
              </w:rPr>
              <w:t>Implementation of the GHS</w:t>
            </w:r>
            <w:r w:rsidRPr="00806C53">
              <w:rPr>
                <w:b/>
              </w:rPr>
              <w:t>:</w:t>
            </w:r>
            <w:r w:rsidRPr="00806C53">
              <w:rPr>
                <w:b/>
              </w:rPr>
              <w:br/>
            </w:r>
            <w:r w:rsidR="00C93962">
              <w:rPr>
                <w:b/>
                <w:bCs/>
              </w:rPr>
              <w:t>r</w:t>
            </w:r>
            <w:r w:rsidR="004466E2" w:rsidRPr="00806C53">
              <w:rPr>
                <w:b/>
                <w:bCs/>
              </w:rPr>
              <w:t>eports on the status of implementation</w:t>
            </w:r>
          </w:p>
        </w:tc>
        <w:tc>
          <w:tcPr>
            <w:tcW w:w="4258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43057F3" w14:textId="77777777" w:rsidR="00FB2CDB" w:rsidRPr="0001748C" w:rsidRDefault="00FB2CDB" w:rsidP="00C93962">
            <w:pPr>
              <w:spacing w:before="40"/>
              <w:rPr>
                <w:b/>
                <w:bCs/>
              </w:rPr>
            </w:pPr>
          </w:p>
        </w:tc>
      </w:tr>
    </w:tbl>
    <w:p w14:paraId="02FE6861" w14:textId="366D591F" w:rsidR="0001748C" w:rsidRPr="0001748C" w:rsidRDefault="00C93962" w:rsidP="0001748C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79172F">
        <w:rPr>
          <w:lang w:val="en-GB"/>
        </w:rPr>
        <w:t>Information on the s</w:t>
      </w:r>
      <w:r w:rsidR="004466E2">
        <w:rPr>
          <w:lang w:val="en-GB"/>
        </w:rPr>
        <w:t>tatus of GHS implementation in Australia</w:t>
      </w:r>
      <w:r w:rsidR="00B52E13">
        <w:rPr>
          <w:lang w:val="en-GB"/>
        </w:rPr>
        <w:t xml:space="preserve"> </w:t>
      </w:r>
    </w:p>
    <w:p w14:paraId="74F708E8" w14:textId="77777777" w:rsidR="000E23BE" w:rsidRPr="0001748C" w:rsidRDefault="000E23BE" w:rsidP="0001748C">
      <w:pPr>
        <w:pStyle w:val="H1G"/>
      </w:pPr>
      <w:r w:rsidRPr="0001748C">
        <w:tab/>
      </w:r>
      <w:r w:rsidRPr="0001748C">
        <w:tab/>
        <w:t xml:space="preserve">Transmitted by </w:t>
      </w:r>
      <w:r w:rsidR="00FB2CDB">
        <w:t>the expert from Australia</w:t>
      </w:r>
    </w:p>
    <w:p w14:paraId="441DAAEA" w14:textId="77777777" w:rsidR="00E92537" w:rsidRPr="009C26BF" w:rsidRDefault="0001748C" w:rsidP="00FB2CDB">
      <w:pPr>
        <w:pStyle w:val="HChG"/>
        <w:rPr>
          <w:rStyle w:val="H1GChar"/>
          <w:b/>
          <w:lang w:val="en-AU"/>
        </w:rPr>
      </w:pPr>
      <w:r w:rsidRPr="0001748C">
        <w:rPr>
          <w:rStyle w:val="H1GChar"/>
          <w:b/>
        </w:rPr>
        <w:tab/>
      </w:r>
      <w:r w:rsidRPr="0001748C">
        <w:rPr>
          <w:rStyle w:val="H1GChar"/>
          <w:b/>
        </w:rPr>
        <w:tab/>
      </w:r>
      <w:r w:rsidR="00E92537" w:rsidRPr="009C26BF">
        <w:rPr>
          <w:rStyle w:val="H1GChar"/>
          <w:b/>
          <w:sz w:val="28"/>
          <w:lang w:val="en-AU"/>
        </w:rPr>
        <w:t>Introduction</w:t>
      </w:r>
    </w:p>
    <w:p w14:paraId="438E0A71" w14:textId="630E9ADC" w:rsidR="00B52E13" w:rsidRDefault="001A4831" w:rsidP="00A655D6">
      <w:pPr>
        <w:pStyle w:val="SingleTxtG"/>
        <w:numPr>
          <w:ilvl w:val="0"/>
          <w:numId w:val="22"/>
        </w:numPr>
        <w:ind w:left="1134" w:firstLine="0"/>
        <w:rPr>
          <w:lang w:val="en-AU"/>
        </w:rPr>
      </w:pPr>
      <w:r>
        <w:rPr>
          <w:lang w:val="en-AU"/>
        </w:rPr>
        <w:t>T</w:t>
      </w:r>
      <w:r w:rsidR="004425EE" w:rsidRPr="009C26BF">
        <w:rPr>
          <w:lang w:val="en-AU"/>
        </w:rPr>
        <w:t xml:space="preserve">he </w:t>
      </w:r>
      <w:r w:rsidR="004466E2" w:rsidRPr="009C26BF">
        <w:rPr>
          <w:lang w:val="en-AU"/>
        </w:rPr>
        <w:t xml:space="preserve">expert from Australia </w:t>
      </w:r>
      <w:r w:rsidR="003371C1">
        <w:rPr>
          <w:lang w:val="en-AU"/>
        </w:rPr>
        <w:t xml:space="preserve">advised </w:t>
      </w:r>
      <w:r>
        <w:rPr>
          <w:lang w:val="en-AU"/>
        </w:rPr>
        <w:t xml:space="preserve">that the implementation </w:t>
      </w:r>
      <w:r w:rsidR="003371C1">
        <w:rPr>
          <w:lang w:val="en-AU"/>
        </w:rPr>
        <w:t xml:space="preserve">of the sixth revised edition of the </w:t>
      </w:r>
      <w:r w:rsidR="003371C1" w:rsidRPr="00A655D6">
        <w:rPr>
          <w:lang w:val="en-AU"/>
        </w:rPr>
        <w:t>Globally Harmonized System of Classification and Labelling of Chemicals</w:t>
      </w:r>
      <w:r w:rsidR="003371C1" w:rsidRPr="009C26BF">
        <w:rPr>
          <w:lang w:val="en-AU"/>
        </w:rPr>
        <w:t xml:space="preserve"> </w:t>
      </w:r>
      <w:r w:rsidR="003371C1">
        <w:rPr>
          <w:lang w:val="en-AU"/>
        </w:rPr>
        <w:t>(</w:t>
      </w:r>
      <w:r w:rsidR="003371C1" w:rsidRPr="009C26BF">
        <w:rPr>
          <w:lang w:val="en-AU"/>
        </w:rPr>
        <w:t>GHS</w:t>
      </w:r>
      <w:r w:rsidR="003371C1">
        <w:rPr>
          <w:lang w:val="en-AU"/>
        </w:rPr>
        <w:t>) was being considered in Australia</w:t>
      </w:r>
      <w:r>
        <w:rPr>
          <w:lang w:val="en-AU"/>
        </w:rPr>
        <w:t xml:space="preserve"> at the </w:t>
      </w:r>
      <w:r w:rsidR="009E2283">
        <w:rPr>
          <w:lang w:val="en-AU"/>
        </w:rPr>
        <w:t>thirty fifth</w:t>
      </w:r>
      <w:r>
        <w:rPr>
          <w:lang w:val="en-AU"/>
        </w:rPr>
        <w:t xml:space="preserve"> session, informal document INF.23.</w:t>
      </w:r>
      <w:r w:rsidR="003371C1">
        <w:rPr>
          <w:lang w:val="en-AU"/>
        </w:rPr>
        <w:t xml:space="preserve"> I</w:t>
      </w:r>
      <w:r w:rsidR="005E1AF1">
        <w:rPr>
          <w:lang w:val="en-AU"/>
        </w:rPr>
        <w:t>nformation</w:t>
      </w:r>
      <w:r w:rsidR="003371C1">
        <w:rPr>
          <w:lang w:val="en-AU"/>
        </w:rPr>
        <w:t xml:space="preserve"> was sought from the Sub-Committee</w:t>
      </w:r>
      <w:r w:rsidR="005E1AF1">
        <w:rPr>
          <w:lang w:val="en-AU"/>
        </w:rPr>
        <w:t xml:space="preserve"> o</w:t>
      </w:r>
      <w:r w:rsidR="00352472">
        <w:rPr>
          <w:lang w:val="en-AU"/>
        </w:rPr>
        <w:t xml:space="preserve">n </w:t>
      </w:r>
      <w:r w:rsidR="00C77386">
        <w:rPr>
          <w:lang w:val="en-AU"/>
        </w:rPr>
        <w:t xml:space="preserve">the </w:t>
      </w:r>
      <w:r w:rsidR="00352472">
        <w:rPr>
          <w:lang w:val="en-AU"/>
        </w:rPr>
        <w:t>plan</w:t>
      </w:r>
      <w:r w:rsidR="005E1AF1">
        <w:rPr>
          <w:lang w:val="en-AU"/>
        </w:rPr>
        <w:t xml:space="preserve">ned </w:t>
      </w:r>
      <w:r w:rsidR="00352472">
        <w:rPr>
          <w:lang w:val="en-AU"/>
        </w:rPr>
        <w:t>adoption of later</w:t>
      </w:r>
      <w:r w:rsidR="005E1AF1">
        <w:rPr>
          <w:lang w:val="en-AU"/>
        </w:rPr>
        <w:t xml:space="preserve"> editions of the</w:t>
      </w:r>
      <w:r w:rsidR="00352472">
        <w:rPr>
          <w:lang w:val="en-AU"/>
        </w:rPr>
        <w:t xml:space="preserve"> </w:t>
      </w:r>
      <w:r w:rsidR="004466E2" w:rsidRPr="009C26BF">
        <w:rPr>
          <w:lang w:val="en-AU"/>
        </w:rPr>
        <w:t>GHS</w:t>
      </w:r>
      <w:r w:rsidR="005E1AF1">
        <w:rPr>
          <w:lang w:val="en-AU"/>
        </w:rPr>
        <w:t xml:space="preserve"> in other countries</w:t>
      </w:r>
      <w:r w:rsidR="004466E2" w:rsidRPr="009C26BF">
        <w:rPr>
          <w:lang w:val="en-AU"/>
        </w:rPr>
        <w:t xml:space="preserve">. </w:t>
      </w:r>
    </w:p>
    <w:p w14:paraId="5BA6A8EE" w14:textId="1DFCFEE3" w:rsidR="002E54FE" w:rsidRDefault="005E1AF1" w:rsidP="00A655D6">
      <w:pPr>
        <w:pStyle w:val="SingleTxtG"/>
        <w:numPr>
          <w:ilvl w:val="0"/>
          <w:numId w:val="22"/>
        </w:numPr>
        <w:ind w:left="1134" w:firstLine="0"/>
        <w:rPr>
          <w:lang w:val="en-AU"/>
        </w:rPr>
      </w:pPr>
      <w:r>
        <w:rPr>
          <w:lang w:val="en-AU"/>
        </w:rPr>
        <w:t>Experts from the United States</w:t>
      </w:r>
      <w:r w:rsidR="003371C1">
        <w:rPr>
          <w:lang w:val="en-AU"/>
        </w:rPr>
        <w:t>, Canada</w:t>
      </w:r>
      <w:r>
        <w:rPr>
          <w:lang w:val="en-AU"/>
        </w:rPr>
        <w:t xml:space="preserve"> and </w:t>
      </w:r>
      <w:r w:rsidRPr="008628F4">
        <w:rPr>
          <w:lang w:val="en-AU"/>
        </w:rPr>
        <w:t>the representative of the European Union</w:t>
      </w:r>
      <w:r>
        <w:rPr>
          <w:lang w:val="en-AU"/>
        </w:rPr>
        <w:t xml:space="preserve"> </w:t>
      </w:r>
      <w:r w:rsidR="002E54FE">
        <w:rPr>
          <w:lang w:val="en-AU"/>
        </w:rPr>
        <w:t>indicated</w:t>
      </w:r>
      <w:r>
        <w:rPr>
          <w:lang w:val="en-AU"/>
        </w:rPr>
        <w:t xml:space="preserve"> their intent to adopt the seventh revised edition of the GHS</w:t>
      </w:r>
      <w:r w:rsidR="002E54FE">
        <w:rPr>
          <w:lang w:val="en-AU"/>
        </w:rPr>
        <w:t xml:space="preserve">, with implementation </w:t>
      </w:r>
      <w:r w:rsidR="00F653C4">
        <w:rPr>
          <w:lang w:val="en-AU"/>
        </w:rPr>
        <w:t xml:space="preserve">in these countries </w:t>
      </w:r>
      <w:r w:rsidR="002E54FE">
        <w:rPr>
          <w:lang w:val="en-AU"/>
        </w:rPr>
        <w:t>planned between 2019 and 2021</w:t>
      </w:r>
      <w:r>
        <w:rPr>
          <w:lang w:val="en-AU"/>
        </w:rPr>
        <w:t>.</w:t>
      </w:r>
      <w:r w:rsidR="003371C1">
        <w:rPr>
          <w:lang w:val="en-AU"/>
        </w:rPr>
        <w:t xml:space="preserve"> </w:t>
      </w:r>
    </w:p>
    <w:p w14:paraId="32CB8C33" w14:textId="097418F9" w:rsidR="005E1AF1" w:rsidRDefault="001A4831" w:rsidP="00A655D6">
      <w:pPr>
        <w:pStyle w:val="SingleTxtG"/>
        <w:numPr>
          <w:ilvl w:val="0"/>
          <w:numId w:val="22"/>
        </w:numPr>
        <w:ind w:left="1134" w:firstLine="0"/>
        <w:rPr>
          <w:lang w:val="en-AU"/>
        </w:rPr>
      </w:pPr>
      <w:r>
        <w:rPr>
          <w:lang w:val="en-AU"/>
        </w:rPr>
        <w:t xml:space="preserve">Experts confirmed that efforts </w:t>
      </w:r>
      <w:r w:rsidR="003371C1">
        <w:rPr>
          <w:lang w:val="en-AU"/>
        </w:rPr>
        <w:t>should be made between countries to co-ordinate the implementati</w:t>
      </w:r>
      <w:r>
        <w:rPr>
          <w:lang w:val="en-AU"/>
        </w:rPr>
        <w:t>on of later editions of the GHS, and agreed that as a first step, a template table could be prepared for information sharing (ST/SG/AC.10/C.4/70</w:t>
      </w:r>
      <w:r w:rsidRPr="009C26BF">
        <w:rPr>
          <w:lang w:val="en-AU"/>
        </w:rPr>
        <w:t>)</w:t>
      </w:r>
      <w:r>
        <w:rPr>
          <w:lang w:val="en-AU"/>
        </w:rPr>
        <w:t xml:space="preserve">. </w:t>
      </w:r>
      <w:r w:rsidR="00603D57">
        <w:rPr>
          <w:lang w:val="en-AU"/>
        </w:rPr>
        <w:t xml:space="preserve">To </w:t>
      </w:r>
      <w:r>
        <w:rPr>
          <w:lang w:val="en-AU"/>
        </w:rPr>
        <w:t>assist, the European C</w:t>
      </w:r>
      <w:r w:rsidR="00603D57">
        <w:rPr>
          <w:lang w:val="en-AU"/>
        </w:rPr>
        <w:t>hemicals Industry Council (CEFIC) provided a template for sharing of implementation information at the 37</w:t>
      </w:r>
      <w:r w:rsidR="00603D57" w:rsidRPr="00603D57">
        <w:rPr>
          <w:vertAlign w:val="superscript"/>
          <w:lang w:val="en-AU"/>
        </w:rPr>
        <w:t>th</w:t>
      </w:r>
      <w:r w:rsidR="009E2283">
        <w:rPr>
          <w:lang w:val="en-AU"/>
        </w:rPr>
        <w:t xml:space="preserve"> session</w:t>
      </w:r>
      <w:r w:rsidR="00603D57">
        <w:rPr>
          <w:lang w:val="en-AU"/>
        </w:rPr>
        <w:t xml:space="preserve"> in informal document INF.13, and invited</w:t>
      </w:r>
      <w:r>
        <w:rPr>
          <w:lang w:val="en-AU"/>
        </w:rPr>
        <w:t xml:space="preserve"> input from the Sub-Committee.</w:t>
      </w:r>
    </w:p>
    <w:p w14:paraId="41329C83" w14:textId="1A75AD79" w:rsidR="00E92537" w:rsidRPr="009C26BF" w:rsidRDefault="007428A1" w:rsidP="00A655D6">
      <w:pPr>
        <w:pStyle w:val="SingleTxtG"/>
        <w:numPr>
          <w:ilvl w:val="0"/>
          <w:numId w:val="22"/>
        </w:numPr>
        <w:ind w:left="1134" w:firstLine="0"/>
        <w:rPr>
          <w:lang w:val="en-AU"/>
        </w:rPr>
      </w:pPr>
      <w:r w:rsidRPr="009C26BF">
        <w:rPr>
          <w:lang w:val="en-AU"/>
        </w:rPr>
        <w:t xml:space="preserve">This paper provides </w:t>
      </w:r>
      <w:r w:rsidR="005E1AF1">
        <w:rPr>
          <w:lang w:val="en-AU"/>
        </w:rPr>
        <w:t>an</w:t>
      </w:r>
      <w:r w:rsidR="004466E2" w:rsidRPr="009C26BF">
        <w:rPr>
          <w:lang w:val="en-AU"/>
        </w:rPr>
        <w:t xml:space="preserve"> update</w:t>
      </w:r>
      <w:r w:rsidR="005E1AF1">
        <w:rPr>
          <w:lang w:val="en-AU"/>
        </w:rPr>
        <w:t xml:space="preserve"> on Australia’s planned adoption of the seventh revised edition of the GHS</w:t>
      </w:r>
      <w:r w:rsidR="00493A81">
        <w:rPr>
          <w:lang w:val="en-AU"/>
        </w:rPr>
        <w:t>. It also</w:t>
      </w:r>
      <w:r w:rsidR="00B52E13">
        <w:rPr>
          <w:lang w:val="en-AU"/>
        </w:rPr>
        <w:t xml:space="preserve"> seeks </w:t>
      </w:r>
      <w:r w:rsidR="006D4B44">
        <w:rPr>
          <w:lang w:val="en-AU"/>
        </w:rPr>
        <w:t>an update</w:t>
      </w:r>
      <w:r w:rsidR="00AC5F1B">
        <w:rPr>
          <w:lang w:val="en-AU"/>
        </w:rPr>
        <w:t xml:space="preserve"> from other experts</w:t>
      </w:r>
      <w:r w:rsidR="00B52E13">
        <w:rPr>
          <w:lang w:val="en-AU"/>
        </w:rPr>
        <w:t xml:space="preserve"> on intended implementation timeframes of </w:t>
      </w:r>
      <w:r w:rsidR="001B5F6F">
        <w:rPr>
          <w:lang w:val="en-AU"/>
        </w:rPr>
        <w:t xml:space="preserve">the seventh </w:t>
      </w:r>
      <w:r w:rsidR="00B52E13">
        <w:rPr>
          <w:lang w:val="en-AU"/>
        </w:rPr>
        <w:t>revised edition of the GHS internationally</w:t>
      </w:r>
      <w:r w:rsidR="00503ADB">
        <w:rPr>
          <w:lang w:val="en-AU"/>
        </w:rPr>
        <w:t xml:space="preserve"> to ensure a co-ordinated approach </w:t>
      </w:r>
      <w:r w:rsidR="001D5656">
        <w:rPr>
          <w:lang w:val="en-AU"/>
        </w:rPr>
        <w:t xml:space="preserve">is taken </w:t>
      </w:r>
      <w:r w:rsidR="00503ADB">
        <w:rPr>
          <w:lang w:val="en-AU"/>
        </w:rPr>
        <w:t>to implementation</w:t>
      </w:r>
      <w:r w:rsidR="00603D57">
        <w:rPr>
          <w:lang w:val="en-AU"/>
        </w:rPr>
        <w:t>.</w:t>
      </w:r>
      <w:r w:rsidR="00E92537" w:rsidRPr="009C26BF">
        <w:rPr>
          <w:lang w:val="en-AU"/>
        </w:rPr>
        <w:t xml:space="preserve"> </w:t>
      </w:r>
    </w:p>
    <w:p w14:paraId="4DAB2EB2" w14:textId="77777777" w:rsidR="00574716" w:rsidRPr="009C26BF" w:rsidRDefault="00574716" w:rsidP="00574716">
      <w:pPr>
        <w:pStyle w:val="HChG"/>
        <w:ind w:firstLine="0"/>
        <w:rPr>
          <w:lang w:val="en-AU"/>
        </w:rPr>
      </w:pPr>
      <w:r w:rsidRPr="009C26BF">
        <w:rPr>
          <w:lang w:val="en-AU"/>
        </w:rPr>
        <w:t>Background</w:t>
      </w:r>
    </w:p>
    <w:p w14:paraId="0FD0D712" w14:textId="6682A142" w:rsidR="001D5656" w:rsidRDefault="003C2DAB" w:rsidP="00397AE7">
      <w:pPr>
        <w:pStyle w:val="SingleTxtG"/>
        <w:numPr>
          <w:ilvl w:val="0"/>
          <w:numId w:val="22"/>
        </w:numPr>
        <w:ind w:left="1134" w:firstLine="0"/>
        <w:rPr>
          <w:lang w:val="en-AU"/>
        </w:rPr>
      </w:pPr>
      <w:r w:rsidRPr="001D5656">
        <w:rPr>
          <w:lang w:val="en-AU"/>
        </w:rPr>
        <w:t xml:space="preserve">In Australia, the GHS </w:t>
      </w:r>
      <w:r w:rsidR="00A655D6" w:rsidRPr="001D5656">
        <w:rPr>
          <w:lang w:val="en-AU"/>
        </w:rPr>
        <w:t xml:space="preserve">is given effect through </w:t>
      </w:r>
      <w:r w:rsidR="00580A0F" w:rsidRPr="001D5656">
        <w:rPr>
          <w:lang w:val="en-AU"/>
        </w:rPr>
        <w:t xml:space="preserve">model </w:t>
      </w:r>
      <w:r w:rsidRPr="001D5656">
        <w:rPr>
          <w:lang w:val="en-AU"/>
        </w:rPr>
        <w:t>work health and safety (WHS) laws</w:t>
      </w:r>
      <w:r w:rsidR="00F653C4">
        <w:rPr>
          <w:lang w:val="en-AU"/>
        </w:rPr>
        <w:t xml:space="preserve"> which set out obligations to </w:t>
      </w:r>
      <w:r w:rsidR="00B85A48" w:rsidRPr="001D5656">
        <w:rPr>
          <w:lang w:val="en-AU"/>
        </w:rPr>
        <w:t xml:space="preserve">classify and label </w:t>
      </w:r>
      <w:r w:rsidR="00F653C4">
        <w:rPr>
          <w:lang w:val="en-AU"/>
        </w:rPr>
        <w:t xml:space="preserve">workplace hazardous chemicals </w:t>
      </w:r>
      <w:r w:rsidR="00B85A48" w:rsidRPr="001D5656">
        <w:rPr>
          <w:lang w:val="en-AU"/>
        </w:rPr>
        <w:t xml:space="preserve">in accordance with the third revised edition of the GHS. </w:t>
      </w:r>
    </w:p>
    <w:p w14:paraId="5D9E5C4B" w14:textId="71C88687" w:rsidR="00B63C8B" w:rsidRPr="001D5656" w:rsidRDefault="008628F4" w:rsidP="00397AE7">
      <w:pPr>
        <w:pStyle w:val="SingleTxtG"/>
        <w:numPr>
          <w:ilvl w:val="0"/>
          <w:numId w:val="22"/>
        </w:numPr>
        <w:ind w:left="1134" w:firstLine="0"/>
        <w:rPr>
          <w:lang w:val="en-AU"/>
        </w:rPr>
      </w:pPr>
      <w:r w:rsidRPr="001D5656">
        <w:rPr>
          <w:lang w:val="en-AU"/>
        </w:rPr>
        <w:t xml:space="preserve">Upon </w:t>
      </w:r>
      <w:r>
        <w:rPr>
          <w:lang w:val="en-AU"/>
        </w:rPr>
        <w:t>implementation</w:t>
      </w:r>
      <w:r w:rsidR="00AC5F1B">
        <w:rPr>
          <w:lang w:val="en-AU"/>
        </w:rPr>
        <w:t xml:space="preserve"> </w:t>
      </w:r>
      <w:r w:rsidR="00580A0F" w:rsidRPr="001D5656">
        <w:rPr>
          <w:lang w:val="en-AU"/>
        </w:rPr>
        <w:t xml:space="preserve">of </w:t>
      </w:r>
      <w:r w:rsidR="00B85A48" w:rsidRPr="001D5656">
        <w:rPr>
          <w:lang w:val="en-AU"/>
        </w:rPr>
        <w:t>the model WHS law</w:t>
      </w:r>
      <w:r w:rsidR="00A655D6" w:rsidRPr="001D5656">
        <w:rPr>
          <w:lang w:val="en-AU"/>
        </w:rPr>
        <w:t>s</w:t>
      </w:r>
      <w:r w:rsidR="006C306A">
        <w:rPr>
          <w:lang w:val="en-AU"/>
        </w:rPr>
        <w:t xml:space="preserve"> in 2012</w:t>
      </w:r>
      <w:r w:rsidR="00B85A48" w:rsidRPr="001D5656">
        <w:rPr>
          <w:lang w:val="en-AU"/>
        </w:rPr>
        <w:t xml:space="preserve">, </w:t>
      </w:r>
      <w:r w:rsidR="000F54C0" w:rsidRPr="001D5656">
        <w:rPr>
          <w:lang w:val="en-AU"/>
        </w:rPr>
        <w:t>a</w:t>
      </w:r>
      <w:r w:rsidR="00903038" w:rsidRPr="001D5656">
        <w:rPr>
          <w:lang w:val="en-AU"/>
        </w:rPr>
        <w:t xml:space="preserve"> </w:t>
      </w:r>
      <w:r w:rsidR="00402488" w:rsidRPr="001D5656">
        <w:rPr>
          <w:lang w:val="en-AU"/>
        </w:rPr>
        <w:t xml:space="preserve">five-year </w:t>
      </w:r>
      <w:r w:rsidR="000F54C0" w:rsidRPr="001D5656">
        <w:rPr>
          <w:lang w:val="en-AU"/>
        </w:rPr>
        <w:t>transition</w:t>
      </w:r>
      <w:r w:rsidR="00AC5F1B">
        <w:rPr>
          <w:lang w:val="en-AU"/>
        </w:rPr>
        <w:t>al</w:t>
      </w:r>
      <w:r w:rsidR="000F54C0" w:rsidRPr="001D5656">
        <w:rPr>
          <w:lang w:val="en-AU"/>
        </w:rPr>
        <w:t xml:space="preserve"> period</w:t>
      </w:r>
      <w:r w:rsidR="00F902D7" w:rsidRPr="001D5656">
        <w:rPr>
          <w:lang w:val="en-AU"/>
        </w:rPr>
        <w:t xml:space="preserve"> was</w:t>
      </w:r>
      <w:r w:rsidR="006C306A">
        <w:rPr>
          <w:lang w:val="en-AU"/>
        </w:rPr>
        <w:t xml:space="preserve"> allowed</w:t>
      </w:r>
      <w:r w:rsidR="00F902D7" w:rsidRPr="001D5656">
        <w:rPr>
          <w:lang w:val="en-AU"/>
        </w:rPr>
        <w:t xml:space="preserve"> </w:t>
      </w:r>
      <w:r w:rsidR="00903038" w:rsidRPr="001D5656">
        <w:rPr>
          <w:lang w:val="en-AU"/>
        </w:rPr>
        <w:t xml:space="preserve">for </w:t>
      </w:r>
      <w:r w:rsidR="00580A0F" w:rsidRPr="001D5656">
        <w:rPr>
          <w:lang w:val="en-AU"/>
        </w:rPr>
        <w:t xml:space="preserve">chemical classification and labelling </w:t>
      </w:r>
      <w:r w:rsidR="00903038" w:rsidRPr="001D5656">
        <w:rPr>
          <w:lang w:val="en-AU"/>
        </w:rPr>
        <w:t>obligations relating to the GHS</w:t>
      </w:r>
      <w:r w:rsidR="00F902D7" w:rsidRPr="001D5656">
        <w:rPr>
          <w:lang w:val="en-AU"/>
        </w:rPr>
        <w:t>. The transition period ended on 31 December 2</w:t>
      </w:r>
      <w:r w:rsidR="009E2283">
        <w:rPr>
          <w:lang w:val="en-AU"/>
        </w:rPr>
        <w:t>016.</w:t>
      </w:r>
    </w:p>
    <w:p w14:paraId="5015E0F8" w14:textId="7B3327FA" w:rsidR="008B0F0F" w:rsidRDefault="008B0F0F" w:rsidP="002626E5">
      <w:pPr>
        <w:pStyle w:val="SingleTxtG"/>
        <w:numPr>
          <w:ilvl w:val="0"/>
          <w:numId w:val="22"/>
        </w:numPr>
        <w:ind w:left="1134" w:firstLine="0"/>
        <w:rPr>
          <w:lang w:val="en-AU"/>
        </w:rPr>
      </w:pPr>
      <w:r>
        <w:rPr>
          <w:lang w:val="en-AU"/>
        </w:rPr>
        <w:t xml:space="preserve">Implementation of the GHS </w:t>
      </w:r>
      <w:r w:rsidR="00BB7596">
        <w:rPr>
          <w:lang w:val="en-AU"/>
        </w:rPr>
        <w:t xml:space="preserve">through the model WHS laws </w:t>
      </w:r>
      <w:r w:rsidR="00EA3179">
        <w:rPr>
          <w:lang w:val="en-AU"/>
        </w:rPr>
        <w:t>is</w:t>
      </w:r>
      <w:r>
        <w:rPr>
          <w:lang w:val="en-AU"/>
        </w:rPr>
        <w:t xml:space="preserve"> limited to </w:t>
      </w:r>
      <w:r w:rsidR="00E311FE">
        <w:rPr>
          <w:lang w:val="en-AU"/>
        </w:rPr>
        <w:t xml:space="preserve">classification and labelling for </w:t>
      </w:r>
      <w:r w:rsidR="002C29B4">
        <w:rPr>
          <w:lang w:val="en-AU"/>
        </w:rPr>
        <w:t xml:space="preserve">physical and </w:t>
      </w:r>
      <w:r>
        <w:rPr>
          <w:lang w:val="en-AU"/>
        </w:rPr>
        <w:t xml:space="preserve">human health hazards for chemicals used in the workplace. Classification and labelling of chemicals for environmental hazards </w:t>
      </w:r>
      <w:r w:rsidR="00BB7596">
        <w:rPr>
          <w:lang w:val="en-AU"/>
        </w:rPr>
        <w:t xml:space="preserve">in accordance with </w:t>
      </w:r>
      <w:r>
        <w:rPr>
          <w:lang w:val="en-AU"/>
        </w:rPr>
        <w:t xml:space="preserve">the GHS is </w:t>
      </w:r>
      <w:r w:rsidR="00EA3179">
        <w:rPr>
          <w:lang w:val="en-AU"/>
        </w:rPr>
        <w:t xml:space="preserve">currently </w:t>
      </w:r>
      <w:r>
        <w:rPr>
          <w:lang w:val="en-AU"/>
        </w:rPr>
        <w:t>not required in Australia.</w:t>
      </w:r>
      <w:r w:rsidR="002C29B4">
        <w:rPr>
          <w:lang w:val="en-AU"/>
        </w:rPr>
        <w:t xml:space="preserve"> Separate labelling requirements apply for</w:t>
      </w:r>
      <w:r w:rsidR="001D5656">
        <w:rPr>
          <w:lang w:val="en-AU"/>
        </w:rPr>
        <w:t xml:space="preserve"> </w:t>
      </w:r>
      <w:r w:rsidR="002C29B4">
        <w:rPr>
          <w:lang w:val="en-AU"/>
        </w:rPr>
        <w:t xml:space="preserve">consumer </w:t>
      </w:r>
      <w:r w:rsidR="009B29C8">
        <w:rPr>
          <w:lang w:val="en-AU"/>
        </w:rPr>
        <w:t>products</w:t>
      </w:r>
      <w:r w:rsidR="002C29B4">
        <w:rPr>
          <w:lang w:val="en-AU"/>
        </w:rPr>
        <w:t xml:space="preserve">, and some exemptions </w:t>
      </w:r>
      <w:r w:rsidR="00BB7596">
        <w:rPr>
          <w:lang w:val="en-AU"/>
        </w:rPr>
        <w:t xml:space="preserve">to the GHS requirements </w:t>
      </w:r>
      <w:r w:rsidR="002C29B4">
        <w:rPr>
          <w:lang w:val="en-AU"/>
        </w:rPr>
        <w:t>apply for agricultural and veterinary chemicals.</w:t>
      </w:r>
    </w:p>
    <w:p w14:paraId="726472FE" w14:textId="3809531A" w:rsidR="004835EB" w:rsidRDefault="00B52E13" w:rsidP="004835EB">
      <w:pPr>
        <w:pStyle w:val="HChG"/>
        <w:ind w:firstLine="0"/>
        <w:rPr>
          <w:lang w:val="en-AU"/>
        </w:rPr>
      </w:pPr>
      <w:r>
        <w:rPr>
          <w:lang w:val="en-AU"/>
        </w:rPr>
        <w:lastRenderedPageBreak/>
        <w:t xml:space="preserve">Implementation of GHS, </w:t>
      </w:r>
      <w:r w:rsidR="009606D7">
        <w:rPr>
          <w:lang w:val="en-AU"/>
        </w:rPr>
        <w:t>seventh</w:t>
      </w:r>
      <w:r>
        <w:rPr>
          <w:lang w:val="en-AU"/>
        </w:rPr>
        <w:t xml:space="preserve"> revised edition</w:t>
      </w:r>
    </w:p>
    <w:p w14:paraId="263AC25F" w14:textId="63D50EAF" w:rsidR="00C52020" w:rsidRDefault="00935CE9" w:rsidP="00935CE9">
      <w:pPr>
        <w:pStyle w:val="SingleTxtG"/>
        <w:numPr>
          <w:ilvl w:val="0"/>
          <w:numId w:val="22"/>
        </w:numPr>
        <w:ind w:left="1134" w:firstLine="0"/>
        <w:rPr>
          <w:lang w:val="en-AU"/>
        </w:rPr>
      </w:pPr>
      <w:r>
        <w:rPr>
          <w:lang w:val="en-AU"/>
        </w:rPr>
        <w:t>Safe Work Australia</w:t>
      </w:r>
      <w:r w:rsidR="00510B08">
        <w:rPr>
          <w:lang w:val="en-AU"/>
        </w:rPr>
        <w:t xml:space="preserve"> is</w:t>
      </w:r>
      <w:r w:rsidR="00C77386">
        <w:rPr>
          <w:lang w:val="en-AU"/>
        </w:rPr>
        <w:t xml:space="preserve"> </w:t>
      </w:r>
      <w:r w:rsidR="006C306A">
        <w:rPr>
          <w:lang w:val="en-AU"/>
        </w:rPr>
        <w:t xml:space="preserve">working towards </w:t>
      </w:r>
      <w:r w:rsidR="004F2B21">
        <w:rPr>
          <w:lang w:val="en-AU"/>
        </w:rPr>
        <w:t>amendments to</w:t>
      </w:r>
      <w:r w:rsidR="00C22BC3">
        <w:rPr>
          <w:lang w:val="en-AU"/>
        </w:rPr>
        <w:t xml:space="preserve"> the model WHS laws </w:t>
      </w:r>
      <w:r w:rsidR="00510B08">
        <w:rPr>
          <w:lang w:val="en-AU"/>
        </w:rPr>
        <w:t xml:space="preserve">to adopt the seventh revised </w:t>
      </w:r>
      <w:r w:rsidR="00C22BC3">
        <w:rPr>
          <w:lang w:val="en-AU"/>
        </w:rPr>
        <w:t>edition of the GHS</w:t>
      </w:r>
      <w:r w:rsidR="00E706A0">
        <w:rPr>
          <w:lang w:val="en-AU"/>
        </w:rPr>
        <w:t>.</w:t>
      </w:r>
      <w:r w:rsidR="00C52020">
        <w:rPr>
          <w:lang w:val="en-AU"/>
        </w:rPr>
        <w:t xml:space="preserve"> </w:t>
      </w:r>
    </w:p>
    <w:p w14:paraId="75A747A8" w14:textId="4B443024" w:rsidR="00E706A0" w:rsidRDefault="00C93962" w:rsidP="00C93962">
      <w:pPr>
        <w:pStyle w:val="SingleTxtG"/>
        <w:rPr>
          <w:lang w:val="en-AU"/>
        </w:rPr>
      </w:pPr>
      <w:r>
        <w:rPr>
          <w:lang w:val="en-AU"/>
        </w:rPr>
        <w:t>9.</w:t>
      </w:r>
      <w:r>
        <w:rPr>
          <w:lang w:val="en-AU"/>
        </w:rPr>
        <w:tab/>
      </w:r>
      <w:r w:rsidR="00C52020">
        <w:rPr>
          <w:lang w:val="en-AU"/>
        </w:rPr>
        <w:t>This follows the advice received at the thirty-fifth</w:t>
      </w:r>
      <w:r w:rsidR="00C52020" w:rsidRPr="009C26BF">
        <w:rPr>
          <w:lang w:val="en-AU"/>
        </w:rPr>
        <w:t xml:space="preserve"> session of the Sub-Committee</w:t>
      </w:r>
      <w:r w:rsidR="00C52020">
        <w:rPr>
          <w:lang w:val="en-AU"/>
        </w:rPr>
        <w:t xml:space="preserve"> (ST/SG/AC.10/C.4/70) which indicated other countries are moving directly to the seventh revised edition of the GHS in the coming years.</w:t>
      </w:r>
    </w:p>
    <w:p w14:paraId="5C9F25C7" w14:textId="4CE912C0" w:rsidR="00C22BC3" w:rsidRDefault="00C93962" w:rsidP="00C93962">
      <w:pPr>
        <w:pStyle w:val="SingleTxtG"/>
        <w:rPr>
          <w:lang w:val="en-AU"/>
        </w:rPr>
      </w:pPr>
      <w:r>
        <w:rPr>
          <w:lang w:val="en-AU"/>
        </w:rPr>
        <w:tab/>
        <w:t>10.</w:t>
      </w:r>
      <w:r>
        <w:rPr>
          <w:lang w:val="en-AU"/>
        </w:rPr>
        <w:tab/>
      </w:r>
      <w:r w:rsidR="005138C0">
        <w:rPr>
          <w:lang w:val="en-AU"/>
        </w:rPr>
        <w:t>In line with Australian government requirements</w:t>
      </w:r>
      <w:r w:rsidR="00580A0F">
        <w:rPr>
          <w:lang w:val="en-AU"/>
        </w:rPr>
        <w:t xml:space="preserve"> for proposed regulatory changes</w:t>
      </w:r>
      <w:r w:rsidR="005138C0">
        <w:rPr>
          <w:lang w:val="en-AU"/>
        </w:rPr>
        <w:t xml:space="preserve">, </w:t>
      </w:r>
      <w:r w:rsidR="003E40AD">
        <w:rPr>
          <w:lang w:val="en-AU"/>
        </w:rPr>
        <w:t xml:space="preserve">the potential </w:t>
      </w:r>
      <w:r w:rsidR="00083169">
        <w:rPr>
          <w:lang w:val="en-AU"/>
        </w:rPr>
        <w:t>impact</w:t>
      </w:r>
      <w:r w:rsidR="003E40AD">
        <w:rPr>
          <w:lang w:val="en-AU"/>
        </w:rPr>
        <w:t>s</w:t>
      </w:r>
      <w:r w:rsidR="005138C0">
        <w:rPr>
          <w:lang w:val="en-AU"/>
        </w:rPr>
        <w:t xml:space="preserve"> of </w:t>
      </w:r>
      <w:r w:rsidR="00083169">
        <w:rPr>
          <w:lang w:val="en-AU"/>
        </w:rPr>
        <w:t>moving to the seventh revised edition of the GHS</w:t>
      </w:r>
      <w:r w:rsidR="00510B08">
        <w:rPr>
          <w:lang w:val="en-AU"/>
        </w:rPr>
        <w:t xml:space="preserve"> </w:t>
      </w:r>
      <w:r w:rsidR="00CE66CE">
        <w:rPr>
          <w:lang w:val="en-AU"/>
        </w:rPr>
        <w:t>have been</w:t>
      </w:r>
      <w:r w:rsidR="00510B08">
        <w:rPr>
          <w:lang w:val="en-AU"/>
        </w:rPr>
        <w:t xml:space="preserve"> considered, including impacts </w:t>
      </w:r>
      <w:r w:rsidR="00131ECB">
        <w:rPr>
          <w:lang w:val="en-AU"/>
        </w:rPr>
        <w:t>on international</w:t>
      </w:r>
      <w:r w:rsidR="00510B08">
        <w:rPr>
          <w:lang w:val="en-AU"/>
        </w:rPr>
        <w:t xml:space="preserve"> trade</w:t>
      </w:r>
      <w:r w:rsidR="000C73DD">
        <w:rPr>
          <w:lang w:val="en-AU"/>
        </w:rPr>
        <w:t>.</w:t>
      </w:r>
      <w:r w:rsidR="00510B08">
        <w:rPr>
          <w:lang w:val="en-AU"/>
        </w:rPr>
        <w:t xml:space="preserve"> </w:t>
      </w:r>
      <w:r w:rsidR="00C22BC3">
        <w:rPr>
          <w:lang w:val="en-AU"/>
        </w:rPr>
        <w:t xml:space="preserve">As </w:t>
      </w:r>
      <w:r w:rsidR="00FE2B81">
        <w:rPr>
          <w:lang w:val="en-AU"/>
        </w:rPr>
        <w:t>a cost</w:t>
      </w:r>
      <w:r w:rsidR="00083169">
        <w:rPr>
          <w:lang w:val="en-AU"/>
        </w:rPr>
        <w:t xml:space="preserve"> benefit</w:t>
      </w:r>
      <w:r w:rsidR="00FE2B81">
        <w:rPr>
          <w:lang w:val="en-AU"/>
        </w:rPr>
        <w:t xml:space="preserve"> analysis</w:t>
      </w:r>
      <w:r w:rsidR="00083169">
        <w:rPr>
          <w:lang w:val="en-AU"/>
        </w:rPr>
        <w:t xml:space="preserve"> </w:t>
      </w:r>
      <w:r w:rsidR="00660AD1">
        <w:rPr>
          <w:lang w:val="en-AU"/>
        </w:rPr>
        <w:t>on</w:t>
      </w:r>
      <w:r w:rsidR="00083169">
        <w:rPr>
          <w:lang w:val="en-AU"/>
        </w:rPr>
        <w:t xml:space="preserve"> adopting </w:t>
      </w:r>
      <w:r w:rsidR="00C22BC3">
        <w:rPr>
          <w:lang w:val="en-AU"/>
        </w:rPr>
        <w:t>the GHS framework</w:t>
      </w:r>
      <w:r w:rsidR="00083169">
        <w:rPr>
          <w:lang w:val="en-AU"/>
        </w:rPr>
        <w:t xml:space="preserve"> in Australia</w:t>
      </w:r>
      <w:r w:rsidR="00083169" w:rsidRPr="00083169">
        <w:rPr>
          <w:lang w:val="en-AU"/>
        </w:rPr>
        <w:t xml:space="preserve"> </w:t>
      </w:r>
      <w:r w:rsidR="00FE2B81">
        <w:rPr>
          <w:lang w:val="en-AU"/>
        </w:rPr>
        <w:t>was carried out</w:t>
      </w:r>
      <w:r w:rsidR="00083169">
        <w:rPr>
          <w:lang w:val="en-AU"/>
        </w:rPr>
        <w:t xml:space="preserve"> in 2009</w:t>
      </w:r>
      <w:r w:rsidR="00C22BC3">
        <w:rPr>
          <w:lang w:val="en-AU"/>
        </w:rPr>
        <w:t xml:space="preserve">, </w:t>
      </w:r>
      <w:r w:rsidR="001B1A5E">
        <w:rPr>
          <w:lang w:val="en-AU"/>
        </w:rPr>
        <w:t xml:space="preserve">it was determined that </w:t>
      </w:r>
      <w:r w:rsidR="00C22BC3">
        <w:rPr>
          <w:lang w:val="en-AU"/>
        </w:rPr>
        <w:t>additional analysis for adopting the seventh revised edition of the GHS was not required.</w:t>
      </w:r>
      <w:r w:rsidR="007E0D6C">
        <w:rPr>
          <w:lang w:val="en-AU"/>
        </w:rPr>
        <w:t xml:space="preserve"> </w:t>
      </w:r>
    </w:p>
    <w:p w14:paraId="049D680B" w14:textId="1ECD29D0" w:rsidR="00A27DFF" w:rsidRDefault="00C93962" w:rsidP="00C93962">
      <w:pPr>
        <w:pStyle w:val="SingleTxtG"/>
        <w:rPr>
          <w:lang w:val="en-AU"/>
        </w:rPr>
      </w:pPr>
      <w:r>
        <w:rPr>
          <w:lang w:val="en-AU"/>
        </w:rPr>
        <w:tab/>
        <w:t>11.</w:t>
      </w:r>
      <w:r>
        <w:rPr>
          <w:lang w:val="en-AU"/>
        </w:rPr>
        <w:tab/>
      </w:r>
      <w:r w:rsidR="00A27DFF">
        <w:rPr>
          <w:lang w:val="en-AU"/>
        </w:rPr>
        <w:t xml:space="preserve">An important factor in making this determination is that the ongoing benefits of international consistency are only fully realised if Australia’s implementation of the GHS remains </w:t>
      </w:r>
      <w:r w:rsidR="00A27DFF" w:rsidRPr="00C22BC3">
        <w:rPr>
          <w:lang w:val="en-AU"/>
        </w:rPr>
        <w:t>co</w:t>
      </w:r>
      <w:r w:rsidR="00A27DFF">
        <w:rPr>
          <w:lang w:val="en-AU"/>
        </w:rPr>
        <w:t xml:space="preserve">nsistent with its economic trading partners, and that industry has </w:t>
      </w:r>
      <w:proofErr w:type="gramStart"/>
      <w:r w:rsidR="00A27DFF">
        <w:rPr>
          <w:lang w:val="en-AU"/>
        </w:rPr>
        <w:t>sufficient</w:t>
      </w:r>
      <w:proofErr w:type="gramEnd"/>
      <w:r w:rsidR="00A27DFF">
        <w:rPr>
          <w:lang w:val="en-AU"/>
        </w:rPr>
        <w:t xml:space="preserve"> time to transition to the new arrangements. </w:t>
      </w:r>
    </w:p>
    <w:p w14:paraId="48AECDC9" w14:textId="4CB02C31" w:rsidR="009C7F7E" w:rsidRPr="00C22BC3" w:rsidRDefault="00C93962" w:rsidP="00C93962">
      <w:pPr>
        <w:pStyle w:val="SingleTxtG"/>
        <w:rPr>
          <w:lang w:val="en-AU"/>
        </w:rPr>
      </w:pPr>
      <w:r>
        <w:rPr>
          <w:lang w:val="en-AU"/>
        </w:rPr>
        <w:tab/>
        <w:t>12.</w:t>
      </w:r>
      <w:r>
        <w:rPr>
          <w:lang w:val="en-AU"/>
        </w:rPr>
        <w:tab/>
      </w:r>
      <w:r w:rsidR="00CA794A">
        <w:rPr>
          <w:lang w:val="en-AU"/>
        </w:rPr>
        <w:t>E</w:t>
      </w:r>
      <w:r w:rsidR="009C7F7E" w:rsidRPr="00F44004">
        <w:rPr>
          <w:lang w:val="en-AU"/>
        </w:rPr>
        <w:t>xtensive consultation with the Australian che</w:t>
      </w:r>
      <w:r w:rsidR="00F364EF">
        <w:rPr>
          <w:lang w:val="en-AU"/>
        </w:rPr>
        <w:t>micals industry</w:t>
      </w:r>
      <w:r w:rsidR="00397AE7">
        <w:rPr>
          <w:lang w:val="en-AU"/>
        </w:rPr>
        <w:t xml:space="preserve"> has been conducted </w:t>
      </w:r>
      <w:r w:rsidR="00CA794A">
        <w:rPr>
          <w:lang w:val="en-AU"/>
        </w:rPr>
        <w:t>over the last 12</w:t>
      </w:r>
      <w:r w:rsidR="009C7F7E" w:rsidRPr="00F44004">
        <w:rPr>
          <w:lang w:val="en-AU"/>
        </w:rPr>
        <w:t xml:space="preserve"> months to </w:t>
      </w:r>
      <w:r w:rsidR="003C2A08">
        <w:rPr>
          <w:lang w:val="en-AU"/>
        </w:rPr>
        <w:t>provide information on</w:t>
      </w:r>
      <w:r w:rsidR="009C7F7E" w:rsidRPr="00F44004">
        <w:rPr>
          <w:lang w:val="en-AU"/>
        </w:rPr>
        <w:t xml:space="preserve"> the changes between the third and seventh revised editions of the GHS and to seek feedback on optimal transition</w:t>
      </w:r>
      <w:r w:rsidR="006C306A">
        <w:rPr>
          <w:lang w:val="en-AU"/>
        </w:rPr>
        <w:t>al</w:t>
      </w:r>
      <w:r w:rsidR="009C7F7E" w:rsidRPr="00F44004">
        <w:rPr>
          <w:lang w:val="en-AU"/>
        </w:rPr>
        <w:t xml:space="preserve"> arrangements.</w:t>
      </w:r>
    </w:p>
    <w:p w14:paraId="2643D257" w14:textId="3BF0B8F1" w:rsidR="00C22BC3" w:rsidRDefault="00C93962" w:rsidP="00C93962">
      <w:pPr>
        <w:pStyle w:val="SingleTxtG"/>
        <w:rPr>
          <w:lang w:val="en-AU"/>
        </w:rPr>
      </w:pPr>
      <w:r>
        <w:rPr>
          <w:lang w:val="en-AU"/>
        </w:rPr>
        <w:tab/>
        <w:t>13.</w:t>
      </w:r>
      <w:r>
        <w:rPr>
          <w:lang w:val="en-AU"/>
        </w:rPr>
        <w:tab/>
      </w:r>
      <w:r w:rsidR="009C7F7E">
        <w:rPr>
          <w:lang w:val="en-AU"/>
        </w:rPr>
        <w:t>T</w:t>
      </w:r>
      <w:r w:rsidR="00C22BC3" w:rsidRPr="00C22BC3">
        <w:rPr>
          <w:lang w:val="en-AU"/>
        </w:rPr>
        <w:t xml:space="preserve">here is considerable support from industry to adopt </w:t>
      </w:r>
      <w:r w:rsidR="009C7F7E">
        <w:rPr>
          <w:lang w:val="en-AU"/>
        </w:rPr>
        <w:t>the seventh revised edition of the</w:t>
      </w:r>
      <w:r w:rsidR="00C22BC3" w:rsidRPr="00C22BC3">
        <w:rPr>
          <w:lang w:val="en-AU"/>
        </w:rPr>
        <w:t xml:space="preserve"> GHS, in the interests of consistency with international economies and trading partners.</w:t>
      </w:r>
    </w:p>
    <w:p w14:paraId="76842B12" w14:textId="64AC9CD2" w:rsidR="00EE2ECD" w:rsidRDefault="00C93962" w:rsidP="00C93962">
      <w:pPr>
        <w:pStyle w:val="SingleTxtG"/>
        <w:rPr>
          <w:lang w:val="en-AU"/>
        </w:rPr>
      </w:pPr>
      <w:r>
        <w:rPr>
          <w:lang w:val="en-AU"/>
        </w:rPr>
        <w:tab/>
        <w:t>14.</w:t>
      </w:r>
      <w:r>
        <w:rPr>
          <w:lang w:val="en-AU"/>
        </w:rPr>
        <w:tab/>
      </w:r>
      <w:r w:rsidR="00CA794A">
        <w:rPr>
          <w:lang w:val="en-AU"/>
        </w:rPr>
        <w:t>V</w:t>
      </w:r>
      <w:r w:rsidR="00C22BC3">
        <w:rPr>
          <w:lang w:val="en-AU"/>
        </w:rPr>
        <w:t>arious transition</w:t>
      </w:r>
      <w:r w:rsidR="00CA794A">
        <w:rPr>
          <w:lang w:val="en-AU"/>
        </w:rPr>
        <w:t>al</w:t>
      </w:r>
      <w:r w:rsidR="00C22BC3">
        <w:rPr>
          <w:lang w:val="en-AU"/>
        </w:rPr>
        <w:t xml:space="preserve"> models</w:t>
      </w:r>
      <w:r w:rsidR="009C7F7E">
        <w:rPr>
          <w:lang w:val="en-AU"/>
        </w:rPr>
        <w:t xml:space="preserve"> to facilitate</w:t>
      </w:r>
      <w:r w:rsidR="009B77DA">
        <w:rPr>
          <w:lang w:val="en-AU"/>
        </w:rPr>
        <w:t xml:space="preserve"> the update</w:t>
      </w:r>
      <w:r w:rsidR="00F364EF">
        <w:rPr>
          <w:lang w:val="en-AU"/>
        </w:rPr>
        <w:t xml:space="preserve"> to the seventh revised edition of the GHS</w:t>
      </w:r>
      <w:r w:rsidR="00CA794A">
        <w:rPr>
          <w:lang w:val="en-AU"/>
        </w:rPr>
        <w:t xml:space="preserve"> are being considered</w:t>
      </w:r>
      <w:r w:rsidR="0001719E">
        <w:rPr>
          <w:lang w:val="en-AU"/>
        </w:rPr>
        <w:t>.</w:t>
      </w:r>
      <w:r w:rsidR="009C7F7E">
        <w:rPr>
          <w:lang w:val="en-AU"/>
        </w:rPr>
        <w:t xml:space="preserve"> </w:t>
      </w:r>
      <w:r w:rsidR="006C306A">
        <w:rPr>
          <w:lang w:val="en-AU"/>
        </w:rPr>
        <w:t>Subject to the necessary regulations being in place, i</w:t>
      </w:r>
      <w:r w:rsidR="009C7F7E">
        <w:rPr>
          <w:lang w:val="en-AU"/>
        </w:rPr>
        <w:t xml:space="preserve">t is </w:t>
      </w:r>
      <w:r w:rsidR="006C306A">
        <w:rPr>
          <w:lang w:val="en-AU"/>
        </w:rPr>
        <w:t>anticipated Australia’s</w:t>
      </w:r>
      <w:r w:rsidR="009B6D03">
        <w:rPr>
          <w:lang w:val="en-AU"/>
        </w:rPr>
        <w:t xml:space="preserve"> transition </w:t>
      </w:r>
      <w:r w:rsidR="00A27DFF">
        <w:rPr>
          <w:lang w:val="en-AU"/>
        </w:rPr>
        <w:t>will commence from mid-2020</w:t>
      </w:r>
      <w:r w:rsidR="00CA794A">
        <w:rPr>
          <w:lang w:val="en-AU"/>
        </w:rPr>
        <w:t xml:space="preserve"> to ensure the seventh revised edition is accepted in Australia </w:t>
      </w:r>
      <w:r w:rsidR="0001719E">
        <w:rPr>
          <w:lang w:val="en-AU"/>
        </w:rPr>
        <w:t xml:space="preserve">when </w:t>
      </w:r>
      <w:r w:rsidR="005A7C26">
        <w:rPr>
          <w:lang w:val="en-AU"/>
        </w:rPr>
        <w:t>the EU</w:t>
      </w:r>
      <w:r w:rsidR="006C306A">
        <w:rPr>
          <w:lang w:val="en-AU"/>
        </w:rPr>
        <w:t>’s arrangements come into force</w:t>
      </w:r>
      <w:r w:rsidR="005A7C26">
        <w:rPr>
          <w:lang w:val="en-AU"/>
        </w:rPr>
        <w:t xml:space="preserve"> </w:t>
      </w:r>
      <w:r w:rsidR="00CA794A">
        <w:rPr>
          <w:lang w:val="en-AU"/>
        </w:rPr>
        <w:t>on</w:t>
      </w:r>
      <w:r w:rsidR="009C7F7E">
        <w:rPr>
          <w:lang w:val="en-AU"/>
        </w:rPr>
        <w:t xml:space="preserve"> 17 October 2020. </w:t>
      </w:r>
    </w:p>
    <w:p w14:paraId="39C66F42" w14:textId="3C9DE4EF" w:rsidR="0067675B" w:rsidRDefault="00C93962" w:rsidP="00C93962">
      <w:pPr>
        <w:pStyle w:val="SingleTxtG"/>
        <w:rPr>
          <w:lang w:val="en-AU"/>
        </w:rPr>
      </w:pPr>
      <w:r>
        <w:rPr>
          <w:lang w:val="en-AU"/>
        </w:rPr>
        <w:tab/>
        <w:t>15.</w:t>
      </w:r>
      <w:r>
        <w:rPr>
          <w:lang w:val="en-AU"/>
        </w:rPr>
        <w:tab/>
      </w:r>
      <w:r w:rsidR="005A7C26">
        <w:rPr>
          <w:lang w:val="en-AU"/>
        </w:rPr>
        <w:t xml:space="preserve">From the start of the transitional period, </w:t>
      </w:r>
      <w:r w:rsidR="009C4BDE">
        <w:rPr>
          <w:lang w:val="en-AU"/>
        </w:rPr>
        <w:t xml:space="preserve">it is proposed that </w:t>
      </w:r>
      <w:r w:rsidR="00BC6C7A">
        <w:rPr>
          <w:lang w:val="en-AU"/>
        </w:rPr>
        <w:t xml:space="preserve">manufacturers and importers </w:t>
      </w:r>
      <w:r w:rsidR="009C4BDE">
        <w:rPr>
          <w:lang w:val="en-AU"/>
        </w:rPr>
        <w:t>will</w:t>
      </w:r>
      <w:r w:rsidR="00BC6C7A">
        <w:rPr>
          <w:lang w:val="en-AU"/>
        </w:rPr>
        <w:t xml:space="preserve"> have two years to update classifications and labels to meet the requirements of the seventh revised edition of the GHS</w:t>
      </w:r>
      <w:r w:rsidR="000D1DF0">
        <w:rPr>
          <w:lang w:val="en-AU"/>
        </w:rPr>
        <w:t xml:space="preserve">. </w:t>
      </w:r>
      <w:r w:rsidR="0067675B">
        <w:rPr>
          <w:lang w:val="en-AU"/>
        </w:rPr>
        <w:t>This</w:t>
      </w:r>
      <w:r w:rsidR="009C4BDE">
        <w:rPr>
          <w:lang w:val="en-AU"/>
        </w:rPr>
        <w:t xml:space="preserve"> </w:t>
      </w:r>
      <w:r w:rsidR="0067675B">
        <w:rPr>
          <w:lang w:val="en-AU"/>
        </w:rPr>
        <w:t xml:space="preserve">arrangement mirrors Australia’s initial implementation of the GHS which applied to manufacturers and importers only, with </w:t>
      </w:r>
      <w:r w:rsidR="00E47A04" w:rsidRPr="00E47A04">
        <w:rPr>
          <w:lang w:val="en-AU"/>
        </w:rPr>
        <w:t>existing labels on hazardous chemicals already in the supply chain still acceptable for suppli</w:t>
      </w:r>
      <w:r w:rsidR="00E47A04">
        <w:rPr>
          <w:lang w:val="en-AU"/>
        </w:rPr>
        <w:t>ers and end users until stock runs out</w:t>
      </w:r>
      <w:r w:rsidR="0067675B">
        <w:rPr>
          <w:lang w:val="en-AU"/>
        </w:rPr>
        <w:t xml:space="preserve">.  </w:t>
      </w:r>
    </w:p>
    <w:p w14:paraId="680E4F79" w14:textId="5CC6E8C8" w:rsidR="00C22BC3" w:rsidRDefault="00C93962" w:rsidP="00C93962">
      <w:pPr>
        <w:pStyle w:val="SingleTxtG"/>
        <w:rPr>
          <w:lang w:val="en-AU"/>
        </w:rPr>
      </w:pPr>
      <w:r>
        <w:rPr>
          <w:lang w:val="en-AU"/>
        </w:rPr>
        <w:tab/>
        <w:t>16.</w:t>
      </w:r>
      <w:r>
        <w:rPr>
          <w:lang w:val="en-AU"/>
        </w:rPr>
        <w:tab/>
      </w:r>
      <w:r w:rsidR="003C1F19">
        <w:rPr>
          <w:lang w:val="en-AU"/>
        </w:rPr>
        <w:t xml:space="preserve">To minimise administrative burden on industry, </w:t>
      </w:r>
      <w:r w:rsidR="000D1DF0">
        <w:rPr>
          <w:lang w:val="en-AU"/>
        </w:rPr>
        <w:t xml:space="preserve">Australia is also considering arrangements </w:t>
      </w:r>
      <w:r w:rsidR="003C1F19">
        <w:rPr>
          <w:lang w:val="en-AU"/>
        </w:rPr>
        <w:t xml:space="preserve">that </w:t>
      </w:r>
      <w:r w:rsidR="000D1DF0">
        <w:rPr>
          <w:lang w:val="en-AU"/>
        </w:rPr>
        <w:t xml:space="preserve">will allow minor </w:t>
      </w:r>
      <w:r w:rsidR="006A1F8F">
        <w:rPr>
          <w:lang w:val="en-AU"/>
        </w:rPr>
        <w:t>updates</w:t>
      </w:r>
      <w:r w:rsidR="000D1DF0">
        <w:rPr>
          <w:lang w:val="en-AU"/>
        </w:rPr>
        <w:t xml:space="preserve">, such as </w:t>
      </w:r>
      <w:r w:rsidR="006A1F8F">
        <w:rPr>
          <w:lang w:val="en-AU"/>
        </w:rPr>
        <w:t>changes</w:t>
      </w:r>
      <w:r w:rsidR="000D1DF0">
        <w:rPr>
          <w:lang w:val="en-AU"/>
        </w:rPr>
        <w:t xml:space="preserve"> to precautionary statements, to be </w:t>
      </w:r>
      <w:r w:rsidR="003C1F19">
        <w:rPr>
          <w:lang w:val="en-AU"/>
        </w:rPr>
        <w:t>implemented</w:t>
      </w:r>
      <w:r w:rsidR="000D1DF0">
        <w:rPr>
          <w:lang w:val="en-AU"/>
        </w:rPr>
        <w:t xml:space="preserve"> as a matter of normal business practice </w:t>
      </w:r>
      <w:r w:rsidR="00397AE7">
        <w:rPr>
          <w:lang w:val="en-AU"/>
        </w:rPr>
        <w:t xml:space="preserve">during the transitional period. </w:t>
      </w:r>
    </w:p>
    <w:p w14:paraId="77E745EF" w14:textId="3281FAA1" w:rsidR="00C5745C" w:rsidRPr="00C5745C" w:rsidRDefault="00C93962" w:rsidP="00C93962">
      <w:pPr>
        <w:pStyle w:val="SingleTxtG"/>
        <w:rPr>
          <w:lang w:val="en-AU"/>
        </w:rPr>
      </w:pPr>
      <w:r>
        <w:rPr>
          <w:lang w:val="en-AU"/>
        </w:rPr>
        <w:tab/>
        <w:t>17.</w:t>
      </w:r>
      <w:r>
        <w:rPr>
          <w:lang w:val="en-AU"/>
        </w:rPr>
        <w:tab/>
      </w:r>
      <w:r w:rsidR="00397AE7" w:rsidRPr="00C5745C">
        <w:rPr>
          <w:lang w:val="en-AU"/>
        </w:rPr>
        <w:t xml:space="preserve">A summary of </w:t>
      </w:r>
      <w:r w:rsidR="00C5745C" w:rsidRPr="00C5745C">
        <w:rPr>
          <w:lang w:val="en-AU"/>
        </w:rPr>
        <w:t xml:space="preserve">the consultation </w:t>
      </w:r>
      <w:r w:rsidR="00C5745C">
        <w:rPr>
          <w:lang w:val="en-AU"/>
        </w:rPr>
        <w:t xml:space="preserve">and stakeholder views can be found here: </w:t>
      </w:r>
      <w:hyperlink r:id="rId8" w:history="1">
        <w:r w:rsidR="00C5745C" w:rsidRPr="00C5745C">
          <w:rPr>
            <w:lang w:val="en-AU"/>
          </w:rPr>
          <w:t>https://www.safeworkaustralia.gov.au/doc/proposal-adopt-ghs-7-consultation-summary</w:t>
        </w:r>
      </w:hyperlink>
      <w:r w:rsidR="0001719E">
        <w:rPr>
          <w:lang w:val="en-AU"/>
        </w:rPr>
        <w:t xml:space="preserve">. </w:t>
      </w:r>
      <w:r w:rsidR="00C5745C">
        <w:rPr>
          <w:lang w:val="en-AU"/>
        </w:rPr>
        <w:t xml:space="preserve"> </w:t>
      </w:r>
    </w:p>
    <w:p w14:paraId="75124B35" w14:textId="4D8AC88A" w:rsidR="00C5745C" w:rsidRDefault="00C5745C" w:rsidP="00C5745C">
      <w:pPr>
        <w:pStyle w:val="HChG"/>
        <w:ind w:firstLine="0"/>
        <w:rPr>
          <w:lang w:val="en-AU"/>
        </w:rPr>
      </w:pPr>
      <w:r>
        <w:rPr>
          <w:lang w:val="en-AU"/>
        </w:rPr>
        <w:t xml:space="preserve">Building Blocks </w:t>
      </w:r>
    </w:p>
    <w:p w14:paraId="59DC345A" w14:textId="33CE5955" w:rsidR="00C5745C" w:rsidRDefault="00C93962" w:rsidP="00C93962">
      <w:pPr>
        <w:pStyle w:val="SingleTxtG"/>
        <w:rPr>
          <w:lang w:val="en-AU"/>
        </w:rPr>
      </w:pPr>
      <w:r>
        <w:rPr>
          <w:lang w:val="en-AU"/>
        </w:rPr>
        <w:tab/>
        <w:t>18.</w:t>
      </w:r>
      <w:r>
        <w:rPr>
          <w:lang w:val="en-AU"/>
        </w:rPr>
        <w:tab/>
      </w:r>
      <w:r w:rsidR="00130D54">
        <w:rPr>
          <w:lang w:val="en-AU"/>
        </w:rPr>
        <w:t xml:space="preserve">The implementation of the seventh </w:t>
      </w:r>
      <w:r w:rsidR="00C5745C">
        <w:rPr>
          <w:lang w:val="en-AU"/>
        </w:rPr>
        <w:t>revised e</w:t>
      </w:r>
      <w:r w:rsidR="00E23C14">
        <w:rPr>
          <w:lang w:val="en-AU"/>
        </w:rPr>
        <w:t>dition</w:t>
      </w:r>
      <w:r w:rsidR="00130D54">
        <w:rPr>
          <w:lang w:val="en-AU"/>
        </w:rPr>
        <w:t xml:space="preserve"> of the GHS</w:t>
      </w:r>
      <w:r w:rsidR="00E23C14">
        <w:rPr>
          <w:lang w:val="en-AU"/>
        </w:rPr>
        <w:t xml:space="preserve"> in Australia will introduce</w:t>
      </w:r>
      <w:r w:rsidR="00C5745C">
        <w:rPr>
          <w:lang w:val="en-AU"/>
        </w:rPr>
        <w:t xml:space="preserve"> the hazard class for desensitized explosives (Chapter 2.17), </w:t>
      </w:r>
      <w:r w:rsidR="00FC72C4">
        <w:rPr>
          <w:lang w:val="en-AU"/>
        </w:rPr>
        <w:t>a</w:t>
      </w:r>
      <w:r w:rsidR="00C5745C">
        <w:rPr>
          <w:lang w:val="en-AU"/>
        </w:rPr>
        <w:t>erosols Category 3, sub-categorisation</w:t>
      </w:r>
      <w:r w:rsidR="00FA31C1">
        <w:rPr>
          <w:lang w:val="en-AU"/>
        </w:rPr>
        <w:t xml:space="preserve"> for Category 1 flammable gases</w:t>
      </w:r>
      <w:r w:rsidR="00C5745C">
        <w:rPr>
          <w:lang w:val="en-AU"/>
        </w:rPr>
        <w:t>,</w:t>
      </w:r>
      <w:r w:rsidR="00E23C14">
        <w:rPr>
          <w:lang w:val="en-AU"/>
        </w:rPr>
        <w:t xml:space="preserve"> </w:t>
      </w:r>
      <w:r w:rsidR="00C5745C">
        <w:rPr>
          <w:lang w:val="en-AU"/>
        </w:rPr>
        <w:t>and the additional hazard clas</w:t>
      </w:r>
      <w:r w:rsidR="00E23C14">
        <w:rPr>
          <w:lang w:val="en-AU"/>
        </w:rPr>
        <w:t>ses for pyrophoric and chemically</w:t>
      </w:r>
      <w:r w:rsidR="00C5745C">
        <w:rPr>
          <w:lang w:val="en-AU"/>
        </w:rPr>
        <w:t xml:space="preserve"> unstable gases. </w:t>
      </w:r>
    </w:p>
    <w:p w14:paraId="50DD798E" w14:textId="55171D90" w:rsidR="00E23C14" w:rsidRDefault="00C93962" w:rsidP="00C93962">
      <w:pPr>
        <w:pStyle w:val="SingleTxtG"/>
        <w:rPr>
          <w:lang w:val="en-AU"/>
        </w:rPr>
      </w:pPr>
      <w:r>
        <w:rPr>
          <w:lang w:val="en-AU"/>
        </w:rPr>
        <w:tab/>
        <w:t>19.</w:t>
      </w:r>
      <w:r>
        <w:rPr>
          <w:lang w:val="en-AU"/>
        </w:rPr>
        <w:tab/>
      </w:r>
      <w:r w:rsidR="00E23C14">
        <w:rPr>
          <w:lang w:val="en-AU"/>
        </w:rPr>
        <w:t xml:space="preserve">Acute Toxicity </w:t>
      </w:r>
      <w:r w:rsidR="006E4277">
        <w:rPr>
          <w:lang w:val="en-AU"/>
        </w:rPr>
        <w:t>C</w:t>
      </w:r>
      <w:r w:rsidR="00E23C14">
        <w:rPr>
          <w:lang w:val="en-AU"/>
        </w:rPr>
        <w:t xml:space="preserve">ategory 5 (all routes of </w:t>
      </w:r>
      <w:r w:rsidR="00130D54">
        <w:rPr>
          <w:lang w:val="en-AU"/>
        </w:rPr>
        <w:t>exposure</w:t>
      </w:r>
      <w:r w:rsidR="00E23C14">
        <w:rPr>
          <w:lang w:val="en-AU"/>
        </w:rPr>
        <w:t xml:space="preserve">), aspiration hazard </w:t>
      </w:r>
      <w:r w:rsidR="006E4277">
        <w:rPr>
          <w:lang w:val="en-AU"/>
        </w:rPr>
        <w:t>C</w:t>
      </w:r>
      <w:r w:rsidR="00E23C14">
        <w:rPr>
          <w:lang w:val="en-AU"/>
        </w:rPr>
        <w:t xml:space="preserve">ategory 2, flammable gas </w:t>
      </w:r>
      <w:r w:rsidR="006E4277">
        <w:rPr>
          <w:lang w:val="en-AU"/>
        </w:rPr>
        <w:t>C</w:t>
      </w:r>
      <w:r w:rsidR="00E23C14">
        <w:rPr>
          <w:lang w:val="en-AU"/>
        </w:rPr>
        <w:t xml:space="preserve">ategory 2, and all environmental hazard classes remain excluded from the implementation. </w:t>
      </w:r>
    </w:p>
    <w:p w14:paraId="3AEFA974" w14:textId="049B7896" w:rsidR="00FC72C4" w:rsidRDefault="00C93962" w:rsidP="00C93962">
      <w:pPr>
        <w:pStyle w:val="SingleTxtG"/>
        <w:rPr>
          <w:lang w:val="en-AU"/>
        </w:rPr>
      </w:pPr>
      <w:r>
        <w:rPr>
          <w:lang w:val="en-AU"/>
        </w:rPr>
        <w:tab/>
        <w:t>20.</w:t>
      </w:r>
      <w:r>
        <w:rPr>
          <w:lang w:val="en-AU"/>
        </w:rPr>
        <w:tab/>
      </w:r>
      <w:r w:rsidR="00E23C14" w:rsidRPr="00FC72C4">
        <w:rPr>
          <w:lang w:val="en-AU"/>
        </w:rPr>
        <w:t xml:space="preserve">While </w:t>
      </w:r>
      <w:r w:rsidR="006E4277">
        <w:rPr>
          <w:lang w:val="en-AU"/>
        </w:rPr>
        <w:t>C</w:t>
      </w:r>
      <w:r w:rsidR="00E23C14" w:rsidRPr="00FC72C4">
        <w:rPr>
          <w:lang w:val="en-AU"/>
        </w:rPr>
        <w:t xml:space="preserve">ategory 2B eye irritation was also excluded </w:t>
      </w:r>
      <w:r w:rsidR="00130D54">
        <w:rPr>
          <w:lang w:val="en-AU"/>
        </w:rPr>
        <w:t xml:space="preserve">from the implementation of the third </w:t>
      </w:r>
      <w:r w:rsidR="00FA31C1" w:rsidRPr="00FC72C4">
        <w:rPr>
          <w:lang w:val="en-AU"/>
        </w:rPr>
        <w:t>revised</w:t>
      </w:r>
      <w:r w:rsidR="00E23C14" w:rsidRPr="00FC72C4">
        <w:rPr>
          <w:lang w:val="en-AU"/>
        </w:rPr>
        <w:t xml:space="preserve"> </w:t>
      </w:r>
      <w:r w:rsidR="00FA31C1" w:rsidRPr="00FC72C4">
        <w:rPr>
          <w:lang w:val="en-AU"/>
        </w:rPr>
        <w:t>edition of the GHS</w:t>
      </w:r>
      <w:r w:rsidR="00E23C14" w:rsidRPr="00FC72C4">
        <w:rPr>
          <w:lang w:val="en-AU"/>
        </w:rPr>
        <w:t xml:space="preserve">, </w:t>
      </w:r>
      <w:r w:rsidR="003C1F19">
        <w:rPr>
          <w:lang w:val="en-AU"/>
        </w:rPr>
        <w:t>its</w:t>
      </w:r>
      <w:r w:rsidR="003C1F19" w:rsidRPr="00FC72C4">
        <w:rPr>
          <w:lang w:val="en-AU"/>
        </w:rPr>
        <w:t xml:space="preserve"> </w:t>
      </w:r>
      <w:r w:rsidR="00E23C14" w:rsidRPr="00FC72C4">
        <w:rPr>
          <w:lang w:val="en-AU"/>
        </w:rPr>
        <w:t>exclusion was</w:t>
      </w:r>
      <w:r w:rsidR="00C5745C" w:rsidRPr="00FC72C4">
        <w:rPr>
          <w:lang w:val="en-AU"/>
        </w:rPr>
        <w:t xml:space="preserve"> not clear</w:t>
      </w:r>
      <w:r w:rsidR="00E23C14" w:rsidRPr="00FC72C4">
        <w:rPr>
          <w:lang w:val="en-AU"/>
        </w:rPr>
        <w:t xml:space="preserve">, caused confusion for industry, and was </w:t>
      </w:r>
      <w:r w:rsidR="00FA31C1" w:rsidRPr="00FC72C4">
        <w:rPr>
          <w:lang w:val="en-AU"/>
        </w:rPr>
        <w:t xml:space="preserve">considered </w:t>
      </w:r>
      <w:r w:rsidR="00E23C14" w:rsidRPr="00FC72C4">
        <w:rPr>
          <w:lang w:val="en-AU"/>
        </w:rPr>
        <w:t>not consistent with the building block approach</w:t>
      </w:r>
      <w:r w:rsidR="00FA31C1" w:rsidRPr="00FC72C4">
        <w:rPr>
          <w:lang w:val="en-AU"/>
        </w:rPr>
        <w:t xml:space="preserve">. The </w:t>
      </w:r>
      <w:r w:rsidR="00C5745C" w:rsidRPr="00FC72C4">
        <w:rPr>
          <w:lang w:val="en-AU"/>
        </w:rPr>
        <w:t xml:space="preserve">exclusion of </w:t>
      </w:r>
      <w:r w:rsidR="006E4277">
        <w:rPr>
          <w:lang w:val="en-AU"/>
        </w:rPr>
        <w:t>C</w:t>
      </w:r>
      <w:r w:rsidR="00C5745C" w:rsidRPr="00FC72C4">
        <w:rPr>
          <w:lang w:val="en-AU"/>
        </w:rPr>
        <w:t>ategory 2B eye irritants was</w:t>
      </w:r>
      <w:r w:rsidR="00FA31C1" w:rsidRPr="00FC72C4">
        <w:rPr>
          <w:lang w:val="en-AU"/>
        </w:rPr>
        <w:t xml:space="preserve"> intended to</w:t>
      </w:r>
      <w:r w:rsidR="00C5745C" w:rsidRPr="00FC72C4">
        <w:rPr>
          <w:lang w:val="en-AU"/>
        </w:rPr>
        <w:t xml:space="preserve"> clarify that a single category for eye irritation was adopted, and sub-ca</w:t>
      </w:r>
      <w:r w:rsidR="00FA31C1" w:rsidRPr="00FC72C4">
        <w:rPr>
          <w:lang w:val="en-AU"/>
        </w:rPr>
        <w:t>tegorization was not mandatory as Category 2A covers the</w:t>
      </w:r>
      <w:r w:rsidR="00FC72C4" w:rsidRPr="00FC72C4">
        <w:rPr>
          <w:lang w:val="en-AU"/>
        </w:rPr>
        <w:t xml:space="preserve"> spectrum of eye irritation. </w:t>
      </w:r>
    </w:p>
    <w:p w14:paraId="4A185BEC" w14:textId="3FF5C320" w:rsidR="00C5745C" w:rsidRPr="00FC72C4" w:rsidRDefault="00C93962" w:rsidP="00C93962">
      <w:pPr>
        <w:pStyle w:val="SingleTxtG"/>
        <w:rPr>
          <w:lang w:val="en-AU"/>
        </w:rPr>
      </w:pPr>
      <w:r>
        <w:rPr>
          <w:lang w:val="en-AU"/>
        </w:rPr>
        <w:lastRenderedPageBreak/>
        <w:tab/>
        <w:t>21.</w:t>
      </w:r>
      <w:r>
        <w:rPr>
          <w:lang w:val="en-AU"/>
        </w:rPr>
        <w:tab/>
      </w:r>
      <w:r w:rsidR="00C5745C" w:rsidRPr="00FC72C4">
        <w:rPr>
          <w:lang w:val="en-AU"/>
        </w:rPr>
        <w:t>Amendments to the implementing legislation</w:t>
      </w:r>
      <w:r w:rsidR="00FC72C4">
        <w:rPr>
          <w:lang w:val="en-AU"/>
        </w:rPr>
        <w:t xml:space="preserve"> will remove the exclusion o</w:t>
      </w:r>
      <w:r w:rsidR="00130D54">
        <w:rPr>
          <w:lang w:val="en-AU"/>
        </w:rPr>
        <w:t xml:space="preserve">f </w:t>
      </w:r>
      <w:r w:rsidR="003C1F19">
        <w:rPr>
          <w:lang w:val="en-AU"/>
        </w:rPr>
        <w:br/>
        <w:t>C</w:t>
      </w:r>
      <w:r w:rsidR="00130D54">
        <w:rPr>
          <w:lang w:val="en-AU"/>
        </w:rPr>
        <w:t>ategory 2</w:t>
      </w:r>
      <w:r w:rsidR="00FC72C4">
        <w:rPr>
          <w:lang w:val="en-AU"/>
        </w:rPr>
        <w:t>B</w:t>
      </w:r>
      <w:r w:rsidR="003C1F19">
        <w:rPr>
          <w:lang w:val="en-AU"/>
        </w:rPr>
        <w:t xml:space="preserve"> which has caused confusion among industry. G</w:t>
      </w:r>
      <w:r w:rsidR="00FC72C4">
        <w:rPr>
          <w:lang w:val="en-AU"/>
        </w:rPr>
        <w:t>uidance will be published to clarify that Category 2 is adopted, with optiona</w:t>
      </w:r>
      <w:r w:rsidR="00E312F3">
        <w:rPr>
          <w:lang w:val="en-AU"/>
        </w:rPr>
        <w:t xml:space="preserve">l sub-categorization. While </w:t>
      </w:r>
      <w:r w:rsidR="00130D54">
        <w:rPr>
          <w:lang w:val="en-AU"/>
        </w:rPr>
        <w:t>this expands</w:t>
      </w:r>
      <w:r w:rsidR="00E312F3">
        <w:rPr>
          <w:lang w:val="en-AU"/>
        </w:rPr>
        <w:t xml:space="preserve"> the scope of implementation for those who have not classified </w:t>
      </w:r>
      <w:r w:rsidR="006E4277">
        <w:rPr>
          <w:lang w:val="en-AU"/>
        </w:rPr>
        <w:t>C</w:t>
      </w:r>
      <w:r w:rsidR="00E312F3">
        <w:rPr>
          <w:lang w:val="en-AU"/>
        </w:rPr>
        <w:t xml:space="preserve">ategory 2B eye irritants, industry supports moves to be more consistent </w:t>
      </w:r>
      <w:r w:rsidR="006E4277">
        <w:rPr>
          <w:lang w:val="en-AU"/>
        </w:rPr>
        <w:t>with international approaches and the intended operation of the GHS</w:t>
      </w:r>
      <w:r w:rsidR="00E312F3">
        <w:rPr>
          <w:lang w:val="en-AU"/>
        </w:rPr>
        <w:t xml:space="preserve">. </w:t>
      </w:r>
    </w:p>
    <w:p w14:paraId="238B4A79" w14:textId="56312F41" w:rsidR="00C5745C" w:rsidRDefault="002D59BF" w:rsidP="00C5745C">
      <w:pPr>
        <w:pStyle w:val="HChG"/>
        <w:ind w:firstLine="0"/>
        <w:rPr>
          <w:lang w:val="en-AU"/>
        </w:rPr>
      </w:pPr>
      <w:r>
        <w:rPr>
          <w:lang w:val="en-AU"/>
        </w:rPr>
        <w:t>Global harmoniz</w:t>
      </w:r>
      <w:r w:rsidR="00C5745C">
        <w:rPr>
          <w:lang w:val="en-AU"/>
        </w:rPr>
        <w:t>ation</w:t>
      </w:r>
    </w:p>
    <w:p w14:paraId="397F5C25" w14:textId="26B9B256" w:rsidR="008628F4" w:rsidRDefault="00C93962" w:rsidP="00C93962">
      <w:pPr>
        <w:pStyle w:val="SingleTxtG"/>
        <w:rPr>
          <w:lang w:val="en-AU"/>
        </w:rPr>
      </w:pPr>
      <w:r>
        <w:rPr>
          <w:lang w:val="en-AU"/>
        </w:rPr>
        <w:tab/>
        <w:t>22.</w:t>
      </w:r>
      <w:r>
        <w:rPr>
          <w:lang w:val="en-AU"/>
        </w:rPr>
        <w:tab/>
      </w:r>
      <w:r w:rsidR="002D59BF" w:rsidRPr="008628F4">
        <w:rPr>
          <w:lang w:val="en-AU"/>
        </w:rPr>
        <w:t>One of the key issues raised by stakeholders during consultation</w:t>
      </w:r>
      <w:r w:rsidR="006526F7">
        <w:rPr>
          <w:lang w:val="en-AU"/>
        </w:rPr>
        <w:t xml:space="preserve"> </w:t>
      </w:r>
      <w:r w:rsidR="00CD2127">
        <w:rPr>
          <w:lang w:val="en-AU"/>
        </w:rPr>
        <w:t>on</w:t>
      </w:r>
      <w:r w:rsidR="006526F7">
        <w:rPr>
          <w:lang w:val="en-AU"/>
        </w:rPr>
        <w:t xml:space="preserve"> </w:t>
      </w:r>
      <w:r w:rsidR="00AB366E">
        <w:rPr>
          <w:lang w:val="en-AU"/>
        </w:rPr>
        <w:t>Australia</w:t>
      </w:r>
      <w:r w:rsidR="006526F7">
        <w:rPr>
          <w:lang w:val="en-AU"/>
        </w:rPr>
        <w:t>’s</w:t>
      </w:r>
      <w:r w:rsidR="00AB366E">
        <w:rPr>
          <w:lang w:val="en-AU"/>
        </w:rPr>
        <w:t xml:space="preserve"> implementation of the seventh revised edition</w:t>
      </w:r>
      <w:r w:rsidR="002D59BF" w:rsidRPr="008628F4">
        <w:rPr>
          <w:lang w:val="en-AU"/>
        </w:rPr>
        <w:t xml:space="preserve"> was consistent and co-ordinated implementation of the GHS in implementing countries</w:t>
      </w:r>
      <w:r w:rsidR="002E5FBD" w:rsidRPr="008628F4">
        <w:rPr>
          <w:lang w:val="en-AU"/>
        </w:rPr>
        <w:t xml:space="preserve">. This included matters </w:t>
      </w:r>
      <w:r w:rsidR="00CD2127">
        <w:rPr>
          <w:lang w:val="en-AU"/>
        </w:rPr>
        <w:t>such as</w:t>
      </w:r>
      <w:r w:rsidR="002E5FBD" w:rsidRPr="008628F4">
        <w:rPr>
          <w:lang w:val="en-AU"/>
        </w:rPr>
        <w:t xml:space="preserve"> internationally consistent </w:t>
      </w:r>
      <w:r w:rsidR="00CD2127">
        <w:rPr>
          <w:lang w:val="en-AU"/>
        </w:rPr>
        <w:t>transitions to updated revision</w:t>
      </w:r>
      <w:r w:rsidR="006E4277">
        <w:rPr>
          <w:lang w:val="en-AU"/>
        </w:rPr>
        <w:t>s</w:t>
      </w:r>
      <w:r w:rsidR="00CD2127">
        <w:rPr>
          <w:lang w:val="en-AU"/>
        </w:rPr>
        <w:t xml:space="preserve"> and </w:t>
      </w:r>
      <w:r w:rsidR="00917E94" w:rsidRPr="008628F4">
        <w:rPr>
          <w:lang w:val="en-AU"/>
        </w:rPr>
        <w:t>consiste</w:t>
      </w:r>
      <w:r w:rsidR="008628F4" w:rsidRPr="008628F4">
        <w:rPr>
          <w:lang w:val="en-AU"/>
        </w:rPr>
        <w:t xml:space="preserve">nt building blocks </w:t>
      </w:r>
      <w:r w:rsidR="008628F4">
        <w:rPr>
          <w:lang w:val="en-AU"/>
        </w:rPr>
        <w:t>with sectors at a global level.</w:t>
      </w:r>
    </w:p>
    <w:p w14:paraId="0202E268" w14:textId="3CFB62BC" w:rsidR="007B6CFF" w:rsidRDefault="00C93962" w:rsidP="00C93962">
      <w:pPr>
        <w:pStyle w:val="SingleTxtG"/>
        <w:rPr>
          <w:lang w:val="en-AU"/>
        </w:rPr>
      </w:pPr>
      <w:r>
        <w:rPr>
          <w:lang w:val="en-AU"/>
        </w:rPr>
        <w:tab/>
        <w:t>23.</w:t>
      </w:r>
      <w:r>
        <w:rPr>
          <w:lang w:val="en-AU"/>
        </w:rPr>
        <w:tab/>
      </w:r>
      <w:r w:rsidR="00AB366E">
        <w:rPr>
          <w:lang w:val="en-AU"/>
        </w:rPr>
        <w:t xml:space="preserve">Stakeholders referred to the </w:t>
      </w:r>
      <w:r w:rsidR="00CD2127">
        <w:rPr>
          <w:lang w:val="en-AU"/>
        </w:rPr>
        <w:t>co-ordinated</w:t>
      </w:r>
      <w:r w:rsidR="00AB366E">
        <w:rPr>
          <w:lang w:val="en-AU"/>
        </w:rPr>
        <w:t xml:space="preserve"> implementation of the UN Model Regulations for the Transport of Da</w:t>
      </w:r>
      <w:r w:rsidR="009E2283">
        <w:rPr>
          <w:lang w:val="en-AU"/>
        </w:rPr>
        <w:t xml:space="preserve">ngerous Goods, with </w:t>
      </w:r>
      <w:proofErr w:type="gramStart"/>
      <w:r w:rsidR="009E2283">
        <w:rPr>
          <w:lang w:val="en-AU"/>
        </w:rPr>
        <w:t>particular reference</w:t>
      </w:r>
      <w:proofErr w:type="gramEnd"/>
      <w:r w:rsidR="00AB366E">
        <w:rPr>
          <w:lang w:val="en-AU"/>
        </w:rPr>
        <w:t xml:space="preserve"> to the International Maritime Dangerous Goods (IMDG) Code</w:t>
      </w:r>
      <w:r w:rsidR="00E112A6">
        <w:rPr>
          <w:lang w:val="en-AU"/>
        </w:rPr>
        <w:t>. This</w:t>
      </w:r>
      <w:r w:rsidR="00AB366E">
        <w:rPr>
          <w:lang w:val="en-AU"/>
        </w:rPr>
        <w:t xml:space="preserve"> is implemented in over </w:t>
      </w:r>
      <w:r w:rsidR="006E4277">
        <w:rPr>
          <w:lang w:val="en-AU"/>
        </w:rPr>
        <w:br/>
      </w:r>
      <w:r w:rsidR="00AB366E">
        <w:rPr>
          <w:lang w:val="en-AU"/>
        </w:rPr>
        <w:t xml:space="preserve">160 countries, with transitional arrangements </w:t>
      </w:r>
      <w:r w:rsidR="00E112A6">
        <w:rPr>
          <w:lang w:val="en-AU"/>
        </w:rPr>
        <w:t xml:space="preserve">for amendments </w:t>
      </w:r>
      <w:r w:rsidR="00AB366E">
        <w:rPr>
          <w:lang w:val="en-AU"/>
        </w:rPr>
        <w:t xml:space="preserve">given global effect on consistent timelines via the Safety of Lives at Sea (SOLAS) convention. </w:t>
      </w:r>
    </w:p>
    <w:p w14:paraId="343621DB" w14:textId="22A37B41" w:rsidR="00AB366E" w:rsidRDefault="00C93962" w:rsidP="00C93962">
      <w:pPr>
        <w:pStyle w:val="SingleTxtG"/>
        <w:rPr>
          <w:lang w:val="en-AU"/>
        </w:rPr>
      </w:pPr>
      <w:r>
        <w:rPr>
          <w:lang w:val="en-AU"/>
        </w:rPr>
        <w:tab/>
        <w:t>24.</w:t>
      </w:r>
      <w:r>
        <w:rPr>
          <w:lang w:val="en-AU"/>
        </w:rPr>
        <w:tab/>
      </w:r>
      <w:r w:rsidR="002C65F2">
        <w:rPr>
          <w:lang w:val="en-AU"/>
        </w:rPr>
        <w:t>The expert from Australia</w:t>
      </w:r>
      <w:r w:rsidR="009E2283">
        <w:rPr>
          <w:lang w:val="en-AU"/>
        </w:rPr>
        <w:t xml:space="preserve"> recognises </w:t>
      </w:r>
      <w:r w:rsidR="00E112A6">
        <w:rPr>
          <w:lang w:val="en-AU"/>
        </w:rPr>
        <w:t xml:space="preserve">that </w:t>
      </w:r>
      <w:r w:rsidR="009E2283">
        <w:rPr>
          <w:lang w:val="en-AU"/>
        </w:rPr>
        <w:t>aside from the OECD “</w:t>
      </w:r>
      <w:r w:rsidR="009E2283">
        <w:rPr>
          <w:lang w:val="en-NZ"/>
        </w:rPr>
        <w:t>Decision-Recommendation on the Co-operative Investigation and Risk Reduction of Chemicals that included Decisions and Recommendations pertaining to the Globally Harmonised System of Classification and Labelling</w:t>
      </w:r>
      <w:r w:rsidR="009E2283">
        <w:rPr>
          <w:lang w:val="en-AU"/>
        </w:rPr>
        <w:t>”</w:t>
      </w:r>
      <w:r w:rsidR="00E112A6">
        <w:rPr>
          <w:lang w:val="en-AU"/>
        </w:rPr>
        <w:t>,</w:t>
      </w:r>
      <w:r w:rsidR="00B24C1E">
        <w:rPr>
          <w:lang w:val="en-AU"/>
        </w:rPr>
        <w:t xml:space="preserve"> </w:t>
      </w:r>
      <w:r w:rsidR="007B6CFF">
        <w:rPr>
          <w:lang w:val="en-AU"/>
        </w:rPr>
        <w:t xml:space="preserve">there is no binding agreement via convention or other mechanism compelling economies to implement the GHS, and that by comparison to </w:t>
      </w:r>
      <w:r w:rsidR="009E2283">
        <w:rPr>
          <w:lang w:val="en-AU"/>
        </w:rPr>
        <w:t>the UN Model R</w:t>
      </w:r>
      <w:r w:rsidR="007B6CFF">
        <w:rPr>
          <w:lang w:val="en-AU"/>
        </w:rPr>
        <w:t>egulations, the implementation of the GHS</w:t>
      </w:r>
      <w:r w:rsidR="002C65F2">
        <w:rPr>
          <w:lang w:val="en-AU"/>
        </w:rPr>
        <w:t xml:space="preserve"> is relatively recent.</w:t>
      </w:r>
      <w:r w:rsidR="00AB366E">
        <w:rPr>
          <w:lang w:val="en-AU"/>
        </w:rPr>
        <w:t xml:space="preserve"> </w:t>
      </w:r>
    </w:p>
    <w:p w14:paraId="29F32DF8" w14:textId="4B56A056" w:rsidR="009E2283" w:rsidRDefault="00C93962" w:rsidP="00C93962">
      <w:pPr>
        <w:pStyle w:val="SingleTxtG"/>
        <w:rPr>
          <w:lang w:val="en-AU"/>
        </w:rPr>
      </w:pPr>
      <w:r>
        <w:rPr>
          <w:lang w:val="en-AU"/>
        </w:rPr>
        <w:tab/>
        <w:t>25.</w:t>
      </w:r>
      <w:r>
        <w:rPr>
          <w:lang w:val="en-AU"/>
        </w:rPr>
        <w:tab/>
      </w:r>
      <w:r w:rsidR="009E2283" w:rsidRPr="002C65F2">
        <w:rPr>
          <w:lang w:val="en-AU"/>
        </w:rPr>
        <w:t>It is</w:t>
      </w:r>
      <w:r w:rsidR="009E2283">
        <w:rPr>
          <w:lang w:val="en-AU"/>
        </w:rPr>
        <w:t xml:space="preserve"> also</w:t>
      </w:r>
      <w:r w:rsidR="009E2283" w:rsidRPr="002C65F2">
        <w:rPr>
          <w:lang w:val="en-AU"/>
        </w:rPr>
        <w:t xml:space="preserve"> noted that </w:t>
      </w:r>
      <w:r w:rsidR="009E2283">
        <w:rPr>
          <w:lang w:val="en-AU"/>
        </w:rPr>
        <w:t xml:space="preserve">harmonization is a significant focus for the </w:t>
      </w:r>
      <w:r w:rsidR="009E2283" w:rsidRPr="002C65F2">
        <w:rPr>
          <w:lang w:val="en-AU"/>
        </w:rPr>
        <w:t>Asia Pacific Economic Co-Operation</w:t>
      </w:r>
      <w:r w:rsidR="009E2283">
        <w:rPr>
          <w:lang w:val="en-AU"/>
        </w:rPr>
        <w:t xml:space="preserve"> (APEC)</w:t>
      </w:r>
      <w:r w:rsidR="009E2283" w:rsidRPr="002C65F2">
        <w:rPr>
          <w:lang w:val="en-AU"/>
        </w:rPr>
        <w:t xml:space="preserve"> GHS Virtual Working Group</w:t>
      </w:r>
      <w:r w:rsidR="00404754">
        <w:rPr>
          <w:lang w:val="en-AU"/>
        </w:rPr>
        <w:t>,</w:t>
      </w:r>
      <w:r w:rsidR="009E2283" w:rsidRPr="002C65F2">
        <w:rPr>
          <w:lang w:val="en-AU"/>
        </w:rPr>
        <w:t xml:space="preserve"> which seeks to encourage convergence of implementation</w:t>
      </w:r>
      <w:r w:rsidR="009E2283">
        <w:rPr>
          <w:lang w:val="en-AU"/>
        </w:rPr>
        <w:t>s within APEC member economies</w:t>
      </w:r>
      <w:r w:rsidR="00E112A6">
        <w:rPr>
          <w:lang w:val="en-AU"/>
        </w:rPr>
        <w:t>.</w:t>
      </w:r>
    </w:p>
    <w:p w14:paraId="1BE8011B" w14:textId="2A5C247F" w:rsidR="0037016E" w:rsidRDefault="00C93962" w:rsidP="00C93962">
      <w:pPr>
        <w:pStyle w:val="SingleTxtG"/>
        <w:rPr>
          <w:lang w:val="en-AU"/>
        </w:rPr>
      </w:pPr>
      <w:r>
        <w:rPr>
          <w:lang w:val="en-AU"/>
        </w:rPr>
        <w:tab/>
        <w:t>26.</w:t>
      </w:r>
      <w:r>
        <w:rPr>
          <w:lang w:val="en-AU"/>
        </w:rPr>
        <w:tab/>
      </w:r>
      <w:r w:rsidR="0037016E" w:rsidRPr="0037016E">
        <w:rPr>
          <w:lang w:val="en-AU"/>
        </w:rPr>
        <w:t xml:space="preserve">The expert from Australia acknowledges the importance of the capacity building work of organisations such as UNITAR, and the ongoing work by Sweden to improve </w:t>
      </w:r>
      <w:r w:rsidR="0037016E">
        <w:rPr>
          <w:lang w:val="en-AU"/>
        </w:rPr>
        <w:t xml:space="preserve">understanding </w:t>
      </w:r>
      <w:r w:rsidR="0037016E" w:rsidRPr="0037016E">
        <w:rPr>
          <w:lang w:val="en-AU"/>
        </w:rPr>
        <w:t>of the challenges of GHS implementation</w:t>
      </w:r>
    </w:p>
    <w:p w14:paraId="20ED9943" w14:textId="5725CD11" w:rsidR="00AB366E" w:rsidRDefault="00C93962" w:rsidP="00C93962">
      <w:pPr>
        <w:pStyle w:val="SingleTxtG"/>
        <w:rPr>
          <w:lang w:val="en-AU"/>
        </w:rPr>
      </w:pPr>
      <w:r>
        <w:rPr>
          <w:lang w:val="en-AU"/>
        </w:rPr>
        <w:tab/>
        <w:t>27.</w:t>
      </w:r>
      <w:r>
        <w:rPr>
          <w:lang w:val="en-AU"/>
        </w:rPr>
        <w:tab/>
      </w:r>
      <w:r w:rsidR="009E2283">
        <w:rPr>
          <w:lang w:val="en-AU"/>
        </w:rPr>
        <w:t>I</w:t>
      </w:r>
      <w:r w:rsidR="00AB366E">
        <w:rPr>
          <w:lang w:val="en-AU"/>
        </w:rPr>
        <w:t xml:space="preserve">t is the view of the expert from Australia </w:t>
      </w:r>
      <w:r w:rsidR="00D81163">
        <w:rPr>
          <w:lang w:val="en-AU"/>
        </w:rPr>
        <w:t xml:space="preserve">that </w:t>
      </w:r>
      <w:r w:rsidR="002C65F2">
        <w:rPr>
          <w:lang w:val="en-AU"/>
        </w:rPr>
        <w:t xml:space="preserve">finding mechanisms </w:t>
      </w:r>
      <w:r w:rsidR="00D81163">
        <w:rPr>
          <w:lang w:val="en-AU"/>
        </w:rPr>
        <w:t>which</w:t>
      </w:r>
      <w:r w:rsidR="002C65F2">
        <w:rPr>
          <w:lang w:val="en-AU"/>
        </w:rPr>
        <w:t xml:space="preserve"> </w:t>
      </w:r>
      <w:r w:rsidR="006E4277">
        <w:rPr>
          <w:lang w:val="en-AU"/>
        </w:rPr>
        <w:t xml:space="preserve">promote </w:t>
      </w:r>
      <w:r w:rsidR="002C65F2">
        <w:rPr>
          <w:lang w:val="en-AU"/>
        </w:rPr>
        <w:t xml:space="preserve">movement </w:t>
      </w:r>
      <w:r w:rsidR="00AB366E">
        <w:rPr>
          <w:lang w:val="en-AU"/>
        </w:rPr>
        <w:t xml:space="preserve">towards a co-ordinated implementation </w:t>
      </w:r>
      <w:proofErr w:type="gramStart"/>
      <w:r w:rsidR="00AB366E">
        <w:rPr>
          <w:lang w:val="en-AU"/>
        </w:rPr>
        <w:t>of  updated</w:t>
      </w:r>
      <w:proofErr w:type="gramEnd"/>
      <w:r w:rsidR="00AB366E">
        <w:rPr>
          <w:lang w:val="en-AU"/>
        </w:rPr>
        <w:t xml:space="preserve"> revisions of the GHS and </w:t>
      </w:r>
      <w:r w:rsidR="00D81163">
        <w:rPr>
          <w:lang w:val="en-AU"/>
        </w:rPr>
        <w:t xml:space="preserve">its </w:t>
      </w:r>
      <w:r w:rsidR="00AB366E">
        <w:rPr>
          <w:lang w:val="en-AU"/>
        </w:rPr>
        <w:t xml:space="preserve">building blocks is: </w:t>
      </w:r>
    </w:p>
    <w:p w14:paraId="3A6295E2" w14:textId="5D595F6E" w:rsidR="00AB366E" w:rsidRDefault="00F93EAB" w:rsidP="00F93EAB">
      <w:pPr>
        <w:pStyle w:val="SingleTxtG"/>
        <w:ind w:left="1854"/>
        <w:rPr>
          <w:lang w:val="en-AU"/>
        </w:rPr>
      </w:pPr>
      <w:r>
        <w:rPr>
          <w:lang w:val="en-AU"/>
        </w:rPr>
        <w:t>(a)</w:t>
      </w:r>
      <w:r>
        <w:rPr>
          <w:lang w:val="en-AU"/>
        </w:rPr>
        <w:tab/>
      </w:r>
      <w:r w:rsidR="00AB366E">
        <w:rPr>
          <w:lang w:val="en-AU"/>
        </w:rPr>
        <w:t xml:space="preserve">consistent </w:t>
      </w:r>
      <w:r w:rsidR="008628F4">
        <w:rPr>
          <w:lang w:val="en-AU"/>
        </w:rPr>
        <w:t xml:space="preserve">with the goals of the GHS (see 1.1.2.3, and 1.1.3.1.5.4, </w:t>
      </w:r>
      <w:r w:rsidR="008628F4" w:rsidRPr="008628F4">
        <w:rPr>
          <w:lang w:val="en-AU"/>
        </w:rPr>
        <w:t>Note 2</w:t>
      </w:r>
      <w:r w:rsidR="008628F4">
        <w:rPr>
          <w:lang w:val="en-AU"/>
        </w:rPr>
        <w:t>)</w:t>
      </w:r>
      <w:r w:rsidR="00AB366E">
        <w:rPr>
          <w:lang w:val="en-AU"/>
        </w:rPr>
        <w:t xml:space="preserve">, </w:t>
      </w:r>
    </w:p>
    <w:p w14:paraId="00C0D247" w14:textId="0DFE5ED9" w:rsidR="007B6CFF" w:rsidRPr="00D81163" w:rsidRDefault="00F93EAB" w:rsidP="00F93EAB">
      <w:pPr>
        <w:pStyle w:val="SingleTxtG"/>
        <w:ind w:left="1854"/>
        <w:rPr>
          <w:lang w:val="en-AU"/>
        </w:rPr>
      </w:pPr>
      <w:r>
        <w:rPr>
          <w:lang w:val="en-AU"/>
        </w:rPr>
        <w:t>(b)</w:t>
      </w:r>
      <w:r>
        <w:rPr>
          <w:lang w:val="en-AU"/>
        </w:rPr>
        <w:tab/>
      </w:r>
      <w:r w:rsidR="00AB366E">
        <w:rPr>
          <w:lang w:val="en-AU"/>
        </w:rPr>
        <w:t>w</w:t>
      </w:r>
      <w:r w:rsidR="008628F4">
        <w:rPr>
          <w:lang w:val="en-AU"/>
        </w:rPr>
        <w:t>ithin the responsibility of the Sub-Committee (</w:t>
      </w:r>
      <w:r w:rsidR="00AB366E">
        <w:rPr>
          <w:lang w:val="en-AU"/>
        </w:rPr>
        <w:t xml:space="preserve">see </w:t>
      </w:r>
      <w:r w:rsidR="008628F4">
        <w:rPr>
          <w:lang w:val="en-AU"/>
        </w:rPr>
        <w:t>1.1.3.2 (a)</w:t>
      </w:r>
      <w:r w:rsidR="00404754">
        <w:rPr>
          <w:lang w:val="en-AU"/>
        </w:rPr>
        <w:t>)</w:t>
      </w:r>
      <w:r w:rsidR="007B6CFF">
        <w:rPr>
          <w:lang w:val="en-AU"/>
        </w:rPr>
        <w:t xml:space="preserve">, </w:t>
      </w:r>
      <w:r w:rsidR="00D81163">
        <w:rPr>
          <w:lang w:val="en-AU"/>
        </w:rPr>
        <w:t>and</w:t>
      </w:r>
      <w:r w:rsidR="007B6CFF" w:rsidRPr="00D81163">
        <w:rPr>
          <w:lang w:val="en-AU"/>
        </w:rPr>
        <w:t xml:space="preserve"> </w:t>
      </w:r>
    </w:p>
    <w:p w14:paraId="0A9FF882" w14:textId="4A1F94F8" w:rsidR="007B6CFF" w:rsidRDefault="00F93EAB" w:rsidP="00F93EAB">
      <w:pPr>
        <w:pStyle w:val="SingleTxtG"/>
        <w:ind w:left="1854"/>
        <w:rPr>
          <w:lang w:val="en-AU"/>
        </w:rPr>
      </w:pPr>
      <w:r>
        <w:rPr>
          <w:lang w:val="en-AU"/>
        </w:rPr>
        <w:t>(c</w:t>
      </w:r>
      <w:bookmarkStart w:id="0" w:name="_GoBack"/>
      <w:bookmarkEnd w:id="0"/>
      <w:r>
        <w:rPr>
          <w:lang w:val="en-AU"/>
        </w:rPr>
        <w:t>)</w:t>
      </w:r>
      <w:r>
        <w:rPr>
          <w:lang w:val="en-AU"/>
        </w:rPr>
        <w:tab/>
      </w:r>
      <w:r w:rsidR="006E4277">
        <w:rPr>
          <w:lang w:val="en-AU"/>
        </w:rPr>
        <w:t>likely to lead</w:t>
      </w:r>
      <w:r w:rsidR="007B6CFF">
        <w:rPr>
          <w:lang w:val="en-AU"/>
        </w:rPr>
        <w:t xml:space="preserve"> to fuller realiza</w:t>
      </w:r>
      <w:r w:rsidR="00D81163">
        <w:rPr>
          <w:lang w:val="en-AU"/>
        </w:rPr>
        <w:t>tion of the benefits of the GHS.</w:t>
      </w:r>
      <w:r w:rsidR="007B6CFF">
        <w:rPr>
          <w:lang w:val="en-AU"/>
        </w:rPr>
        <w:t xml:space="preserve"> </w:t>
      </w:r>
    </w:p>
    <w:p w14:paraId="2C608079" w14:textId="56A12696" w:rsidR="002D59BF" w:rsidRPr="001A4831" w:rsidRDefault="00C93962" w:rsidP="00C93962">
      <w:pPr>
        <w:pStyle w:val="SingleTxtG"/>
        <w:rPr>
          <w:lang w:val="en-AU"/>
        </w:rPr>
      </w:pPr>
      <w:r>
        <w:rPr>
          <w:lang w:val="en-AU"/>
        </w:rPr>
        <w:tab/>
        <w:t>28.</w:t>
      </w:r>
      <w:r>
        <w:rPr>
          <w:lang w:val="en-AU"/>
        </w:rPr>
        <w:tab/>
      </w:r>
      <w:r w:rsidR="00AB366E" w:rsidRPr="001A4831">
        <w:rPr>
          <w:lang w:val="en-AU"/>
        </w:rPr>
        <w:t xml:space="preserve">The expert from Australia </w:t>
      </w:r>
      <w:r w:rsidR="001A4831">
        <w:rPr>
          <w:lang w:val="en-AU"/>
        </w:rPr>
        <w:t>encourages other delegations to actively participate in information sharing endeavours, beginning with the i</w:t>
      </w:r>
      <w:r w:rsidR="00B24C1E">
        <w:rPr>
          <w:lang w:val="en-AU"/>
        </w:rPr>
        <w:t>mplementation template provided</w:t>
      </w:r>
      <w:r w:rsidR="009E2283">
        <w:rPr>
          <w:lang w:val="en-AU"/>
        </w:rPr>
        <w:t xml:space="preserve"> by CEFIC</w:t>
      </w:r>
      <w:r w:rsidR="00B24C1E">
        <w:rPr>
          <w:lang w:val="en-AU"/>
        </w:rPr>
        <w:t xml:space="preserve">. </w:t>
      </w:r>
    </w:p>
    <w:p w14:paraId="192B9452" w14:textId="7D3D7B21" w:rsidR="00052946" w:rsidRDefault="00052946" w:rsidP="00052946">
      <w:pPr>
        <w:pStyle w:val="HChG"/>
        <w:ind w:firstLine="0"/>
        <w:rPr>
          <w:lang w:val="en-AU"/>
        </w:rPr>
      </w:pPr>
      <w:r>
        <w:rPr>
          <w:lang w:val="en-AU"/>
        </w:rPr>
        <w:t>Next steps</w:t>
      </w:r>
    </w:p>
    <w:p w14:paraId="6569ADB4" w14:textId="5104063D" w:rsidR="003637C8" w:rsidRDefault="00C93962" w:rsidP="00C93962">
      <w:pPr>
        <w:pStyle w:val="SingleTxtG"/>
        <w:rPr>
          <w:lang w:val="en-AU"/>
        </w:rPr>
      </w:pPr>
      <w:r>
        <w:rPr>
          <w:lang w:val="en-AU"/>
        </w:rPr>
        <w:tab/>
        <w:t>29.</w:t>
      </w:r>
      <w:r>
        <w:rPr>
          <w:lang w:val="en-AU"/>
        </w:rPr>
        <w:tab/>
      </w:r>
      <w:r w:rsidR="000F3B1C">
        <w:rPr>
          <w:lang w:val="en-AU"/>
        </w:rPr>
        <w:t>The expert from Australia</w:t>
      </w:r>
      <w:r w:rsidR="009E2283">
        <w:rPr>
          <w:lang w:val="en-AU"/>
        </w:rPr>
        <w:t xml:space="preserve"> will continue to keep the Sub-Committee informed of the Australia</w:t>
      </w:r>
      <w:r w:rsidR="00D81163">
        <w:rPr>
          <w:lang w:val="en-AU"/>
        </w:rPr>
        <w:t xml:space="preserve">n implementation of the </w:t>
      </w:r>
      <w:proofErr w:type="gramStart"/>
      <w:r w:rsidR="00D81163">
        <w:rPr>
          <w:lang w:val="en-AU"/>
        </w:rPr>
        <w:t>GHS</w:t>
      </w:r>
      <w:r w:rsidR="00404754">
        <w:rPr>
          <w:lang w:val="en-AU"/>
        </w:rPr>
        <w:t>, and</w:t>
      </w:r>
      <w:proofErr w:type="gramEnd"/>
      <w:r w:rsidR="00404754">
        <w:rPr>
          <w:lang w:val="en-AU"/>
        </w:rPr>
        <w:t xml:space="preserve"> welcomes information from countries on the expected adoption timeframes for implementing the seventh revised edition of the GHS</w:t>
      </w:r>
      <w:r w:rsidR="003637C8">
        <w:rPr>
          <w:lang w:val="en-AU"/>
        </w:rPr>
        <w:t>.</w:t>
      </w:r>
    </w:p>
    <w:p w14:paraId="0E09D91E" w14:textId="63C6D36A" w:rsidR="00915795" w:rsidRDefault="00C93962" w:rsidP="00C93962">
      <w:pPr>
        <w:pStyle w:val="SingleTxtG"/>
        <w:rPr>
          <w:lang w:val="en-AU"/>
        </w:rPr>
      </w:pPr>
      <w:r>
        <w:rPr>
          <w:lang w:val="en-AU"/>
        </w:rPr>
        <w:tab/>
        <w:t>30.</w:t>
      </w:r>
      <w:r>
        <w:rPr>
          <w:lang w:val="en-AU"/>
        </w:rPr>
        <w:tab/>
      </w:r>
      <w:r w:rsidR="003637C8">
        <w:rPr>
          <w:lang w:val="en-AU"/>
        </w:rPr>
        <w:t xml:space="preserve">The expert from Australia encourages the Sub-Committee to continue to engage with efforts to further harmonization of implementation of the GHS globally. </w:t>
      </w:r>
    </w:p>
    <w:p w14:paraId="2366D60D" w14:textId="5DA98656" w:rsidR="000F3B1C" w:rsidRPr="00C93962" w:rsidRDefault="00C93962" w:rsidP="00C93962">
      <w:pPr>
        <w:spacing w:before="240"/>
        <w:jc w:val="center"/>
        <w:rPr>
          <w:u w:val="single"/>
          <w:lang w:val="en-AU"/>
        </w:rPr>
      </w:pP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</w:p>
    <w:sectPr w:rsidR="000F3B1C" w:rsidRPr="00C93962" w:rsidSect="00A862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851" w:footer="7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35262" w14:textId="77777777" w:rsidR="00397AE7" w:rsidRDefault="00397AE7"/>
  </w:endnote>
  <w:endnote w:type="continuationSeparator" w:id="0">
    <w:p w14:paraId="03E505C9" w14:textId="77777777" w:rsidR="00397AE7" w:rsidRDefault="00397AE7"/>
  </w:endnote>
  <w:endnote w:type="continuationNotice" w:id="1">
    <w:p w14:paraId="3586D7DA" w14:textId="77777777" w:rsidR="00397AE7" w:rsidRDefault="00397A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-184794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A6D17" w14:textId="16AD5590" w:rsidR="00397AE7" w:rsidRPr="009F228E" w:rsidRDefault="00397AE7">
        <w:pPr>
          <w:pStyle w:val="Footer"/>
          <w:rPr>
            <w:b/>
            <w:sz w:val="18"/>
            <w:szCs w:val="18"/>
          </w:rPr>
        </w:pPr>
        <w:r w:rsidRPr="009F228E">
          <w:rPr>
            <w:b/>
            <w:sz w:val="18"/>
            <w:szCs w:val="18"/>
          </w:rPr>
          <w:fldChar w:fldCharType="begin"/>
        </w:r>
        <w:r w:rsidRPr="009F228E">
          <w:rPr>
            <w:b/>
            <w:sz w:val="18"/>
            <w:szCs w:val="18"/>
          </w:rPr>
          <w:instrText xml:space="preserve"> PAGE   \* MERGEFORMAT </w:instrText>
        </w:r>
        <w:r w:rsidRPr="009F228E">
          <w:rPr>
            <w:b/>
            <w:sz w:val="18"/>
            <w:szCs w:val="18"/>
          </w:rPr>
          <w:fldChar w:fldCharType="separate"/>
        </w:r>
        <w:r w:rsidR="00806C53">
          <w:rPr>
            <w:b/>
            <w:noProof/>
            <w:sz w:val="18"/>
            <w:szCs w:val="18"/>
          </w:rPr>
          <w:t>2</w:t>
        </w:r>
        <w:r w:rsidRPr="009F228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623575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03E9F" w14:textId="5822BD59" w:rsidR="00397AE7" w:rsidRPr="009F228E" w:rsidRDefault="00397AE7">
        <w:pPr>
          <w:pStyle w:val="Footer"/>
          <w:jc w:val="right"/>
          <w:rPr>
            <w:b/>
            <w:sz w:val="18"/>
            <w:szCs w:val="18"/>
          </w:rPr>
        </w:pPr>
        <w:r w:rsidRPr="009F228E">
          <w:rPr>
            <w:b/>
            <w:sz w:val="18"/>
            <w:szCs w:val="18"/>
          </w:rPr>
          <w:fldChar w:fldCharType="begin"/>
        </w:r>
        <w:r w:rsidRPr="009F228E">
          <w:rPr>
            <w:b/>
            <w:sz w:val="18"/>
            <w:szCs w:val="18"/>
          </w:rPr>
          <w:instrText xml:space="preserve"> PAGE   \* MERGEFORMAT </w:instrText>
        </w:r>
        <w:r w:rsidRPr="009F228E">
          <w:rPr>
            <w:b/>
            <w:sz w:val="18"/>
            <w:szCs w:val="18"/>
          </w:rPr>
          <w:fldChar w:fldCharType="separate"/>
        </w:r>
        <w:r w:rsidR="00920BCD">
          <w:rPr>
            <w:b/>
            <w:noProof/>
            <w:sz w:val="18"/>
            <w:szCs w:val="18"/>
          </w:rPr>
          <w:t>3</w:t>
        </w:r>
        <w:r w:rsidRPr="009F228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AC65" w14:textId="3FA8C5E2" w:rsidR="00397AE7" w:rsidRPr="00667788" w:rsidRDefault="00397AE7" w:rsidP="009F228E">
    <w:pPr>
      <w:pStyle w:val="Footer"/>
      <w:jc w:val="right"/>
      <w:rPr>
        <w:b/>
        <w:sz w:val="22"/>
      </w:rPr>
    </w:pPr>
    <w:r w:rsidRPr="00667788">
      <w:rPr>
        <w:b/>
        <w:sz w:val="18"/>
      </w:rPr>
      <w:fldChar w:fldCharType="begin"/>
    </w:r>
    <w:r w:rsidRPr="00667788">
      <w:rPr>
        <w:b/>
        <w:sz w:val="18"/>
      </w:rPr>
      <w:instrText xml:space="preserve"> PAGE   \* MERGEFORMAT </w:instrText>
    </w:r>
    <w:r w:rsidRPr="00667788">
      <w:rPr>
        <w:b/>
        <w:sz w:val="18"/>
      </w:rPr>
      <w:fldChar w:fldCharType="separate"/>
    </w:r>
    <w:r w:rsidR="00806C53">
      <w:rPr>
        <w:b/>
        <w:noProof/>
        <w:sz w:val="18"/>
      </w:rPr>
      <w:t>1</w:t>
    </w:r>
    <w:r w:rsidRPr="00667788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03D5A" w14:textId="77777777" w:rsidR="00397AE7" w:rsidRPr="000B175B" w:rsidRDefault="00397AE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C7ABF9" w14:textId="77777777" w:rsidR="00397AE7" w:rsidRPr="00FC68B7" w:rsidRDefault="00397AE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9F22F6" w14:textId="77777777" w:rsidR="00397AE7" w:rsidRDefault="00397A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81C37" w14:textId="6371A22C" w:rsidR="00397AE7" w:rsidRPr="00364F88" w:rsidRDefault="00397AE7" w:rsidP="00364F88">
    <w:pPr>
      <w:pBdr>
        <w:bottom w:val="single" w:sz="4" w:space="1" w:color="auto"/>
      </w:pBdr>
      <w:rPr>
        <w:b/>
        <w:sz w:val="18"/>
        <w:szCs w:val="18"/>
        <w:lang w:val="fr-CH"/>
      </w:rPr>
    </w:pPr>
    <w:r w:rsidRPr="00364F88">
      <w:rPr>
        <w:b/>
        <w:sz w:val="18"/>
        <w:szCs w:val="18"/>
        <w:lang w:val="fr-CH"/>
      </w:rPr>
      <w:t>UN/SCEGHS/3</w:t>
    </w:r>
    <w:r>
      <w:rPr>
        <w:b/>
        <w:sz w:val="18"/>
        <w:szCs w:val="18"/>
        <w:lang w:val="fr-CH"/>
      </w:rPr>
      <w:t>8</w:t>
    </w:r>
    <w:r w:rsidRPr="00364F88">
      <w:rPr>
        <w:b/>
        <w:sz w:val="18"/>
        <w:szCs w:val="18"/>
        <w:lang w:val="fr-CH"/>
      </w:rPr>
      <w:t>/INF.</w:t>
    </w:r>
    <w:r w:rsidR="00C93962">
      <w:rPr>
        <w:b/>
        <w:sz w:val="18"/>
        <w:szCs w:val="18"/>
        <w:lang w:val="fr-CH"/>
      </w:rPr>
      <w:t>5</w:t>
    </w:r>
  </w:p>
  <w:p w14:paraId="304F4099" w14:textId="77777777" w:rsidR="00397AE7" w:rsidRPr="00364F88" w:rsidRDefault="00397AE7" w:rsidP="00ED128B">
    <w:pPr>
      <w:pStyle w:val="Header"/>
      <w:pBdr>
        <w:bottom w:val="none" w:sz="0" w:space="0" w:color="auto"/>
      </w:pBd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0D75" w14:textId="45A01AC1" w:rsidR="00397AE7" w:rsidRPr="00364F88" w:rsidRDefault="00397AE7" w:rsidP="00364F88">
    <w:pPr>
      <w:pBdr>
        <w:bottom w:val="single" w:sz="4" w:space="1" w:color="auto"/>
      </w:pBdr>
      <w:jc w:val="right"/>
      <w:rPr>
        <w:b/>
        <w:sz w:val="18"/>
        <w:szCs w:val="18"/>
        <w:lang w:val="fr-CH"/>
      </w:rPr>
    </w:pPr>
    <w:r w:rsidRPr="00364F88">
      <w:rPr>
        <w:b/>
        <w:sz w:val="18"/>
        <w:szCs w:val="18"/>
        <w:lang w:val="fr-CH"/>
      </w:rPr>
      <w:t>UN/SCEGHS/3</w:t>
    </w:r>
    <w:r w:rsidR="00C93962">
      <w:rPr>
        <w:b/>
        <w:sz w:val="18"/>
        <w:szCs w:val="18"/>
        <w:lang w:val="fr-CH"/>
      </w:rPr>
      <w:t>8</w:t>
    </w:r>
    <w:r w:rsidRPr="00364F88">
      <w:rPr>
        <w:b/>
        <w:sz w:val="18"/>
        <w:szCs w:val="18"/>
        <w:lang w:val="fr-CH"/>
      </w:rPr>
      <w:t>/INF.</w:t>
    </w:r>
    <w:r w:rsidR="00C93962">
      <w:rPr>
        <w:b/>
        <w:sz w:val="18"/>
        <w:szCs w:val="18"/>
        <w:lang w:val="fr-CH"/>
      </w:rPr>
      <w:t>5</w:t>
    </w:r>
  </w:p>
  <w:p w14:paraId="64FA2621" w14:textId="77777777" w:rsidR="00397AE7" w:rsidRDefault="00397AE7" w:rsidP="00ED64BE">
    <w:pPr>
      <w:pStyle w:val="Header"/>
      <w:pBdr>
        <w:bottom w:val="none" w:sz="0" w:space="0" w:color="auto"/>
      </w:pBd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2D65" w14:textId="37085C8E" w:rsidR="00397AE7" w:rsidRPr="0001748C" w:rsidRDefault="00397AE7" w:rsidP="0001748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523AC"/>
    <w:multiLevelType w:val="hybridMultilevel"/>
    <w:tmpl w:val="CC0C97FC"/>
    <w:lvl w:ilvl="0" w:tplc="821628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F7021"/>
    <w:multiLevelType w:val="hybridMultilevel"/>
    <w:tmpl w:val="0FCA0C6A"/>
    <w:lvl w:ilvl="0" w:tplc="99DC298A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4A16E4"/>
    <w:multiLevelType w:val="hybridMultilevel"/>
    <w:tmpl w:val="B9AEE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54671"/>
    <w:multiLevelType w:val="hybridMultilevel"/>
    <w:tmpl w:val="EE82A206"/>
    <w:lvl w:ilvl="0" w:tplc="0C090019">
      <w:start w:val="1"/>
      <w:numFmt w:val="lowerLetter"/>
      <w:lvlText w:val="%1."/>
      <w:lvlJc w:val="lef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CE558BF"/>
    <w:multiLevelType w:val="hybridMultilevel"/>
    <w:tmpl w:val="FD9C1852"/>
    <w:lvl w:ilvl="0" w:tplc="7F8CBEA2">
      <w:start w:val="1"/>
      <w:numFmt w:val="decimal"/>
      <w:lvlText w:val="%1."/>
      <w:lvlJc w:val="left"/>
      <w:pPr>
        <w:ind w:left="2115" w:hanging="55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18C5FBC"/>
    <w:multiLevelType w:val="hybridMultilevel"/>
    <w:tmpl w:val="FD9C1852"/>
    <w:lvl w:ilvl="0" w:tplc="7F8CBEA2">
      <w:start w:val="1"/>
      <w:numFmt w:val="decimal"/>
      <w:lvlText w:val="%1."/>
      <w:lvlJc w:val="left"/>
      <w:pPr>
        <w:ind w:left="2115" w:hanging="55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5907325"/>
    <w:multiLevelType w:val="hybridMultilevel"/>
    <w:tmpl w:val="FD9C1852"/>
    <w:lvl w:ilvl="0" w:tplc="7F8CBEA2">
      <w:start w:val="1"/>
      <w:numFmt w:val="decimal"/>
      <w:lvlText w:val="%1."/>
      <w:lvlJc w:val="left"/>
      <w:pPr>
        <w:ind w:left="2115" w:hanging="55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DFF0554"/>
    <w:multiLevelType w:val="hybridMultilevel"/>
    <w:tmpl w:val="C652BADA"/>
    <w:lvl w:ilvl="0" w:tplc="15723C2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B5913"/>
    <w:multiLevelType w:val="hybridMultilevel"/>
    <w:tmpl w:val="E86AC1E4"/>
    <w:lvl w:ilvl="0" w:tplc="F41A36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14C32"/>
    <w:multiLevelType w:val="hybridMultilevel"/>
    <w:tmpl w:val="E18A1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4"/>
  </w:num>
  <w:num w:numId="13">
    <w:abstractNumId w:val="13"/>
  </w:num>
  <w:num w:numId="14">
    <w:abstractNumId w:val="23"/>
  </w:num>
  <w:num w:numId="15">
    <w:abstractNumId w:val="25"/>
  </w:num>
  <w:num w:numId="16">
    <w:abstractNumId w:val="21"/>
  </w:num>
  <w:num w:numId="17">
    <w:abstractNumId w:val="20"/>
  </w:num>
  <w:num w:numId="18">
    <w:abstractNumId w:val="10"/>
  </w:num>
  <w:num w:numId="19">
    <w:abstractNumId w:val="11"/>
  </w:num>
  <w:num w:numId="20">
    <w:abstractNumId w:val="24"/>
  </w:num>
  <w:num w:numId="21">
    <w:abstractNumId w:val="15"/>
  </w:num>
  <w:num w:numId="22">
    <w:abstractNumId w:val="18"/>
  </w:num>
  <w:num w:numId="23">
    <w:abstractNumId w:val="1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4728"/>
    <w:rsid w:val="00006D38"/>
    <w:rsid w:val="00006FAE"/>
    <w:rsid w:val="00007091"/>
    <w:rsid w:val="000133C5"/>
    <w:rsid w:val="0001343A"/>
    <w:rsid w:val="00013CF9"/>
    <w:rsid w:val="0001719E"/>
    <w:rsid w:val="0001748C"/>
    <w:rsid w:val="00017D24"/>
    <w:rsid w:val="000216CC"/>
    <w:rsid w:val="00026BCF"/>
    <w:rsid w:val="00034D97"/>
    <w:rsid w:val="00043180"/>
    <w:rsid w:val="00046A06"/>
    <w:rsid w:val="000504CE"/>
    <w:rsid w:val="00050922"/>
    <w:rsid w:val="00050F6B"/>
    <w:rsid w:val="0005281B"/>
    <w:rsid w:val="00052946"/>
    <w:rsid w:val="0005317C"/>
    <w:rsid w:val="00053492"/>
    <w:rsid w:val="0005582B"/>
    <w:rsid w:val="00055A0A"/>
    <w:rsid w:val="00056084"/>
    <w:rsid w:val="0005710C"/>
    <w:rsid w:val="00062F39"/>
    <w:rsid w:val="00063B3F"/>
    <w:rsid w:val="00064402"/>
    <w:rsid w:val="00067E6D"/>
    <w:rsid w:val="000701F4"/>
    <w:rsid w:val="00072C8C"/>
    <w:rsid w:val="00073129"/>
    <w:rsid w:val="00074B14"/>
    <w:rsid w:val="00075F99"/>
    <w:rsid w:val="00076A0A"/>
    <w:rsid w:val="00082CE1"/>
    <w:rsid w:val="00083169"/>
    <w:rsid w:val="00083598"/>
    <w:rsid w:val="00084632"/>
    <w:rsid w:val="00086270"/>
    <w:rsid w:val="00086FA7"/>
    <w:rsid w:val="00091046"/>
    <w:rsid w:val="00091419"/>
    <w:rsid w:val="00091CB3"/>
    <w:rsid w:val="000920DD"/>
    <w:rsid w:val="00092776"/>
    <w:rsid w:val="000931C0"/>
    <w:rsid w:val="00094F85"/>
    <w:rsid w:val="000A09DB"/>
    <w:rsid w:val="000A1C4F"/>
    <w:rsid w:val="000A2236"/>
    <w:rsid w:val="000A35F2"/>
    <w:rsid w:val="000A3A48"/>
    <w:rsid w:val="000A4C38"/>
    <w:rsid w:val="000B175B"/>
    <w:rsid w:val="000B303A"/>
    <w:rsid w:val="000B3168"/>
    <w:rsid w:val="000B3A0F"/>
    <w:rsid w:val="000B4919"/>
    <w:rsid w:val="000B5E7D"/>
    <w:rsid w:val="000B7AF2"/>
    <w:rsid w:val="000C1ED8"/>
    <w:rsid w:val="000C3D2E"/>
    <w:rsid w:val="000C5D4B"/>
    <w:rsid w:val="000C717F"/>
    <w:rsid w:val="000C73DD"/>
    <w:rsid w:val="000D0B8F"/>
    <w:rsid w:val="000D1DF0"/>
    <w:rsid w:val="000D3980"/>
    <w:rsid w:val="000D481F"/>
    <w:rsid w:val="000D6D97"/>
    <w:rsid w:val="000D7830"/>
    <w:rsid w:val="000E0415"/>
    <w:rsid w:val="000E0E6A"/>
    <w:rsid w:val="000E20B9"/>
    <w:rsid w:val="000E23BE"/>
    <w:rsid w:val="000E513C"/>
    <w:rsid w:val="000E65FC"/>
    <w:rsid w:val="000F0D34"/>
    <w:rsid w:val="000F3B1C"/>
    <w:rsid w:val="000F4FDC"/>
    <w:rsid w:val="000F52D6"/>
    <w:rsid w:val="000F54C0"/>
    <w:rsid w:val="000F6A20"/>
    <w:rsid w:val="001001A5"/>
    <w:rsid w:val="001039FD"/>
    <w:rsid w:val="0010461A"/>
    <w:rsid w:val="001056C9"/>
    <w:rsid w:val="001070D7"/>
    <w:rsid w:val="00115265"/>
    <w:rsid w:val="00115303"/>
    <w:rsid w:val="00117787"/>
    <w:rsid w:val="00117D0D"/>
    <w:rsid w:val="00121EB7"/>
    <w:rsid w:val="001249AC"/>
    <w:rsid w:val="00127C32"/>
    <w:rsid w:val="00130D54"/>
    <w:rsid w:val="00131B10"/>
    <w:rsid w:val="00131D42"/>
    <w:rsid w:val="00131ECB"/>
    <w:rsid w:val="00133C50"/>
    <w:rsid w:val="00134895"/>
    <w:rsid w:val="001374FC"/>
    <w:rsid w:val="001406F4"/>
    <w:rsid w:val="00142117"/>
    <w:rsid w:val="00143116"/>
    <w:rsid w:val="00153065"/>
    <w:rsid w:val="001532D8"/>
    <w:rsid w:val="001633FB"/>
    <w:rsid w:val="00163A1B"/>
    <w:rsid w:val="00165735"/>
    <w:rsid w:val="001662E3"/>
    <w:rsid w:val="00167786"/>
    <w:rsid w:val="00171CD7"/>
    <w:rsid w:val="001767D7"/>
    <w:rsid w:val="00180A9C"/>
    <w:rsid w:val="00181019"/>
    <w:rsid w:val="001835BF"/>
    <w:rsid w:val="00184B86"/>
    <w:rsid w:val="001904BD"/>
    <w:rsid w:val="00195726"/>
    <w:rsid w:val="001966B4"/>
    <w:rsid w:val="001A02A4"/>
    <w:rsid w:val="001A24C9"/>
    <w:rsid w:val="001A4831"/>
    <w:rsid w:val="001B0DD8"/>
    <w:rsid w:val="001B1A5E"/>
    <w:rsid w:val="001B35EE"/>
    <w:rsid w:val="001B38F0"/>
    <w:rsid w:val="001B4B04"/>
    <w:rsid w:val="001B5F6F"/>
    <w:rsid w:val="001B6B72"/>
    <w:rsid w:val="001B6F2D"/>
    <w:rsid w:val="001C0761"/>
    <w:rsid w:val="001C2046"/>
    <w:rsid w:val="001C429D"/>
    <w:rsid w:val="001C6663"/>
    <w:rsid w:val="001C7895"/>
    <w:rsid w:val="001D26DF"/>
    <w:rsid w:val="001D2FDC"/>
    <w:rsid w:val="001D3123"/>
    <w:rsid w:val="001D3A88"/>
    <w:rsid w:val="001D45AC"/>
    <w:rsid w:val="001D4B2D"/>
    <w:rsid w:val="001D4E70"/>
    <w:rsid w:val="001D5656"/>
    <w:rsid w:val="001D7C70"/>
    <w:rsid w:val="001E253C"/>
    <w:rsid w:val="001E797C"/>
    <w:rsid w:val="00203C1F"/>
    <w:rsid w:val="002060F1"/>
    <w:rsid w:val="00211B12"/>
    <w:rsid w:val="00211E0B"/>
    <w:rsid w:val="0021481D"/>
    <w:rsid w:val="00215160"/>
    <w:rsid w:val="00215614"/>
    <w:rsid w:val="002168D8"/>
    <w:rsid w:val="00221589"/>
    <w:rsid w:val="00221AC2"/>
    <w:rsid w:val="00224CD9"/>
    <w:rsid w:val="00225909"/>
    <w:rsid w:val="002309A7"/>
    <w:rsid w:val="00235381"/>
    <w:rsid w:val="00237785"/>
    <w:rsid w:val="00241178"/>
    <w:rsid w:val="00241466"/>
    <w:rsid w:val="00243804"/>
    <w:rsid w:val="002440E7"/>
    <w:rsid w:val="00247570"/>
    <w:rsid w:val="00247BC4"/>
    <w:rsid w:val="00252078"/>
    <w:rsid w:val="002523CF"/>
    <w:rsid w:val="002565E2"/>
    <w:rsid w:val="00256979"/>
    <w:rsid w:val="00257C1E"/>
    <w:rsid w:val="00260632"/>
    <w:rsid w:val="00261B2A"/>
    <w:rsid w:val="00261B71"/>
    <w:rsid w:val="002621C8"/>
    <w:rsid w:val="002621F5"/>
    <w:rsid w:val="002626E5"/>
    <w:rsid w:val="002708B5"/>
    <w:rsid w:val="00270DDB"/>
    <w:rsid w:val="002716CE"/>
    <w:rsid w:val="00271EF4"/>
    <w:rsid w:val="002725CA"/>
    <w:rsid w:val="00273A92"/>
    <w:rsid w:val="00276805"/>
    <w:rsid w:val="00277896"/>
    <w:rsid w:val="00277A09"/>
    <w:rsid w:val="00277E2F"/>
    <w:rsid w:val="00280B19"/>
    <w:rsid w:val="00280EB7"/>
    <w:rsid w:val="00285189"/>
    <w:rsid w:val="00285676"/>
    <w:rsid w:val="00287A35"/>
    <w:rsid w:val="002921EA"/>
    <w:rsid w:val="002976CF"/>
    <w:rsid w:val="002A0BD2"/>
    <w:rsid w:val="002A5B17"/>
    <w:rsid w:val="002B0609"/>
    <w:rsid w:val="002B067A"/>
    <w:rsid w:val="002B1514"/>
    <w:rsid w:val="002B1CDA"/>
    <w:rsid w:val="002B24D5"/>
    <w:rsid w:val="002C29B4"/>
    <w:rsid w:val="002C65F2"/>
    <w:rsid w:val="002C7F25"/>
    <w:rsid w:val="002D2EE6"/>
    <w:rsid w:val="002D59BF"/>
    <w:rsid w:val="002D5A85"/>
    <w:rsid w:val="002D5C7D"/>
    <w:rsid w:val="002D6CD7"/>
    <w:rsid w:val="002E35BB"/>
    <w:rsid w:val="002E54FE"/>
    <w:rsid w:val="002E5FBD"/>
    <w:rsid w:val="002E63B5"/>
    <w:rsid w:val="002F323F"/>
    <w:rsid w:val="002F68FD"/>
    <w:rsid w:val="002F7870"/>
    <w:rsid w:val="00302C15"/>
    <w:rsid w:val="0030327B"/>
    <w:rsid w:val="003058A5"/>
    <w:rsid w:val="003063E9"/>
    <w:rsid w:val="00307E38"/>
    <w:rsid w:val="003107FA"/>
    <w:rsid w:val="00311851"/>
    <w:rsid w:val="0031227E"/>
    <w:rsid w:val="00315D73"/>
    <w:rsid w:val="00316FF9"/>
    <w:rsid w:val="0031792B"/>
    <w:rsid w:val="00321716"/>
    <w:rsid w:val="003229D8"/>
    <w:rsid w:val="003257E3"/>
    <w:rsid w:val="00327D0A"/>
    <w:rsid w:val="00330180"/>
    <w:rsid w:val="003371C1"/>
    <w:rsid w:val="0034169B"/>
    <w:rsid w:val="00342774"/>
    <w:rsid w:val="003517C3"/>
    <w:rsid w:val="00352472"/>
    <w:rsid w:val="00355502"/>
    <w:rsid w:val="00356BC7"/>
    <w:rsid w:val="00357A20"/>
    <w:rsid w:val="003637C8"/>
    <w:rsid w:val="00364F88"/>
    <w:rsid w:val="00366B09"/>
    <w:rsid w:val="0037016E"/>
    <w:rsid w:val="00372F06"/>
    <w:rsid w:val="00391647"/>
    <w:rsid w:val="003921E6"/>
    <w:rsid w:val="0039277A"/>
    <w:rsid w:val="00394922"/>
    <w:rsid w:val="00394FF5"/>
    <w:rsid w:val="00395FD7"/>
    <w:rsid w:val="00396F6A"/>
    <w:rsid w:val="003972E0"/>
    <w:rsid w:val="00397AE7"/>
    <w:rsid w:val="003A1EC2"/>
    <w:rsid w:val="003A4561"/>
    <w:rsid w:val="003A52D7"/>
    <w:rsid w:val="003A5A16"/>
    <w:rsid w:val="003B62FE"/>
    <w:rsid w:val="003B73AC"/>
    <w:rsid w:val="003C0657"/>
    <w:rsid w:val="003C18C9"/>
    <w:rsid w:val="003C1F19"/>
    <w:rsid w:val="003C2A08"/>
    <w:rsid w:val="003C2CC4"/>
    <w:rsid w:val="003C2DAB"/>
    <w:rsid w:val="003C655D"/>
    <w:rsid w:val="003D4B23"/>
    <w:rsid w:val="003D5245"/>
    <w:rsid w:val="003D7611"/>
    <w:rsid w:val="003E40AD"/>
    <w:rsid w:val="003F23A4"/>
    <w:rsid w:val="003F3127"/>
    <w:rsid w:val="003F5B52"/>
    <w:rsid w:val="003F6160"/>
    <w:rsid w:val="00402488"/>
    <w:rsid w:val="00403EC6"/>
    <w:rsid w:val="00404754"/>
    <w:rsid w:val="00406CD4"/>
    <w:rsid w:val="00407DB1"/>
    <w:rsid w:val="00407FED"/>
    <w:rsid w:val="004130AC"/>
    <w:rsid w:val="004207CF"/>
    <w:rsid w:val="004207DD"/>
    <w:rsid w:val="00430086"/>
    <w:rsid w:val="00430918"/>
    <w:rsid w:val="004325CB"/>
    <w:rsid w:val="004337AA"/>
    <w:rsid w:val="004354EE"/>
    <w:rsid w:val="00437F3F"/>
    <w:rsid w:val="00440C1E"/>
    <w:rsid w:val="00442365"/>
    <w:rsid w:val="004425EE"/>
    <w:rsid w:val="004447BD"/>
    <w:rsid w:val="00445BB2"/>
    <w:rsid w:val="004466E2"/>
    <w:rsid w:val="00446DE4"/>
    <w:rsid w:val="004476CA"/>
    <w:rsid w:val="00450ACC"/>
    <w:rsid w:val="00451C23"/>
    <w:rsid w:val="00452D10"/>
    <w:rsid w:val="00452F3A"/>
    <w:rsid w:val="00454036"/>
    <w:rsid w:val="00454764"/>
    <w:rsid w:val="00454F19"/>
    <w:rsid w:val="004562AA"/>
    <w:rsid w:val="0046443A"/>
    <w:rsid w:val="004653B3"/>
    <w:rsid w:val="004654C4"/>
    <w:rsid w:val="0046668F"/>
    <w:rsid w:val="0046773D"/>
    <w:rsid w:val="0046788D"/>
    <w:rsid w:val="004801A8"/>
    <w:rsid w:val="0048304D"/>
    <w:rsid w:val="004835EB"/>
    <w:rsid w:val="00484894"/>
    <w:rsid w:val="00484A9B"/>
    <w:rsid w:val="00490889"/>
    <w:rsid w:val="00492AF9"/>
    <w:rsid w:val="00493A81"/>
    <w:rsid w:val="00494C77"/>
    <w:rsid w:val="00496A1D"/>
    <w:rsid w:val="00497711"/>
    <w:rsid w:val="004A2D51"/>
    <w:rsid w:val="004B2C9D"/>
    <w:rsid w:val="004B54B0"/>
    <w:rsid w:val="004B5939"/>
    <w:rsid w:val="004B5C97"/>
    <w:rsid w:val="004B73D6"/>
    <w:rsid w:val="004B786F"/>
    <w:rsid w:val="004C39D0"/>
    <w:rsid w:val="004C4F1A"/>
    <w:rsid w:val="004C6D6D"/>
    <w:rsid w:val="004D6FC1"/>
    <w:rsid w:val="004E0C5D"/>
    <w:rsid w:val="004E1665"/>
    <w:rsid w:val="004F1595"/>
    <w:rsid w:val="004F2B21"/>
    <w:rsid w:val="004F32CF"/>
    <w:rsid w:val="004F3B30"/>
    <w:rsid w:val="004F4240"/>
    <w:rsid w:val="004F77CD"/>
    <w:rsid w:val="00503ADB"/>
    <w:rsid w:val="00505EEB"/>
    <w:rsid w:val="00506778"/>
    <w:rsid w:val="00507CF1"/>
    <w:rsid w:val="00510B08"/>
    <w:rsid w:val="005138C0"/>
    <w:rsid w:val="00513A2E"/>
    <w:rsid w:val="00520D85"/>
    <w:rsid w:val="00522177"/>
    <w:rsid w:val="005230E8"/>
    <w:rsid w:val="00527910"/>
    <w:rsid w:val="005343B4"/>
    <w:rsid w:val="005420F2"/>
    <w:rsid w:val="00542505"/>
    <w:rsid w:val="00543688"/>
    <w:rsid w:val="00543B62"/>
    <w:rsid w:val="0054570E"/>
    <w:rsid w:val="00546655"/>
    <w:rsid w:val="005475D4"/>
    <w:rsid w:val="005513A9"/>
    <w:rsid w:val="00555CDB"/>
    <w:rsid w:val="00557E4F"/>
    <w:rsid w:val="00561B6D"/>
    <w:rsid w:val="00562D45"/>
    <w:rsid w:val="0056615B"/>
    <w:rsid w:val="00567DFB"/>
    <w:rsid w:val="00571DAA"/>
    <w:rsid w:val="00574079"/>
    <w:rsid w:val="00574716"/>
    <w:rsid w:val="00580A0F"/>
    <w:rsid w:val="0058129D"/>
    <w:rsid w:val="00585B2B"/>
    <w:rsid w:val="00585D64"/>
    <w:rsid w:val="00590144"/>
    <w:rsid w:val="00592E17"/>
    <w:rsid w:val="00594F31"/>
    <w:rsid w:val="0059682C"/>
    <w:rsid w:val="005A64DD"/>
    <w:rsid w:val="005A6E71"/>
    <w:rsid w:val="005A7C26"/>
    <w:rsid w:val="005B09F0"/>
    <w:rsid w:val="005B0CED"/>
    <w:rsid w:val="005B3DB3"/>
    <w:rsid w:val="005B528A"/>
    <w:rsid w:val="005B6172"/>
    <w:rsid w:val="005C1AB7"/>
    <w:rsid w:val="005C4CB5"/>
    <w:rsid w:val="005D05C5"/>
    <w:rsid w:val="005D0C6C"/>
    <w:rsid w:val="005D4518"/>
    <w:rsid w:val="005D6A38"/>
    <w:rsid w:val="005E0664"/>
    <w:rsid w:val="005E1AF1"/>
    <w:rsid w:val="005E5946"/>
    <w:rsid w:val="005E5C92"/>
    <w:rsid w:val="005F2DBC"/>
    <w:rsid w:val="005F37AA"/>
    <w:rsid w:val="005F3A39"/>
    <w:rsid w:val="005F3E24"/>
    <w:rsid w:val="005F589C"/>
    <w:rsid w:val="005F5C2F"/>
    <w:rsid w:val="005F5C79"/>
    <w:rsid w:val="005F78C7"/>
    <w:rsid w:val="005F7BB1"/>
    <w:rsid w:val="00602490"/>
    <w:rsid w:val="00603D57"/>
    <w:rsid w:val="00603E3C"/>
    <w:rsid w:val="0060539D"/>
    <w:rsid w:val="00605672"/>
    <w:rsid w:val="00611FC4"/>
    <w:rsid w:val="00612812"/>
    <w:rsid w:val="006176FB"/>
    <w:rsid w:val="0062083B"/>
    <w:rsid w:val="006264E9"/>
    <w:rsid w:val="00626B06"/>
    <w:rsid w:val="00626B77"/>
    <w:rsid w:val="00626DE3"/>
    <w:rsid w:val="006279AC"/>
    <w:rsid w:val="00627A45"/>
    <w:rsid w:val="0063419C"/>
    <w:rsid w:val="00635381"/>
    <w:rsid w:val="00635630"/>
    <w:rsid w:val="00635E4C"/>
    <w:rsid w:val="00636986"/>
    <w:rsid w:val="00636E9C"/>
    <w:rsid w:val="00637542"/>
    <w:rsid w:val="00640B26"/>
    <w:rsid w:val="00641194"/>
    <w:rsid w:val="00645A0B"/>
    <w:rsid w:val="006500BA"/>
    <w:rsid w:val="006506DB"/>
    <w:rsid w:val="006526F7"/>
    <w:rsid w:val="00660AD1"/>
    <w:rsid w:val="00662121"/>
    <w:rsid w:val="00662E09"/>
    <w:rsid w:val="00667788"/>
    <w:rsid w:val="006678CB"/>
    <w:rsid w:val="00667C6B"/>
    <w:rsid w:val="00670CF0"/>
    <w:rsid w:val="00675F87"/>
    <w:rsid w:val="0067675B"/>
    <w:rsid w:val="00682A3A"/>
    <w:rsid w:val="00690CD6"/>
    <w:rsid w:val="006937F4"/>
    <w:rsid w:val="0069386C"/>
    <w:rsid w:val="00695AEE"/>
    <w:rsid w:val="006A1F8F"/>
    <w:rsid w:val="006A3932"/>
    <w:rsid w:val="006A5630"/>
    <w:rsid w:val="006A5B6B"/>
    <w:rsid w:val="006A63E3"/>
    <w:rsid w:val="006A7392"/>
    <w:rsid w:val="006B1C55"/>
    <w:rsid w:val="006B36F8"/>
    <w:rsid w:val="006C0D34"/>
    <w:rsid w:val="006C251B"/>
    <w:rsid w:val="006C2F7E"/>
    <w:rsid w:val="006C306A"/>
    <w:rsid w:val="006C590C"/>
    <w:rsid w:val="006D3560"/>
    <w:rsid w:val="006D3FCD"/>
    <w:rsid w:val="006D4B44"/>
    <w:rsid w:val="006D4CE9"/>
    <w:rsid w:val="006D6ED0"/>
    <w:rsid w:val="006E18F5"/>
    <w:rsid w:val="006E36E7"/>
    <w:rsid w:val="006E3B65"/>
    <w:rsid w:val="006E4277"/>
    <w:rsid w:val="006E4FFE"/>
    <w:rsid w:val="006E564B"/>
    <w:rsid w:val="006F370A"/>
    <w:rsid w:val="0070032B"/>
    <w:rsid w:val="007025C0"/>
    <w:rsid w:val="0070413B"/>
    <w:rsid w:val="00707F04"/>
    <w:rsid w:val="00711637"/>
    <w:rsid w:val="00714F4F"/>
    <w:rsid w:val="00715844"/>
    <w:rsid w:val="0072632A"/>
    <w:rsid w:val="0073292B"/>
    <w:rsid w:val="00733FA4"/>
    <w:rsid w:val="00735C8C"/>
    <w:rsid w:val="00736E6A"/>
    <w:rsid w:val="00741401"/>
    <w:rsid w:val="00741F59"/>
    <w:rsid w:val="007427B7"/>
    <w:rsid w:val="007428A1"/>
    <w:rsid w:val="0074697D"/>
    <w:rsid w:val="00747CCD"/>
    <w:rsid w:val="00754256"/>
    <w:rsid w:val="00755EBE"/>
    <w:rsid w:val="00761619"/>
    <w:rsid w:val="0076177C"/>
    <w:rsid w:val="00763C33"/>
    <w:rsid w:val="00764CB1"/>
    <w:rsid w:val="00766322"/>
    <w:rsid w:val="00767583"/>
    <w:rsid w:val="00770BCD"/>
    <w:rsid w:val="00770D3F"/>
    <w:rsid w:val="00771904"/>
    <w:rsid w:val="00773353"/>
    <w:rsid w:val="00774129"/>
    <w:rsid w:val="00774E8F"/>
    <w:rsid w:val="00774EAA"/>
    <w:rsid w:val="0078102B"/>
    <w:rsid w:val="0078123B"/>
    <w:rsid w:val="00783286"/>
    <w:rsid w:val="00786434"/>
    <w:rsid w:val="00790791"/>
    <w:rsid w:val="0079172F"/>
    <w:rsid w:val="00794A14"/>
    <w:rsid w:val="00796F36"/>
    <w:rsid w:val="007A2218"/>
    <w:rsid w:val="007A2CDB"/>
    <w:rsid w:val="007A3367"/>
    <w:rsid w:val="007A4671"/>
    <w:rsid w:val="007A62EC"/>
    <w:rsid w:val="007B1A7E"/>
    <w:rsid w:val="007B208C"/>
    <w:rsid w:val="007B2BA8"/>
    <w:rsid w:val="007B6BA5"/>
    <w:rsid w:val="007B6CFF"/>
    <w:rsid w:val="007C2C0D"/>
    <w:rsid w:val="007C3162"/>
    <w:rsid w:val="007C3390"/>
    <w:rsid w:val="007C4F4B"/>
    <w:rsid w:val="007C644D"/>
    <w:rsid w:val="007D42F4"/>
    <w:rsid w:val="007D7BC6"/>
    <w:rsid w:val="007E0D6C"/>
    <w:rsid w:val="007E31B8"/>
    <w:rsid w:val="007E4BD3"/>
    <w:rsid w:val="007E5D7C"/>
    <w:rsid w:val="007E7135"/>
    <w:rsid w:val="007F2A54"/>
    <w:rsid w:val="007F5104"/>
    <w:rsid w:val="007F6611"/>
    <w:rsid w:val="007F67C8"/>
    <w:rsid w:val="00800024"/>
    <w:rsid w:val="008000C6"/>
    <w:rsid w:val="0080018B"/>
    <w:rsid w:val="00800859"/>
    <w:rsid w:val="008037A2"/>
    <w:rsid w:val="00806C53"/>
    <w:rsid w:val="00807A33"/>
    <w:rsid w:val="00816582"/>
    <w:rsid w:val="008175E9"/>
    <w:rsid w:val="00820A2D"/>
    <w:rsid w:val="008242D7"/>
    <w:rsid w:val="00826C09"/>
    <w:rsid w:val="0083043E"/>
    <w:rsid w:val="0083069A"/>
    <w:rsid w:val="00832A1D"/>
    <w:rsid w:val="00833EC7"/>
    <w:rsid w:val="00834479"/>
    <w:rsid w:val="00843AB2"/>
    <w:rsid w:val="0084667A"/>
    <w:rsid w:val="00846809"/>
    <w:rsid w:val="00851033"/>
    <w:rsid w:val="00851D86"/>
    <w:rsid w:val="00855EE4"/>
    <w:rsid w:val="0086107D"/>
    <w:rsid w:val="008628F4"/>
    <w:rsid w:val="00864251"/>
    <w:rsid w:val="00865914"/>
    <w:rsid w:val="00867E90"/>
    <w:rsid w:val="00871FD5"/>
    <w:rsid w:val="0087494C"/>
    <w:rsid w:val="008749B8"/>
    <w:rsid w:val="00881213"/>
    <w:rsid w:val="008869E3"/>
    <w:rsid w:val="008979B1"/>
    <w:rsid w:val="008A0B75"/>
    <w:rsid w:val="008A1542"/>
    <w:rsid w:val="008A2128"/>
    <w:rsid w:val="008A6B25"/>
    <w:rsid w:val="008A6C4F"/>
    <w:rsid w:val="008A7679"/>
    <w:rsid w:val="008A7AB3"/>
    <w:rsid w:val="008B0105"/>
    <w:rsid w:val="008B0F0F"/>
    <w:rsid w:val="008B1986"/>
    <w:rsid w:val="008B469C"/>
    <w:rsid w:val="008B65FB"/>
    <w:rsid w:val="008C1F12"/>
    <w:rsid w:val="008C3B3C"/>
    <w:rsid w:val="008C4283"/>
    <w:rsid w:val="008C62D0"/>
    <w:rsid w:val="008C74C3"/>
    <w:rsid w:val="008C7BF7"/>
    <w:rsid w:val="008D134F"/>
    <w:rsid w:val="008D14AC"/>
    <w:rsid w:val="008D22AC"/>
    <w:rsid w:val="008D3C75"/>
    <w:rsid w:val="008D6942"/>
    <w:rsid w:val="008E0E46"/>
    <w:rsid w:val="008E1DAE"/>
    <w:rsid w:val="008E295A"/>
    <w:rsid w:val="008E5C63"/>
    <w:rsid w:val="008F2D9A"/>
    <w:rsid w:val="008F44B8"/>
    <w:rsid w:val="008F504A"/>
    <w:rsid w:val="00903038"/>
    <w:rsid w:val="00904EBC"/>
    <w:rsid w:val="009077B4"/>
    <w:rsid w:val="00915795"/>
    <w:rsid w:val="00917E94"/>
    <w:rsid w:val="00920BCD"/>
    <w:rsid w:val="00923019"/>
    <w:rsid w:val="00924A7A"/>
    <w:rsid w:val="00924B63"/>
    <w:rsid w:val="00924E15"/>
    <w:rsid w:val="00925AA3"/>
    <w:rsid w:val="00926D41"/>
    <w:rsid w:val="00930A8A"/>
    <w:rsid w:val="009332D2"/>
    <w:rsid w:val="00935CE9"/>
    <w:rsid w:val="009363B6"/>
    <w:rsid w:val="00940F46"/>
    <w:rsid w:val="00941ECC"/>
    <w:rsid w:val="009422AF"/>
    <w:rsid w:val="00945A5D"/>
    <w:rsid w:val="00946A0D"/>
    <w:rsid w:val="00955109"/>
    <w:rsid w:val="00956EDF"/>
    <w:rsid w:val="009600BB"/>
    <w:rsid w:val="009606D7"/>
    <w:rsid w:val="00961F2F"/>
    <w:rsid w:val="00963B67"/>
    <w:rsid w:val="00963CBA"/>
    <w:rsid w:val="0096797E"/>
    <w:rsid w:val="009701ED"/>
    <w:rsid w:val="0098100A"/>
    <w:rsid w:val="009825BD"/>
    <w:rsid w:val="0098412F"/>
    <w:rsid w:val="00984471"/>
    <w:rsid w:val="00985F37"/>
    <w:rsid w:val="009879EA"/>
    <w:rsid w:val="00987C3F"/>
    <w:rsid w:val="009908A5"/>
    <w:rsid w:val="0099124E"/>
    <w:rsid w:val="00991261"/>
    <w:rsid w:val="009953D5"/>
    <w:rsid w:val="009A1D29"/>
    <w:rsid w:val="009B18D4"/>
    <w:rsid w:val="009B29C8"/>
    <w:rsid w:val="009B6D03"/>
    <w:rsid w:val="009B77DA"/>
    <w:rsid w:val="009C26BF"/>
    <w:rsid w:val="009C4BDE"/>
    <w:rsid w:val="009C6394"/>
    <w:rsid w:val="009C7F7E"/>
    <w:rsid w:val="009D0E2A"/>
    <w:rsid w:val="009D0F0E"/>
    <w:rsid w:val="009D1AAE"/>
    <w:rsid w:val="009D1DEE"/>
    <w:rsid w:val="009D2246"/>
    <w:rsid w:val="009D634E"/>
    <w:rsid w:val="009E1560"/>
    <w:rsid w:val="009E18CC"/>
    <w:rsid w:val="009E2283"/>
    <w:rsid w:val="009E34C6"/>
    <w:rsid w:val="009E47FC"/>
    <w:rsid w:val="009E5340"/>
    <w:rsid w:val="009F0F06"/>
    <w:rsid w:val="009F228E"/>
    <w:rsid w:val="009F369A"/>
    <w:rsid w:val="009F4FC5"/>
    <w:rsid w:val="009F7892"/>
    <w:rsid w:val="00A01AC1"/>
    <w:rsid w:val="00A03409"/>
    <w:rsid w:val="00A06982"/>
    <w:rsid w:val="00A06F1A"/>
    <w:rsid w:val="00A07B1D"/>
    <w:rsid w:val="00A104CA"/>
    <w:rsid w:val="00A11695"/>
    <w:rsid w:val="00A13EC4"/>
    <w:rsid w:val="00A1427D"/>
    <w:rsid w:val="00A212C6"/>
    <w:rsid w:val="00A235F1"/>
    <w:rsid w:val="00A23FAC"/>
    <w:rsid w:val="00A26040"/>
    <w:rsid w:val="00A27DFF"/>
    <w:rsid w:val="00A34B00"/>
    <w:rsid w:val="00A3777A"/>
    <w:rsid w:val="00A436EB"/>
    <w:rsid w:val="00A50077"/>
    <w:rsid w:val="00A505AA"/>
    <w:rsid w:val="00A54CA8"/>
    <w:rsid w:val="00A54F0B"/>
    <w:rsid w:val="00A60196"/>
    <w:rsid w:val="00A60CAE"/>
    <w:rsid w:val="00A6165E"/>
    <w:rsid w:val="00A6199C"/>
    <w:rsid w:val="00A622AF"/>
    <w:rsid w:val="00A655D6"/>
    <w:rsid w:val="00A65F4A"/>
    <w:rsid w:val="00A66636"/>
    <w:rsid w:val="00A67B16"/>
    <w:rsid w:val="00A71119"/>
    <w:rsid w:val="00A714AE"/>
    <w:rsid w:val="00A721CE"/>
    <w:rsid w:val="00A72F06"/>
    <w:rsid w:val="00A72F22"/>
    <w:rsid w:val="00A744D7"/>
    <w:rsid w:val="00A748A6"/>
    <w:rsid w:val="00A74A46"/>
    <w:rsid w:val="00A75EC9"/>
    <w:rsid w:val="00A810D4"/>
    <w:rsid w:val="00A826BB"/>
    <w:rsid w:val="00A83538"/>
    <w:rsid w:val="00A839E1"/>
    <w:rsid w:val="00A8523D"/>
    <w:rsid w:val="00A86230"/>
    <w:rsid w:val="00A879A4"/>
    <w:rsid w:val="00A903EC"/>
    <w:rsid w:val="00AA19B4"/>
    <w:rsid w:val="00AA1D9A"/>
    <w:rsid w:val="00AA32EB"/>
    <w:rsid w:val="00AB366E"/>
    <w:rsid w:val="00AB382F"/>
    <w:rsid w:val="00AB4CF1"/>
    <w:rsid w:val="00AB75AE"/>
    <w:rsid w:val="00AC5F1B"/>
    <w:rsid w:val="00AC7E37"/>
    <w:rsid w:val="00AD0165"/>
    <w:rsid w:val="00AD34EE"/>
    <w:rsid w:val="00AD53C9"/>
    <w:rsid w:val="00AD5A2F"/>
    <w:rsid w:val="00AD7C88"/>
    <w:rsid w:val="00AD7D43"/>
    <w:rsid w:val="00AE271D"/>
    <w:rsid w:val="00AE2E13"/>
    <w:rsid w:val="00AE45DE"/>
    <w:rsid w:val="00AF0846"/>
    <w:rsid w:val="00AF0878"/>
    <w:rsid w:val="00AF2F9D"/>
    <w:rsid w:val="00AF6710"/>
    <w:rsid w:val="00B013E6"/>
    <w:rsid w:val="00B04866"/>
    <w:rsid w:val="00B04D66"/>
    <w:rsid w:val="00B10C19"/>
    <w:rsid w:val="00B1157C"/>
    <w:rsid w:val="00B1501F"/>
    <w:rsid w:val="00B15454"/>
    <w:rsid w:val="00B23B4A"/>
    <w:rsid w:val="00B24C1E"/>
    <w:rsid w:val="00B26710"/>
    <w:rsid w:val="00B26B3C"/>
    <w:rsid w:val="00B30179"/>
    <w:rsid w:val="00B314CB"/>
    <w:rsid w:val="00B3317B"/>
    <w:rsid w:val="00B34F03"/>
    <w:rsid w:val="00B35D5F"/>
    <w:rsid w:val="00B36C43"/>
    <w:rsid w:val="00B3742B"/>
    <w:rsid w:val="00B41384"/>
    <w:rsid w:val="00B4398E"/>
    <w:rsid w:val="00B52E13"/>
    <w:rsid w:val="00B535B3"/>
    <w:rsid w:val="00B5392B"/>
    <w:rsid w:val="00B611B3"/>
    <w:rsid w:val="00B63C8B"/>
    <w:rsid w:val="00B65556"/>
    <w:rsid w:val="00B678B0"/>
    <w:rsid w:val="00B71D19"/>
    <w:rsid w:val="00B71E2B"/>
    <w:rsid w:val="00B7214C"/>
    <w:rsid w:val="00B7266A"/>
    <w:rsid w:val="00B7341E"/>
    <w:rsid w:val="00B73DA8"/>
    <w:rsid w:val="00B74F7C"/>
    <w:rsid w:val="00B75E05"/>
    <w:rsid w:val="00B81E12"/>
    <w:rsid w:val="00B84944"/>
    <w:rsid w:val="00B84AAC"/>
    <w:rsid w:val="00B85A48"/>
    <w:rsid w:val="00B90F54"/>
    <w:rsid w:val="00B91CC3"/>
    <w:rsid w:val="00B92989"/>
    <w:rsid w:val="00B92A0C"/>
    <w:rsid w:val="00B93068"/>
    <w:rsid w:val="00B9369C"/>
    <w:rsid w:val="00B94012"/>
    <w:rsid w:val="00B95488"/>
    <w:rsid w:val="00BB176D"/>
    <w:rsid w:val="00BB1E7F"/>
    <w:rsid w:val="00BB3B28"/>
    <w:rsid w:val="00BB7596"/>
    <w:rsid w:val="00BC0C09"/>
    <w:rsid w:val="00BC1AC9"/>
    <w:rsid w:val="00BC4BF8"/>
    <w:rsid w:val="00BC4C36"/>
    <w:rsid w:val="00BC5D32"/>
    <w:rsid w:val="00BC6C7A"/>
    <w:rsid w:val="00BC74E9"/>
    <w:rsid w:val="00BD109F"/>
    <w:rsid w:val="00BE0423"/>
    <w:rsid w:val="00BE1FF8"/>
    <w:rsid w:val="00BE3609"/>
    <w:rsid w:val="00BE50CA"/>
    <w:rsid w:val="00BE618E"/>
    <w:rsid w:val="00BF2ABE"/>
    <w:rsid w:val="00BF479B"/>
    <w:rsid w:val="00BF4DE2"/>
    <w:rsid w:val="00BF65D7"/>
    <w:rsid w:val="00C0236F"/>
    <w:rsid w:val="00C0263F"/>
    <w:rsid w:val="00C03B44"/>
    <w:rsid w:val="00C13A85"/>
    <w:rsid w:val="00C15366"/>
    <w:rsid w:val="00C218A4"/>
    <w:rsid w:val="00C22BC3"/>
    <w:rsid w:val="00C30546"/>
    <w:rsid w:val="00C31A1F"/>
    <w:rsid w:val="00C36D37"/>
    <w:rsid w:val="00C4087B"/>
    <w:rsid w:val="00C430B5"/>
    <w:rsid w:val="00C4552C"/>
    <w:rsid w:val="00C463DD"/>
    <w:rsid w:val="00C46D5B"/>
    <w:rsid w:val="00C47ACC"/>
    <w:rsid w:val="00C52020"/>
    <w:rsid w:val="00C52BE3"/>
    <w:rsid w:val="00C530B1"/>
    <w:rsid w:val="00C537D5"/>
    <w:rsid w:val="00C55BD4"/>
    <w:rsid w:val="00C5745C"/>
    <w:rsid w:val="00C62F76"/>
    <w:rsid w:val="00C63311"/>
    <w:rsid w:val="00C63A69"/>
    <w:rsid w:val="00C66D78"/>
    <w:rsid w:val="00C745C3"/>
    <w:rsid w:val="00C76942"/>
    <w:rsid w:val="00C77386"/>
    <w:rsid w:val="00C8038E"/>
    <w:rsid w:val="00C80C57"/>
    <w:rsid w:val="00C80F30"/>
    <w:rsid w:val="00C81212"/>
    <w:rsid w:val="00C824E5"/>
    <w:rsid w:val="00C84FF1"/>
    <w:rsid w:val="00C86C21"/>
    <w:rsid w:val="00C91180"/>
    <w:rsid w:val="00C92C5E"/>
    <w:rsid w:val="00C93962"/>
    <w:rsid w:val="00C93C11"/>
    <w:rsid w:val="00C94DDD"/>
    <w:rsid w:val="00C971F6"/>
    <w:rsid w:val="00CA049C"/>
    <w:rsid w:val="00CA381C"/>
    <w:rsid w:val="00CA5821"/>
    <w:rsid w:val="00CA628C"/>
    <w:rsid w:val="00CA74D3"/>
    <w:rsid w:val="00CA794A"/>
    <w:rsid w:val="00CB143B"/>
    <w:rsid w:val="00CB2158"/>
    <w:rsid w:val="00CB22C9"/>
    <w:rsid w:val="00CB5783"/>
    <w:rsid w:val="00CB6380"/>
    <w:rsid w:val="00CC4CA6"/>
    <w:rsid w:val="00CD0009"/>
    <w:rsid w:val="00CD158A"/>
    <w:rsid w:val="00CD160D"/>
    <w:rsid w:val="00CD2127"/>
    <w:rsid w:val="00CD30EE"/>
    <w:rsid w:val="00CD3225"/>
    <w:rsid w:val="00CE2F07"/>
    <w:rsid w:val="00CE4083"/>
    <w:rsid w:val="00CE46BA"/>
    <w:rsid w:val="00CE4A8F"/>
    <w:rsid w:val="00CE5966"/>
    <w:rsid w:val="00CE66CE"/>
    <w:rsid w:val="00CE6FAE"/>
    <w:rsid w:val="00CE7267"/>
    <w:rsid w:val="00CF6F32"/>
    <w:rsid w:val="00CF778D"/>
    <w:rsid w:val="00D00A82"/>
    <w:rsid w:val="00D034DC"/>
    <w:rsid w:val="00D0631B"/>
    <w:rsid w:val="00D06C3A"/>
    <w:rsid w:val="00D07C57"/>
    <w:rsid w:val="00D1644D"/>
    <w:rsid w:val="00D164BA"/>
    <w:rsid w:val="00D202CC"/>
    <w:rsid w:val="00D2031B"/>
    <w:rsid w:val="00D25E8C"/>
    <w:rsid w:val="00D25FE2"/>
    <w:rsid w:val="00D27E89"/>
    <w:rsid w:val="00D3234C"/>
    <w:rsid w:val="00D37E80"/>
    <w:rsid w:val="00D43252"/>
    <w:rsid w:val="00D46231"/>
    <w:rsid w:val="00D477C4"/>
    <w:rsid w:val="00D5409C"/>
    <w:rsid w:val="00D57C13"/>
    <w:rsid w:val="00D57FD9"/>
    <w:rsid w:val="00D610C1"/>
    <w:rsid w:val="00D636B4"/>
    <w:rsid w:val="00D658FA"/>
    <w:rsid w:val="00D67CDD"/>
    <w:rsid w:val="00D730E3"/>
    <w:rsid w:val="00D753D8"/>
    <w:rsid w:val="00D76D45"/>
    <w:rsid w:val="00D80E67"/>
    <w:rsid w:val="00D81163"/>
    <w:rsid w:val="00D91E0D"/>
    <w:rsid w:val="00D920D7"/>
    <w:rsid w:val="00D9274F"/>
    <w:rsid w:val="00D96248"/>
    <w:rsid w:val="00D96CC5"/>
    <w:rsid w:val="00D978C6"/>
    <w:rsid w:val="00D97B77"/>
    <w:rsid w:val="00DA332C"/>
    <w:rsid w:val="00DA6620"/>
    <w:rsid w:val="00DA67AD"/>
    <w:rsid w:val="00DB2D6F"/>
    <w:rsid w:val="00DB655F"/>
    <w:rsid w:val="00DB7A1D"/>
    <w:rsid w:val="00DC581A"/>
    <w:rsid w:val="00DC7D59"/>
    <w:rsid w:val="00DD42A0"/>
    <w:rsid w:val="00DD6801"/>
    <w:rsid w:val="00DD764B"/>
    <w:rsid w:val="00DE236F"/>
    <w:rsid w:val="00DE3ECB"/>
    <w:rsid w:val="00DE4785"/>
    <w:rsid w:val="00DE7267"/>
    <w:rsid w:val="00DF0A4D"/>
    <w:rsid w:val="00DF1383"/>
    <w:rsid w:val="00DF3039"/>
    <w:rsid w:val="00DF3A04"/>
    <w:rsid w:val="00DF4518"/>
    <w:rsid w:val="00E01324"/>
    <w:rsid w:val="00E05B1C"/>
    <w:rsid w:val="00E07015"/>
    <w:rsid w:val="00E112A6"/>
    <w:rsid w:val="00E11783"/>
    <w:rsid w:val="00E130AB"/>
    <w:rsid w:val="00E15C3F"/>
    <w:rsid w:val="00E1679E"/>
    <w:rsid w:val="00E16FF3"/>
    <w:rsid w:val="00E239A0"/>
    <w:rsid w:val="00E23C14"/>
    <w:rsid w:val="00E27B7A"/>
    <w:rsid w:val="00E311FE"/>
    <w:rsid w:val="00E312F3"/>
    <w:rsid w:val="00E34E58"/>
    <w:rsid w:val="00E3560E"/>
    <w:rsid w:val="00E36838"/>
    <w:rsid w:val="00E36C10"/>
    <w:rsid w:val="00E40B76"/>
    <w:rsid w:val="00E42461"/>
    <w:rsid w:val="00E4443D"/>
    <w:rsid w:val="00E4670F"/>
    <w:rsid w:val="00E47A04"/>
    <w:rsid w:val="00E51E6F"/>
    <w:rsid w:val="00E52EB0"/>
    <w:rsid w:val="00E54352"/>
    <w:rsid w:val="00E5644E"/>
    <w:rsid w:val="00E5654F"/>
    <w:rsid w:val="00E56849"/>
    <w:rsid w:val="00E5691C"/>
    <w:rsid w:val="00E631BA"/>
    <w:rsid w:val="00E6448B"/>
    <w:rsid w:val="00E65EA7"/>
    <w:rsid w:val="00E6613A"/>
    <w:rsid w:val="00E67F31"/>
    <w:rsid w:val="00E706A0"/>
    <w:rsid w:val="00E7260F"/>
    <w:rsid w:val="00E730D8"/>
    <w:rsid w:val="00E73EB3"/>
    <w:rsid w:val="00E7545A"/>
    <w:rsid w:val="00E81230"/>
    <w:rsid w:val="00E8254A"/>
    <w:rsid w:val="00E84898"/>
    <w:rsid w:val="00E8535A"/>
    <w:rsid w:val="00E864BE"/>
    <w:rsid w:val="00E90647"/>
    <w:rsid w:val="00E92537"/>
    <w:rsid w:val="00E96630"/>
    <w:rsid w:val="00EA0364"/>
    <w:rsid w:val="00EA2DCD"/>
    <w:rsid w:val="00EA3179"/>
    <w:rsid w:val="00EA48C4"/>
    <w:rsid w:val="00EA772F"/>
    <w:rsid w:val="00EB1763"/>
    <w:rsid w:val="00EB2AE3"/>
    <w:rsid w:val="00EB3B84"/>
    <w:rsid w:val="00EB4C06"/>
    <w:rsid w:val="00EB51D5"/>
    <w:rsid w:val="00EB56BD"/>
    <w:rsid w:val="00EB65EF"/>
    <w:rsid w:val="00EB6832"/>
    <w:rsid w:val="00EB71BA"/>
    <w:rsid w:val="00EB798F"/>
    <w:rsid w:val="00EC14E9"/>
    <w:rsid w:val="00EC271A"/>
    <w:rsid w:val="00EC3561"/>
    <w:rsid w:val="00EC755A"/>
    <w:rsid w:val="00ED128B"/>
    <w:rsid w:val="00ED3508"/>
    <w:rsid w:val="00ED3F6F"/>
    <w:rsid w:val="00ED64BE"/>
    <w:rsid w:val="00ED7A2A"/>
    <w:rsid w:val="00EE2ECD"/>
    <w:rsid w:val="00EE4D59"/>
    <w:rsid w:val="00EE4E42"/>
    <w:rsid w:val="00EE73C3"/>
    <w:rsid w:val="00EF18D3"/>
    <w:rsid w:val="00EF1D7F"/>
    <w:rsid w:val="00EF4AAC"/>
    <w:rsid w:val="00EF6FCD"/>
    <w:rsid w:val="00F00971"/>
    <w:rsid w:val="00F01C57"/>
    <w:rsid w:val="00F03FA2"/>
    <w:rsid w:val="00F05283"/>
    <w:rsid w:val="00F05690"/>
    <w:rsid w:val="00F07537"/>
    <w:rsid w:val="00F075EF"/>
    <w:rsid w:val="00F07E12"/>
    <w:rsid w:val="00F1200D"/>
    <w:rsid w:val="00F138E5"/>
    <w:rsid w:val="00F14682"/>
    <w:rsid w:val="00F21360"/>
    <w:rsid w:val="00F24A2B"/>
    <w:rsid w:val="00F30A8A"/>
    <w:rsid w:val="00F34267"/>
    <w:rsid w:val="00F3574D"/>
    <w:rsid w:val="00F364EF"/>
    <w:rsid w:val="00F37E88"/>
    <w:rsid w:val="00F40295"/>
    <w:rsid w:val="00F40E75"/>
    <w:rsid w:val="00F412D3"/>
    <w:rsid w:val="00F4216E"/>
    <w:rsid w:val="00F44004"/>
    <w:rsid w:val="00F444E3"/>
    <w:rsid w:val="00F44619"/>
    <w:rsid w:val="00F5039C"/>
    <w:rsid w:val="00F5087E"/>
    <w:rsid w:val="00F519D1"/>
    <w:rsid w:val="00F51BAB"/>
    <w:rsid w:val="00F51FD8"/>
    <w:rsid w:val="00F5233F"/>
    <w:rsid w:val="00F52DB2"/>
    <w:rsid w:val="00F535BE"/>
    <w:rsid w:val="00F54674"/>
    <w:rsid w:val="00F555BC"/>
    <w:rsid w:val="00F60E87"/>
    <w:rsid w:val="00F64C95"/>
    <w:rsid w:val="00F653C4"/>
    <w:rsid w:val="00F71468"/>
    <w:rsid w:val="00F72514"/>
    <w:rsid w:val="00F736C5"/>
    <w:rsid w:val="00F75E96"/>
    <w:rsid w:val="00F807CE"/>
    <w:rsid w:val="00F80C07"/>
    <w:rsid w:val="00F902D7"/>
    <w:rsid w:val="00F90657"/>
    <w:rsid w:val="00F92B0D"/>
    <w:rsid w:val="00F93EAB"/>
    <w:rsid w:val="00F940FF"/>
    <w:rsid w:val="00FA00A0"/>
    <w:rsid w:val="00FA1DE0"/>
    <w:rsid w:val="00FA2701"/>
    <w:rsid w:val="00FA31C1"/>
    <w:rsid w:val="00FA3FB7"/>
    <w:rsid w:val="00FB0621"/>
    <w:rsid w:val="00FB2CDB"/>
    <w:rsid w:val="00FB5A37"/>
    <w:rsid w:val="00FB7793"/>
    <w:rsid w:val="00FC18AA"/>
    <w:rsid w:val="00FC215C"/>
    <w:rsid w:val="00FC29AA"/>
    <w:rsid w:val="00FC29EC"/>
    <w:rsid w:val="00FC68B7"/>
    <w:rsid w:val="00FC72C4"/>
    <w:rsid w:val="00FD3C5D"/>
    <w:rsid w:val="00FD3E70"/>
    <w:rsid w:val="00FD4128"/>
    <w:rsid w:val="00FD6B2B"/>
    <w:rsid w:val="00FE2B81"/>
    <w:rsid w:val="00FE3EEA"/>
    <w:rsid w:val="00FE5882"/>
    <w:rsid w:val="00FE75BD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3F359064"/>
  <w15:docId w15:val="{8C147BAB-25DE-4A75-A65C-37074E44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BD109F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BD109F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1GChar">
    <w:name w:val="_ H_1_G Char"/>
    <w:link w:val="H1G"/>
    <w:rsid w:val="000E23BE"/>
    <w:rPr>
      <w:b/>
      <w:sz w:val="24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B84944"/>
    <w:rPr>
      <w:lang w:val="x-none" w:eastAsia="en-US"/>
    </w:rPr>
  </w:style>
  <w:style w:type="character" w:customStyle="1" w:styleId="Heading2Char">
    <w:name w:val="Heading 2 Char"/>
    <w:basedOn w:val="DefaultParagraphFont"/>
    <w:link w:val="Heading2"/>
    <w:rsid w:val="00B84944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B84944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B84944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B84944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B84944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B84944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B84944"/>
    <w:rPr>
      <w:lang w:eastAsia="en-US"/>
    </w:rPr>
  </w:style>
  <w:style w:type="paragraph" w:customStyle="1" w:styleId="a">
    <w:name w:val="–"/>
    <w:semiHidden/>
    <w:rsid w:val="00B84944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val="en-US" w:eastAsia="en-US"/>
    </w:rPr>
  </w:style>
  <w:style w:type="paragraph" w:customStyle="1" w:styleId="font5">
    <w:name w:val="font5"/>
    <w:basedOn w:val="Normal"/>
    <w:semiHidden/>
    <w:rsid w:val="00B84944"/>
    <w:pPr>
      <w:suppressAutoHyphens w:val="0"/>
      <w:spacing w:before="100" w:beforeAutospacing="1" w:after="100" w:afterAutospacing="1" w:line="240" w:lineRule="auto"/>
    </w:pPr>
    <w:rPr>
      <w:rFonts w:ascii="CG Times" w:eastAsia="Times New Roman" w:hAnsi="CG Times"/>
    </w:rPr>
  </w:style>
  <w:style w:type="paragraph" w:customStyle="1" w:styleId="Document1">
    <w:name w:val="Document 1"/>
    <w:semiHidden/>
    <w:rsid w:val="00B84944"/>
    <w:pPr>
      <w:keepNext/>
      <w:keepLines/>
      <w:tabs>
        <w:tab w:val="left" w:pos="-720"/>
      </w:tabs>
      <w:suppressAutoHyphens/>
    </w:pPr>
    <w:rPr>
      <w:rFonts w:ascii="Times Roman" w:eastAsia="Times New Roman" w:hAnsi="Times Roman"/>
      <w:sz w:val="22"/>
      <w:lang w:val="en-US" w:eastAsia="en-US"/>
    </w:rPr>
  </w:style>
  <w:style w:type="paragraph" w:customStyle="1" w:styleId="Num-DocParagraph">
    <w:name w:val="Num-Doc Paragraph"/>
    <w:basedOn w:val="BodyText"/>
    <w:semiHidden/>
    <w:rsid w:val="00B84944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eastAsia="Times New Roman" w:hAnsi="Times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B84944"/>
    <w:rPr>
      <w:lang w:eastAsia="en-US"/>
    </w:rPr>
  </w:style>
  <w:style w:type="character" w:customStyle="1" w:styleId="DateChar">
    <w:name w:val="Date Char"/>
    <w:basedOn w:val="DefaultParagraphFont"/>
    <w:link w:val="Date"/>
    <w:rsid w:val="00B84944"/>
    <w:rPr>
      <w:lang w:eastAsia="en-US"/>
    </w:rPr>
  </w:style>
  <w:style w:type="character" w:customStyle="1" w:styleId="BodyText3Char">
    <w:name w:val="Body Text 3 Char"/>
    <w:basedOn w:val="DefaultParagraphFont"/>
    <w:link w:val="BodyText3"/>
    <w:rsid w:val="00B84944"/>
    <w:rPr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B84944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B84944"/>
    <w:rPr>
      <w:lang w:eastAsia="en-US"/>
    </w:rPr>
  </w:style>
  <w:style w:type="paragraph" w:styleId="Caption">
    <w:name w:val="caption"/>
    <w:basedOn w:val="Normal"/>
    <w:next w:val="Normal"/>
    <w:qFormat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b/>
      <w:bCs/>
      <w:lang w:val="fr-FR" w:eastAsia="fr-FR"/>
    </w:rPr>
  </w:style>
  <w:style w:type="character" w:customStyle="1" w:styleId="ClosingChar">
    <w:name w:val="Closing Char"/>
    <w:basedOn w:val="DefaultParagraphFont"/>
    <w:link w:val="Closing"/>
    <w:rsid w:val="00B84944"/>
    <w:rPr>
      <w:lang w:eastAsia="en-US"/>
    </w:rPr>
  </w:style>
  <w:style w:type="paragraph" w:styleId="DocumentMap">
    <w:name w:val="Document Map"/>
    <w:basedOn w:val="Normal"/>
    <w:link w:val="DocumentMapChar"/>
    <w:semiHidden/>
    <w:rsid w:val="00B84944"/>
    <w:pPr>
      <w:shd w:val="clear" w:color="auto" w:fill="000080"/>
      <w:suppressAutoHyphens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lang w:val="fr-FR" w:eastAsia="fr-FR"/>
    </w:rPr>
  </w:style>
  <w:style w:type="character" w:customStyle="1" w:styleId="DocumentMapChar">
    <w:name w:val="Document Map Char"/>
    <w:basedOn w:val="DefaultParagraphFont"/>
    <w:link w:val="DocumentMap"/>
    <w:semiHidden/>
    <w:rsid w:val="00B84944"/>
    <w:rPr>
      <w:rFonts w:ascii="Tahoma" w:eastAsia="Times New Roman" w:hAnsi="Tahoma" w:cs="Tahoma"/>
      <w:shd w:val="clear" w:color="auto" w:fill="000080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B84944"/>
    <w:rPr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B84944"/>
    <w:rPr>
      <w:sz w:val="18"/>
      <w:lang w:val="x-none" w:eastAsia="en-US"/>
    </w:rPr>
  </w:style>
  <w:style w:type="character" w:customStyle="1" w:styleId="HTMLAddressChar">
    <w:name w:val="HTML Address Char"/>
    <w:basedOn w:val="DefaultParagraphFont"/>
    <w:link w:val="HTMLAddress"/>
    <w:rsid w:val="00B84944"/>
    <w:rPr>
      <w:i/>
      <w:iCs/>
      <w:lang w:eastAsia="en-US"/>
    </w:rPr>
  </w:style>
  <w:style w:type="paragraph" w:styleId="Index1">
    <w:name w:val="index 1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 w:hanging="200"/>
    </w:pPr>
    <w:rPr>
      <w:rFonts w:ascii="Times" w:eastAsia="Times New Roman" w:hAnsi="Times"/>
      <w:lang w:val="fr-FR" w:eastAsia="fr-FR"/>
    </w:rPr>
  </w:style>
  <w:style w:type="paragraph" w:styleId="Index2">
    <w:name w:val="index 2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400" w:hanging="200"/>
    </w:pPr>
    <w:rPr>
      <w:rFonts w:ascii="Times" w:eastAsia="Times New Roman" w:hAnsi="Times"/>
      <w:lang w:val="fr-FR" w:eastAsia="fr-FR"/>
    </w:rPr>
  </w:style>
  <w:style w:type="paragraph" w:styleId="Index3">
    <w:name w:val="index 3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600" w:hanging="200"/>
    </w:pPr>
    <w:rPr>
      <w:rFonts w:ascii="Times" w:eastAsia="Times New Roman" w:hAnsi="Times"/>
      <w:lang w:val="fr-FR" w:eastAsia="fr-FR"/>
    </w:rPr>
  </w:style>
  <w:style w:type="paragraph" w:styleId="Index4">
    <w:name w:val="index 4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800" w:hanging="200"/>
    </w:pPr>
    <w:rPr>
      <w:rFonts w:ascii="Times" w:eastAsia="Times New Roman" w:hAnsi="Times"/>
      <w:lang w:val="fr-FR" w:eastAsia="fr-FR"/>
    </w:rPr>
  </w:style>
  <w:style w:type="paragraph" w:styleId="Index5">
    <w:name w:val="index 5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000" w:hanging="200"/>
    </w:pPr>
    <w:rPr>
      <w:rFonts w:ascii="Times" w:eastAsia="Times New Roman" w:hAnsi="Times"/>
      <w:lang w:val="fr-FR" w:eastAsia="fr-FR"/>
    </w:rPr>
  </w:style>
  <w:style w:type="paragraph" w:styleId="Index6">
    <w:name w:val="index 6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200" w:hanging="200"/>
    </w:pPr>
    <w:rPr>
      <w:rFonts w:ascii="Times" w:eastAsia="Times New Roman" w:hAnsi="Times"/>
      <w:lang w:val="fr-FR" w:eastAsia="fr-FR"/>
    </w:rPr>
  </w:style>
  <w:style w:type="paragraph" w:styleId="Index7">
    <w:name w:val="index 7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400" w:hanging="200"/>
    </w:pPr>
    <w:rPr>
      <w:rFonts w:ascii="Times" w:eastAsia="Times New Roman" w:hAnsi="Times"/>
      <w:lang w:val="fr-FR" w:eastAsia="fr-FR"/>
    </w:rPr>
  </w:style>
  <w:style w:type="paragraph" w:styleId="Index8">
    <w:name w:val="index 8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600" w:hanging="200"/>
    </w:pPr>
    <w:rPr>
      <w:rFonts w:ascii="Times" w:eastAsia="Times New Roman" w:hAnsi="Times"/>
      <w:lang w:val="fr-FR" w:eastAsia="fr-FR"/>
    </w:rPr>
  </w:style>
  <w:style w:type="paragraph" w:styleId="Index9">
    <w:name w:val="index 9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800" w:hanging="200"/>
    </w:pPr>
    <w:rPr>
      <w:rFonts w:ascii="Times" w:eastAsia="Times New Roman" w:hAnsi="Times"/>
      <w:lang w:val="fr-FR" w:eastAsia="fr-FR"/>
    </w:rPr>
  </w:style>
  <w:style w:type="paragraph" w:styleId="IndexHeading">
    <w:name w:val="index heading"/>
    <w:basedOn w:val="Normal"/>
    <w:next w:val="Index1"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lang w:val="fr-FR" w:eastAsia="fr-FR"/>
    </w:rPr>
  </w:style>
  <w:style w:type="paragraph" w:styleId="MacroText">
    <w:name w:val="macro"/>
    <w:link w:val="MacroTextChar"/>
    <w:semiHidden/>
    <w:rsid w:val="00B849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fr-FR" w:eastAsia="fr-FR"/>
    </w:rPr>
  </w:style>
  <w:style w:type="character" w:customStyle="1" w:styleId="MacroTextChar">
    <w:name w:val="Macro Text Char"/>
    <w:basedOn w:val="DefaultParagraphFont"/>
    <w:link w:val="MacroText"/>
    <w:semiHidden/>
    <w:rsid w:val="00B84944"/>
    <w:rPr>
      <w:rFonts w:ascii="Courier New" w:eastAsia="Times New Roman" w:hAnsi="Courier New" w:cs="Courier New"/>
      <w:lang w:val="fr-FR" w:eastAsia="fr-FR"/>
    </w:rPr>
  </w:style>
  <w:style w:type="character" w:customStyle="1" w:styleId="MessageHeaderChar">
    <w:name w:val="Message Header Char"/>
    <w:basedOn w:val="DefaultParagraphFont"/>
    <w:link w:val="MessageHeader"/>
    <w:rsid w:val="00B84944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B84944"/>
    <w:rPr>
      <w:lang w:eastAsia="en-US"/>
    </w:rPr>
  </w:style>
  <w:style w:type="character" w:customStyle="1" w:styleId="PlainTextChar">
    <w:name w:val="Plain Text Char"/>
    <w:basedOn w:val="DefaultParagraphFont"/>
    <w:link w:val="PlainText"/>
    <w:rsid w:val="00B84944"/>
    <w:rPr>
      <w:rFonts w:cs="Courier New"/>
      <w:lang w:eastAsia="en-US"/>
    </w:rPr>
  </w:style>
  <w:style w:type="character" w:customStyle="1" w:styleId="SalutationChar">
    <w:name w:val="Salutation Char"/>
    <w:basedOn w:val="DefaultParagraphFont"/>
    <w:link w:val="Salutation"/>
    <w:rsid w:val="00B84944"/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B84944"/>
    <w:rPr>
      <w:lang w:eastAsia="en-US"/>
    </w:rPr>
  </w:style>
  <w:style w:type="character" w:customStyle="1" w:styleId="SubtitleChar">
    <w:name w:val="Subtitle Char"/>
    <w:basedOn w:val="DefaultParagraphFont"/>
    <w:link w:val="Subtitle"/>
    <w:rsid w:val="00B84944"/>
    <w:rPr>
      <w:rFonts w:ascii="Arial" w:hAnsi="Arial" w:cs="Arial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 w:hanging="200"/>
    </w:pPr>
    <w:rPr>
      <w:rFonts w:ascii="Times" w:eastAsia="Times New Roman" w:hAnsi="Times"/>
      <w:lang w:val="fr-FR" w:eastAsia="fr-FR"/>
    </w:rPr>
  </w:style>
  <w:style w:type="paragraph" w:styleId="TableofFigures">
    <w:name w:val="table of figures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lang w:val="fr-FR" w:eastAsia="fr-FR"/>
    </w:rPr>
  </w:style>
  <w:style w:type="paragraph" w:styleId="TOAHeading">
    <w:name w:val="toa heading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paragraph" w:styleId="TOC1">
    <w:name w:val="toc 1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lang w:val="fr-FR" w:eastAsia="fr-FR"/>
    </w:rPr>
  </w:style>
  <w:style w:type="paragraph" w:styleId="TOC2">
    <w:name w:val="toc 2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/>
    </w:pPr>
    <w:rPr>
      <w:rFonts w:ascii="Times" w:eastAsia="Times New Roman" w:hAnsi="Times"/>
      <w:lang w:val="fr-FR" w:eastAsia="fr-FR"/>
    </w:rPr>
  </w:style>
  <w:style w:type="paragraph" w:styleId="TOC3">
    <w:name w:val="toc 3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400"/>
    </w:pPr>
    <w:rPr>
      <w:rFonts w:ascii="Times" w:eastAsia="Times New Roman" w:hAnsi="Times"/>
      <w:lang w:val="fr-FR" w:eastAsia="fr-FR"/>
    </w:rPr>
  </w:style>
  <w:style w:type="paragraph" w:styleId="TOC4">
    <w:name w:val="toc 4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600"/>
    </w:pPr>
    <w:rPr>
      <w:rFonts w:ascii="Times" w:eastAsia="Times New Roman" w:hAnsi="Times"/>
      <w:lang w:val="fr-FR" w:eastAsia="fr-FR"/>
    </w:rPr>
  </w:style>
  <w:style w:type="paragraph" w:styleId="TOC5">
    <w:name w:val="toc 5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800"/>
    </w:pPr>
    <w:rPr>
      <w:rFonts w:ascii="Times" w:eastAsia="Times New Roman" w:hAnsi="Times"/>
      <w:lang w:val="fr-FR" w:eastAsia="fr-FR"/>
    </w:rPr>
  </w:style>
  <w:style w:type="paragraph" w:styleId="TOC6">
    <w:name w:val="toc 6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000"/>
    </w:pPr>
    <w:rPr>
      <w:rFonts w:ascii="Times" w:eastAsia="Times New Roman" w:hAnsi="Times"/>
      <w:lang w:val="fr-FR" w:eastAsia="fr-FR"/>
    </w:rPr>
  </w:style>
  <w:style w:type="paragraph" w:styleId="TOC7">
    <w:name w:val="toc 7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200"/>
    </w:pPr>
    <w:rPr>
      <w:rFonts w:ascii="Times" w:eastAsia="Times New Roman" w:hAnsi="Times"/>
      <w:lang w:val="fr-FR" w:eastAsia="fr-FR"/>
    </w:rPr>
  </w:style>
  <w:style w:type="paragraph" w:styleId="TOC8">
    <w:name w:val="toc 8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400"/>
    </w:pPr>
    <w:rPr>
      <w:rFonts w:ascii="Times" w:eastAsia="Times New Roman" w:hAnsi="Times"/>
      <w:lang w:val="fr-FR" w:eastAsia="fr-FR"/>
    </w:rPr>
  </w:style>
  <w:style w:type="paragraph" w:styleId="TOC9">
    <w:name w:val="toc 9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600"/>
    </w:pPr>
    <w:rPr>
      <w:rFonts w:ascii="Times" w:eastAsia="Times New Roman" w:hAnsi="Times"/>
      <w:lang w:val="fr-FR" w:eastAsia="fr-FR"/>
    </w:rPr>
  </w:style>
  <w:style w:type="table" w:customStyle="1" w:styleId="TableGrid10">
    <w:name w:val="Table Grid1"/>
    <w:basedOn w:val="TableNormal"/>
    <w:next w:val="TableGrid"/>
    <w:uiPriority w:val="39"/>
    <w:rsid w:val="00E16FF3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workaustralia.gov.au/doc/proposal-adopt-ghs-7-consultation-summar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4C94-CC76-49E1-83FB-150F675D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12</TotalTime>
  <Pages>3</Pages>
  <Words>1494</Words>
  <Characters>8517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rfoster</dc:creator>
  <cp:keywords/>
  <dc:description/>
  <cp:lastModifiedBy>Laurence Berthet</cp:lastModifiedBy>
  <cp:revision>4</cp:revision>
  <cp:lastPrinted>2019-10-08T11:10:00Z</cp:lastPrinted>
  <dcterms:created xsi:type="dcterms:W3CDTF">2019-10-08T06:53:00Z</dcterms:created>
  <dcterms:modified xsi:type="dcterms:W3CDTF">2019-10-08T11:11:00Z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