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0D81" w:rsidRPr="0099001C" w14:paraId="45378A24" w14:textId="77777777" w:rsidTr="000D5782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146D6E92" w14:textId="77777777" w:rsidR="00EF0D81" w:rsidRPr="0099001C" w:rsidRDefault="00EF0D81" w:rsidP="006F4D98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C87759">
              <w:rPr>
                <w:b/>
                <w:sz w:val="40"/>
                <w:szCs w:val="40"/>
              </w:rPr>
              <w:t>38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AB702E">
              <w:rPr>
                <w:b/>
                <w:sz w:val="40"/>
                <w:szCs w:val="40"/>
              </w:rPr>
              <w:t>31</w:t>
            </w:r>
          </w:p>
        </w:tc>
      </w:tr>
      <w:tr w:rsidR="00EF0D81" w14:paraId="038F7BB2" w14:textId="77777777" w:rsidTr="000D5782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7EBB5C45" w14:textId="77777777" w:rsidR="00EF0D81" w:rsidRPr="00691F20" w:rsidRDefault="00EF0D81" w:rsidP="000D578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74CFB10F" w14:textId="77777777" w:rsidR="00EF0D81" w:rsidRPr="009F0F06" w:rsidRDefault="00EF0D81" w:rsidP="000D5782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C87759">
              <w:rPr>
                <w:b/>
                <w:lang w:val="en-US"/>
              </w:rPr>
              <w:t>1</w:t>
            </w:r>
            <w:r w:rsidR="0036471F">
              <w:rPr>
                <w:b/>
                <w:lang w:val="en-US"/>
              </w:rPr>
              <w:t>2</w:t>
            </w:r>
            <w:r w:rsidR="00C87759">
              <w:rPr>
                <w:b/>
                <w:lang w:val="en-US"/>
              </w:rPr>
              <w:t xml:space="preserve"> December</w:t>
            </w:r>
            <w:r w:rsidR="006F4D98">
              <w:rPr>
                <w:b/>
                <w:lang w:val="en-US"/>
              </w:rPr>
              <w:t xml:space="preserve"> 2019</w:t>
            </w:r>
          </w:p>
          <w:p w14:paraId="5EC87F2A" w14:textId="77777777" w:rsidR="00EF0D81" w:rsidRPr="006E39A4" w:rsidRDefault="00EF0D81" w:rsidP="000D5782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C87759">
              <w:rPr>
                <w:b/>
              </w:rPr>
              <w:t>eighth</w:t>
            </w:r>
            <w:r w:rsidR="006F4D98" w:rsidRPr="006E39A4">
              <w:rPr>
                <w:b/>
              </w:rPr>
              <w:t xml:space="preserve"> </w:t>
            </w:r>
            <w:r w:rsidRPr="006E39A4">
              <w:rPr>
                <w:b/>
              </w:rPr>
              <w:t>session</w:t>
            </w:r>
          </w:p>
          <w:p w14:paraId="4CC34BB1" w14:textId="77777777" w:rsidR="00EF0D81" w:rsidRPr="006E39A4" w:rsidRDefault="00EF0D81" w:rsidP="000D5782">
            <w:r w:rsidRPr="006E39A4">
              <w:t xml:space="preserve">Geneva, </w:t>
            </w:r>
            <w:r w:rsidR="00C87759">
              <w:t>11-13</w:t>
            </w:r>
            <w:r>
              <w:t xml:space="preserve"> </w:t>
            </w:r>
            <w:r w:rsidR="00C87759">
              <w:t>December</w:t>
            </w:r>
            <w:r w:rsidR="006F4D98">
              <w:t xml:space="preserve"> 2019</w:t>
            </w:r>
          </w:p>
          <w:p w14:paraId="7B3BB28B" w14:textId="77777777" w:rsidR="00EF0D81" w:rsidRDefault="00EF0D81" w:rsidP="000D5782">
            <w:r w:rsidRPr="006E39A4">
              <w:t xml:space="preserve">Item </w:t>
            </w:r>
            <w:r w:rsidR="006F4D98">
              <w:t>2</w:t>
            </w:r>
            <w:r w:rsidR="00E92A64">
              <w:t xml:space="preserve"> </w:t>
            </w:r>
            <w:r w:rsidR="006F4D98">
              <w:t>(</w:t>
            </w:r>
            <w:r w:rsidR="0036471F">
              <w:t>h</w:t>
            </w:r>
            <w:r w:rsidR="006F4D98">
              <w:t xml:space="preserve">) </w:t>
            </w:r>
            <w:r w:rsidRPr="006E39A4">
              <w:t>of the provisional agenda</w:t>
            </w:r>
          </w:p>
          <w:p w14:paraId="3C3D7841" w14:textId="77777777" w:rsidR="00EF0D81" w:rsidRDefault="006F4D98" w:rsidP="00E92A64">
            <w:pPr>
              <w:rPr>
                <w:b/>
              </w:rPr>
            </w:pPr>
            <w:r>
              <w:rPr>
                <w:b/>
              </w:rPr>
              <w:t>Classification criteria and related hazard communication</w:t>
            </w:r>
            <w:r w:rsidR="0036471F">
              <w:rPr>
                <w:b/>
              </w:rPr>
              <w:t>:</w:t>
            </w:r>
          </w:p>
          <w:p w14:paraId="1D3B35E6" w14:textId="77777777" w:rsidR="0036471F" w:rsidRDefault="0036471F" w:rsidP="00E92A64">
            <w:r>
              <w:rPr>
                <w:b/>
              </w:rPr>
              <w:t>other issues</w:t>
            </w:r>
          </w:p>
        </w:tc>
      </w:tr>
    </w:tbl>
    <w:p w14:paraId="3289058D" w14:textId="77777777" w:rsidR="00E92A64" w:rsidRPr="00E14112" w:rsidRDefault="00EF0D81" w:rsidP="00E92A64">
      <w:pPr>
        <w:pStyle w:val="HChG"/>
      </w:pPr>
      <w:r w:rsidRPr="00F66549">
        <w:rPr>
          <w:rFonts w:eastAsia="MS Mincho"/>
        </w:rPr>
        <w:tab/>
      </w:r>
      <w:r w:rsidRPr="00F66549">
        <w:rPr>
          <w:rFonts w:eastAsia="MS Mincho"/>
        </w:rPr>
        <w:tab/>
      </w:r>
      <w:r w:rsidR="000A3524">
        <w:t xml:space="preserve">Alternative proposal to </w:t>
      </w:r>
      <w:r w:rsidR="00AB702E">
        <w:t>INF.4</w:t>
      </w:r>
      <w:r w:rsidR="000A3524">
        <w:t xml:space="preserve">: </w:t>
      </w:r>
      <w:r w:rsidR="0036471F">
        <w:t>Proposed clarification of eye irritation sub-categorization</w:t>
      </w:r>
      <w:r w:rsidR="00FC294C">
        <w:t xml:space="preserve"> </w:t>
      </w:r>
    </w:p>
    <w:p w14:paraId="4DA6BA4E" w14:textId="77777777" w:rsidR="00E92A64" w:rsidRPr="00AB702E" w:rsidRDefault="00EF0D81" w:rsidP="00AB702E">
      <w:pPr>
        <w:pStyle w:val="H1G"/>
        <w:ind w:right="141"/>
        <w:rPr>
          <w:rFonts w:eastAsia="MS Mincho"/>
          <w:highlight w:val="yellow"/>
        </w:rPr>
      </w:pPr>
      <w:r w:rsidRPr="00F66549">
        <w:rPr>
          <w:rFonts w:eastAsia="MS Mincho"/>
        </w:rPr>
        <w:tab/>
      </w:r>
      <w:r w:rsidRPr="00F66549">
        <w:rPr>
          <w:rFonts w:eastAsia="MS Mincho"/>
        </w:rPr>
        <w:tab/>
      </w:r>
      <w:r>
        <w:rPr>
          <w:rFonts w:eastAsia="MS Mincho"/>
        </w:rPr>
        <w:t xml:space="preserve">Transmitted by the expert from the United States of America </w:t>
      </w:r>
    </w:p>
    <w:p w14:paraId="10461223" w14:textId="77777777" w:rsidR="00C87759" w:rsidRDefault="00C87759" w:rsidP="00AB702E">
      <w:pPr>
        <w:pStyle w:val="ListParagraph"/>
        <w:numPr>
          <w:ilvl w:val="0"/>
          <w:numId w:val="10"/>
        </w:numPr>
        <w:ind w:left="1134" w:firstLine="0"/>
        <w:rPr>
          <w:rFonts w:ascii="Times New Roman" w:hAnsi="Times New Roman" w:cs="Times New Roman"/>
        </w:rPr>
      </w:pPr>
      <w:r w:rsidRPr="00C87759">
        <w:rPr>
          <w:rFonts w:ascii="Times New Roman" w:hAnsi="Times New Roman" w:cs="Times New Roman"/>
        </w:rPr>
        <w:t>This informal document provides</w:t>
      </w:r>
      <w:r w:rsidR="0036471F">
        <w:rPr>
          <w:rFonts w:ascii="Times New Roman" w:hAnsi="Times New Roman" w:cs="Times New Roman"/>
        </w:rPr>
        <w:t xml:space="preserve"> proposed editorial amendments</w:t>
      </w:r>
      <w:r w:rsidRPr="00C87759">
        <w:rPr>
          <w:rFonts w:ascii="Times New Roman" w:hAnsi="Times New Roman" w:cs="Times New Roman"/>
        </w:rPr>
        <w:t xml:space="preserve"> </w:t>
      </w:r>
      <w:r w:rsidR="000A3524">
        <w:rPr>
          <w:rFonts w:ascii="Times New Roman" w:hAnsi="Times New Roman" w:cs="Times New Roman"/>
        </w:rPr>
        <w:t xml:space="preserve">to GHS Chapter 3.3 </w:t>
      </w:r>
      <w:r w:rsidR="0036471F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an </w:t>
      </w:r>
      <w:r w:rsidR="0036471F">
        <w:rPr>
          <w:rFonts w:ascii="Times New Roman" w:hAnsi="Times New Roman" w:cs="Times New Roman"/>
        </w:rPr>
        <w:t xml:space="preserve">alternate approach to the proposal presented in UN/SCEGHS/38/INF.4 </w:t>
      </w:r>
      <w:r w:rsidR="00FC294C">
        <w:rPr>
          <w:rFonts w:ascii="Times New Roman" w:hAnsi="Times New Roman" w:cs="Times New Roman"/>
        </w:rPr>
        <w:t xml:space="preserve">provided </w:t>
      </w:r>
      <w:r w:rsidR="0036471F">
        <w:rPr>
          <w:rFonts w:ascii="Times New Roman" w:hAnsi="Times New Roman" w:cs="Times New Roman"/>
        </w:rPr>
        <w:t>by Australia</w:t>
      </w:r>
      <w:r w:rsidRPr="00C87759">
        <w:rPr>
          <w:rFonts w:ascii="Times New Roman" w:hAnsi="Times New Roman" w:cs="Times New Roman"/>
        </w:rPr>
        <w:t xml:space="preserve">.  </w:t>
      </w:r>
    </w:p>
    <w:p w14:paraId="6B328D59" w14:textId="77777777" w:rsidR="0036471F" w:rsidRDefault="0036471F" w:rsidP="0036471F">
      <w:pPr>
        <w:pStyle w:val="ListParagraph"/>
        <w:ind w:left="1494"/>
        <w:rPr>
          <w:rFonts w:ascii="Times New Roman" w:hAnsi="Times New Roman" w:cs="Times New Roman"/>
        </w:rPr>
      </w:pPr>
    </w:p>
    <w:p w14:paraId="0D6577DC" w14:textId="77777777" w:rsidR="0036471F" w:rsidRDefault="00FC294C" w:rsidP="00C877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36471F">
        <w:rPr>
          <w:rFonts w:ascii="Times New Roman" w:hAnsi="Times New Roman" w:cs="Times New Roman"/>
        </w:rPr>
        <w:t>roposed editorial amendments in Chapter 3.3 are presented below:</w:t>
      </w:r>
    </w:p>
    <w:p w14:paraId="08B3F563" w14:textId="77777777" w:rsidR="0036471F" w:rsidRPr="0036471F" w:rsidRDefault="0036471F" w:rsidP="0036471F"/>
    <w:p w14:paraId="7AD98EDC" w14:textId="77777777" w:rsidR="0036471F" w:rsidRPr="001D6814" w:rsidRDefault="0036471F" w:rsidP="00AB702E">
      <w:pPr>
        <w:pStyle w:val="GHSHeading4"/>
        <w:keepNext w:val="0"/>
        <w:keepLines w:val="0"/>
        <w:tabs>
          <w:tab w:val="clear" w:pos="1418"/>
          <w:tab w:val="clear" w:pos="1985"/>
          <w:tab w:val="clear" w:pos="2552"/>
          <w:tab w:val="clear" w:pos="3119"/>
          <w:tab w:val="clear" w:pos="3686"/>
        </w:tabs>
        <w:spacing w:after="240"/>
        <w:ind w:left="720" w:firstLine="840"/>
        <w:rPr>
          <w:b w:val="0"/>
          <w:sz w:val="20"/>
          <w:szCs w:val="20"/>
        </w:rPr>
      </w:pPr>
      <w:r w:rsidRPr="001D6814">
        <w:rPr>
          <w:b w:val="0"/>
          <w:sz w:val="20"/>
          <w:szCs w:val="20"/>
        </w:rPr>
        <w:t>3.3.2.1.2</w:t>
      </w:r>
      <w:r w:rsidRPr="001D6814">
        <w:rPr>
          <w:b w:val="0"/>
          <w:sz w:val="20"/>
          <w:szCs w:val="20"/>
        </w:rPr>
        <w:tab/>
      </w:r>
      <w:r w:rsidRPr="001D6814">
        <w:rPr>
          <w:b w:val="0"/>
          <w:i/>
          <w:sz w:val="20"/>
          <w:szCs w:val="20"/>
        </w:rPr>
        <w:t>Eye irritation (Category 2)/Reversible effects on the eye</w:t>
      </w:r>
      <w:r w:rsidRPr="001D6814">
        <w:rPr>
          <w:b w:val="0"/>
          <w:sz w:val="20"/>
          <w:szCs w:val="20"/>
        </w:rPr>
        <w:t xml:space="preserve"> </w:t>
      </w:r>
    </w:p>
    <w:p w14:paraId="074A7B19" w14:textId="77777777" w:rsidR="0036471F" w:rsidRPr="001D6814" w:rsidRDefault="0036471F" w:rsidP="00AB702E">
      <w:pPr>
        <w:tabs>
          <w:tab w:val="left" w:pos="1418"/>
          <w:tab w:val="left" w:pos="1985"/>
          <w:tab w:val="left" w:pos="2835"/>
          <w:tab w:val="left" w:pos="3119"/>
          <w:tab w:val="left" w:pos="3686"/>
        </w:tabs>
        <w:spacing w:after="240"/>
        <w:ind w:left="1560"/>
        <w:jc w:val="both"/>
      </w:pPr>
      <w:r w:rsidRPr="001D6814">
        <w:t>3.3.2.1.2.1</w:t>
      </w:r>
      <w:r w:rsidRPr="001D6814">
        <w:tab/>
      </w:r>
      <w:r>
        <w:rPr>
          <w:color w:val="FF0000"/>
          <w:u w:val="single"/>
        </w:rPr>
        <w:t xml:space="preserve">A single category (Category 2) is adopted for substances </w:t>
      </w:r>
      <w:proofErr w:type="spellStart"/>
      <w:r w:rsidRPr="00BC248E">
        <w:rPr>
          <w:strike/>
          <w:color w:val="FF0000"/>
        </w:rPr>
        <w:t>Substances</w:t>
      </w:r>
      <w:proofErr w:type="spellEnd"/>
      <w:r w:rsidRPr="001D6814">
        <w:t xml:space="preserve"> that have the potential to induce reversible eye irritation</w:t>
      </w:r>
      <w:r w:rsidRPr="00BC248E">
        <w:rPr>
          <w:color w:val="FF0000"/>
          <w:u w:val="single"/>
        </w:rPr>
        <w:t>.</w:t>
      </w:r>
      <w:r w:rsidRPr="001D6814">
        <w:t xml:space="preserve"> </w:t>
      </w:r>
      <w:r>
        <w:rPr>
          <w:color w:val="FF0000"/>
          <w:u w:val="single"/>
        </w:rPr>
        <w:t xml:space="preserve">Substances can </w:t>
      </w:r>
      <w:r w:rsidRPr="00BC248E">
        <w:rPr>
          <w:strike/>
          <w:color w:val="FF0000"/>
        </w:rPr>
        <w:t>should</w:t>
      </w:r>
      <w:r w:rsidRPr="001D6814">
        <w:t xml:space="preserve"> be classified in Category 2 where further categorization into Category 2A and </w:t>
      </w:r>
      <w:r>
        <w:rPr>
          <w:color w:val="FF0000"/>
          <w:u w:val="single"/>
        </w:rPr>
        <w:t>sub-</w:t>
      </w:r>
      <w:proofErr w:type="spellStart"/>
      <w:r>
        <w:rPr>
          <w:color w:val="FF0000"/>
          <w:u w:val="single"/>
        </w:rPr>
        <w:t>c</w:t>
      </w:r>
      <w:r w:rsidRPr="00BC248E">
        <w:rPr>
          <w:strike/>
          <w:color w:val="FF0000"/>
        </w:rPr>
        <w:t>C</w:t>
      </w:r>
      <w:r w:rsidRPr="001D6814">
        <w:t>ategory</w:t>
      </w:r>
      <w:proofErr w:type="spellEnd"/>
      <w:r w:rsidRPr="001D6814">
        <w:t xml:space="preserve"> 2B is not required by a competent authority or where data are not sufficient for further categorization. When a chemical is classified as Category 2, without further categorization, the classification criteria are the same as those for Category 2A.</w:t>
      </w:r>
    </w:p>
    <w:p w14:paraId="4F611438" w14:textId="77777777" w:rsidR="0036471F" w:rsidRPr="001D6814" w:rsidRDefault="0036471F" w:rsidP="00AB702E">
      <w:pPr>
        <w:tabs>
          <w:tab w:val="left" w:pos="1418"/>
          <w:tab w:val="left" w:pos="1985"/>
          <w:tab w:val="left" w:pos="2835"/>
          <w:tab w:val="left" w:pos="3119"/>
          <w:tab w:val="left" w:pos="3686"/>
        </w:tabs>
        <w:spacing w:after="240"/>
        <w:ind w:left="1560"/>
      </w:pPr>
      <w:r w:rsidRPr="001D6814">
        <w:t>3.3.2.1.2.2</w:t>
      </w:r>
      <w:r w:rsidRPr="001D6814">
        <w:tab/>
      </w:r>
      <w:bookmarkStart w:id="0" w:name="_GoBack"/>
      <w:bookmarkEnd w:id="0"/>
      <w:r w:rsidRPr="001D6814">
        <w:t xml:space="preserve">For those authorities wanting more than one designation for reversible eye irritation, </w:t>
      </w:r>
      <w:r w:rsidRPr="00BC248E">
        <w:rPr>
          <w:strike/>
          <w:color w:val="FF0000"/>
        </w:rPr>
        <w:t>categories</w:t>
      </w:r>
      <w:r w:rsidRPr="001D6814">
        <w:t xml:space="preserve"> </w:t>
      </w:r>
      <w:r>
        <w:rPr>
          <w:color w:val="FF0000"/>
          <w:u w:val="single"/>
        </w:rPr>
        <w:t xml:space="preserve">category </w:t>
      </w:r>
      <w:r w:rsidRPr="001D6814">
        <w:t xml:space="preserve">2A and </w:t>
      </w:r>
      <w:r>
        <w:rPr>
          <w:color w:val="FF0000"/>
          <w:u w:val="single"/>
        </w:rPr>
        <w:t xml:space="preserve">sub-category </w:t>
      </w:r>
      <w:r w:rsidRPr="001D6814">
        <w:t>2B are provided:</w:t>
      </w:r>
    </w:p>
    <w:p w14:paraId="5A5193A4" w14:textId="77777777" w:rsidR="0036471F" w:rsidRPr="001D6814" w:rsidRDefault="00FC294C" w:rsidP="00AB702E">
      <w:pPr>
        <w:tabs>
          <w:tab w:val="left" w:pos="1985"/>
          <w:tab w:val="left" w:pos="2552"/>
          <w:tab w:val="left" w:pos="3119"/>
          <w:tab w:val="left" w:pos="3686"/>
        </w:tabs>
        <w:spacing w:after="240"/>
        <w:ind w:left="1560" w:hanging="1407"/>
      </w:pPr>
      <w:r>
        <w:tab/>
      </w:r>
      <w:r w:rsidR="0036471F" w:rsidRPr="001D6814">
        <w:t xml:space="preserve">(a) </w:t>
      </w:r>
      <w:r w:rsidR="0036471F" w:rsidRPr="001D6814">
        <w:tab/>
        <w:t xml:space="preserve">When data are sufficient and where required by a </w:t>
      </w:r>
      <w:proofErr w:type="gramStart"/>
      <w:r w:rsidR="0036471F" w:rsidRPr="001D6814">
        <w:t>competent authority substances</w:t>
      </w:r>
      <w:proofErr w:type="gramEnd"/>
      <w:r w:rsidR="0036471F" w:rsidRPr="001D6814">
        <w:t xml:space="preserve"> may be classified in Category 2A or </w:t>
      </w:r>
      <w:r w:rsidR="0036471F">
        <w:rPr>
          <w:color w:val="FF0000"/>
          <w:u w:val="single"/>
        </w:rPr>
        <w:t xml:space="preserve">sub-category </w:t>
      </w:r>
      <w:r w:rsidR="0036471F" w:rsidRPr="001D6814">
        <w:t xml:space="preserve">2B in accordance with the criteria in Table 3.3.2; </w:t>
      </w:r>
    </w:p>
    <w:p w14:paraId="0699D89E" w14:textId="77777777" w:rsidR="0036471F" w:rsidRPr="001D6814" w:rsidRDefault="00FC294C" w:rsidP="00AB702E">
      <w:pPr>
        <w:tabs>
          <w:tab w:val="left" w:pos="1985"/>
          <w:tab w:val="left" w:pos="2552"/>
          <w:tab w:val="left" w:pos="3119"/>
          <w:tab w:val="left" w:pos="3686"/>
        </w:tabs>
        <w:spacing w:after="240"/>
        <w:ind w:left="1560" w:hanging="1407"/>
      </w:pPr>
      <w:r>
        <w:tab/>
      </w:r>
      <w:r w:rsidR="0036471F" w:rsidRPr="001D6814">
        <w:t xml:space="preserve">(b) </w:t>
      </w:r>
      <w:r w:rsidR="0036471F" w:rsidRPr="001D6814">
        <w:tab/>
        <w:t xml:space="preserve">For substances inducing eye irritant effects reversing within an observation time of normally 21 days, Category 2A applies. For substances inducing eye irritant effects reversing within an observation time of 7 days, </w:t>
      </w:r>
      <w:r w:rsidR="0036471F" w:rsidRPr="00270D7B">
        <w:rPr>
          <w:color w:val="FF0000"/>
          <w:u w:val="single"/>
        </w:rPr>
        <w:t>sub-</w:t>
      </w:r>
      <w:proofErr w:type="spellStart"/>
      <w:r w:rsidR="0036471F" w:rsidRPr="00270D7B">
        <w:rPr>
          <w:color w:val="FF0000"/>
          <w:u w:val="single"/>
        </w:rPr>
        <w:t>c</w:t>
      </w:r>
      <w:r w:rsidR="0036471F" w:rsidRPr="00270D7B">
        <w:rPr>
          <w:strike/>
          <w:color w:val="FF0000"/>
        </w:rPr>
        <w:t>C</w:t>
      </w:r>
      <w:r w:rsidR="0036471F" w:rsidRPr="001D6814">
        <w:t>ategory</w:t>
      </w:r>
      <w:proofErr w:type="spellEnd"/>
      <w:r w:rsidR="0036471F" w:rsidRPr="001D6814">
        <w:t xml:space="preserve"> 2B applies.</w:t>
      </w:r>
    </w:p>
    <w:p w14:paraId="5717D74D" w14:textId="77777777" w:rsidR="0036471F" w:rsidRPr="001D6814" w:rsidRDefault="0036471F" w:rsidP="00AB702E">
      <w:pPr>
        <w:pStyle w:val="Num-DocParagraph"/>
        <w:tabs>
          <w:tab w:val="clear" w:pos="851"/>
          <w:tab w:val="clear" w:pos="1191"/>
          <w:tab w:val="clear" w:pos="1531"/>
        </w:tabs>
        <w:ind w:left="1560"/>
        <w:rPr>
          <w:rFonts w:ascii="Times New Roman" w:hAnsi="Times New Roman"/>
          <w:sz w:val="20"/>
        </w:rPr>
      </w:pPr>
      <w:r w:rsidRPr="001D6814">
        <w:rPr>
          <w:rFonts w:ascii="Times New Roman" w:hAnsi="Times New Roman"/>
          <w:sz w:val="20"/>
        </w:rPr>
        <w:t>3.3.2.1.2.3</w:t>
      </w:r>
      <w:r w:rsidRPr="001D6814">
        <w:rPr>
          <w:rFonts w:ascii="Times New Roman" w:hAnsi="Times New Roman"/>
          <w:sz w:val="20"/>
        </w:rPr>
        <w:tab/>
        <w:t xml:space="preserve">For those substances where there is pronounced variability among animal responses, this information may be </w:t>
      </w:r>
      <w:proofErr w:type="gramStart"/>
      <w:r w:rsidRPr="001D6814">
        <w:rPr>
          <w:rFonts w:ascii="Times New Roman" w:hAnsi="Times New Roman"/>
          <w:sz w:val="20"/>
        </w:rPr>
        <w:t>taken into account</w:t>
      </w:r>
      <w:proofErr w:type="gramEnd"/>
      <w:r w:rsidRPr="001D6814">
        <w:rPr>
          <w:rFonts w:ascii="Times New Roman" w:hAnsi="Times New Roman"/>
          <w:sz w:val="20"/>
        </w:rPr>
        <w:t xml:space="preserve"> in determining the classification.</w:t>
      </w:r>
    </w:p>
    <w:p w14:paraId="48AB7DC3" w14:textId="77777777" w:rsidR="0036471F" w:rsidRPr="001D6814" w:rsidRDefault="0036471F" w:rsidP="00FC294C">
      <w:pPr>
        <w:keepNext/>
        <w:keepLines/>
        <w:spacing w:after="80"/>
        <w:ind w:left="720"/>
        <w:jc w:val="center"/>
        <w:rPr>
          <w:b/>
        </w:rPr>
      </w:pPr>
      <w:r w:rsidRPr="001D6814">
        <w:rPr>
          <w:b/>
        </w:rPr>
        <w:lastRenderedPageBreak/>
        <w:t>Table 3.3.2:  Reversible effects on the eye categories </w:t>
      </w:r>
      <w:r w:rsidRPr="001D6814">
        <w:rPr>
          <w:b/>
          <w:vertAlign w:val="superscript"/>
        </w:rPr>
        <w:t>a, b, 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36471F" w:rsidRPr="001D6814" w14:paraId="53DCD2E6" w14:textId="77777777" w:rsidTr="00E814E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604850B" w14:textId="77777777" w:rsidR="0036471F" w:rsidRPr="001D6814" w:rsidRDefault="0036471F" w:rsidP="00FC294C">
            <w:pPr>
              <w:keepNext/>
              <w:keepLines/>
              <w:spacing w:after="4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0E3B8" w14:textId="77777777" w:rsidR="0036471F" w:rsidRPr="001D6814" w:rsidRDefault="0036471F" w:rsidP="00FC294C">
            <w:pPr>
              <w:keepNext/>
              <w:keepLines/>
              <w:spacing w:after="40"/>
              <w:ind w:left="720"/>
              <w:jc w:val="center"/>
              <w:rPr>
                <w:b/>
                <w:bCs/>
              </w:rPr>
            </w:pPr>
            <w:r w:rsidRPr="001D6814">
              <w:rPr>
                <w:b/>
                <w:bCs/>
              </w:rPr>
              <w:t>Criteria</w:t>
            </w:r>
          </w:p>
        </w:tc>
      </w:tr>
      <w:tr w:rsidR="0036471F" w:rsidRPr="001D6814" w14:paraId="05D5389A" w14:textId="77777777" w:rsidTr="00E814E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939F37" w14:textId="77777777" w:rsidR="0036471F" w:rsidRPr="001D6814" w:rsidRDefault="0036471F" w:rsidP="00FC294C">
            <w:pPr>
              <w:keepNext/>
              <w:keepLines/>
              <w:spacing w:after="4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FDCC5" w14:textId="77777777" w:rsidR="0036471F" w:rsidRPr="001D6814" w:rsidRDefault="0036471F" w:rsidP="00FC294C">
            <w:pPr>
              <w:keepNext/>
              <w:keepLines/>
              <w:spacing w:after="40"/>
              <w:ind w:left="720"/>
              <w:rPr>
                <w:bCs/>
              </w:rPr>
            </w:pPr>
            <w:r w:rsidRPr="001D6814">
              <w:t>Substances that have the potential to induce reversible eye irritation</w:t>
            </w:r>
          </w:p>
        </w:tc>
      </w:tr>
      <w:tr w:rsidR="0036471F" w:rsidRPr="001D6814" w14:paraId="612651BC" w14:textId="77777777" w:rsidTr="00E814E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E926EA" w14:textId="77777777" w:rsidR="0036471F" w:rsidRPr="001D6814" w:rsidRDefault="0036471F" w:rsidP="00FC294C">
            <w:pPr>
              <w:keepNext/>
              <w:keepLines/>
              <w:tabs>
                <w:tab w:val="left" w:pos="432"/>
              </w:tabs>
              <w:spacing w:after="40"/>
              <w:ind w:left="720"/>
              <w:rPr>
                <w:b/>
              </w:rPr>
            </w:pPr>
            <w:r w:rsidRPr="001D6814">
              <w:rPr>
                <w:b/>
              </w:rPr>
              <w:t xml:space="preserve">Category </w:t>
            </w:r>
            <w:r w:rsidRPr="00270D7B">
              <w:rPr>
                <w:b/>
                <w:strike/>
                <w:color w:val="FF0000"/>
              </w:rPr>
              <w:t>2/</w:t>
            </w:r>
            <w:r w:rsidRPr="001D6814">
              <w:rPr>
                <w:b/>
              </w:rPr>
              <w:t>2A</w:t>
            </w:r>
          </w:p>
        </w:tc>
        <w:tc>
          <w:tcPr>
            <w:tcW w:w="75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86B6FA" w14:textId="77777777" w:rsidR="0036471F" w:rsidRPr="001D6814" w:rsidRDefault="0036471F" w:rsidP="00FC294C">
            <w:pPr>
              <w:keepNext/>
              <w:keepLines/>
              <w:tabs>
                <w:tab w:val="left" w:pos="432"/>
              </w:tabs>
              <w:spacing w:after="40"/>
              <w:ind w:left="720"/>
              <w:rPr>
                <w:bCs/>
              </w:rPr>
            </w:pPr>
            <w:r w:rsidRPr="001D6814">
              <w:t>Substances that produce in at least 2 of 3 tested animals a positive response of:</w:t>
            </w:r>
          </w:p>
        </w:tc>
      </w:tr>
      <w:tr w:rsidR="0036471F" w:rsidRPr="001D6814" w14:paraId="6A9B7EA1" w14:textId="77777777" w:rsidTr="00E814E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1A8CFD" w14:textId="77777777" w:rsidR="0036471F" w:rsidRPr="001D6814" w:rsidRDefault="0036471F" w:rsidP="00FC294C">
            <w:pPr>
              <w:keepNext/>
              <w:keepLines/>
              <w:spacing w:after="40"/>
              <w:ind w:left="720" w:hanging="360"/>
            </w:pPr>
          </w:p>
        </w:tc>
        <w:tc>
          <w:tcPr>
            <w:tcW w:w="7512" w:type="dxa"/>
            <w:tcBorders>
              <w:top w:val="nil"/>
            </w:tcBorders>
            <w:shd w:val="clear" w:color="auto" w:fill="auto"/>
          </w:tcPr>
          <w:p w14:paraId="139F8AC6" w14:textId="77777777" w:rsidR="0036471F" w:rsidRPr="001D6814" w:rsidRDefault="0036471F" w:rsidP="00FC294C">
            <w:pPr>
              <w:keepNext/>
              <w:keepLines/>
              <w:spacing w:after="40"/>
              <w:ind w:left="720" w:hanging="426"/>
              <w:rPr>
                <w:bCs/>
              </w:rPr>
            </w:pPr>
            <w:r w:rsidRPr="001D6814">
              <w:t>(a)</w:t>
            </w:r>
            <w:r w:rsidRPr="001D6814">
              <w:tab/>
              <w:t xml:space="preserve">corneal opacity </w:t>
            </w:r>
            <w:r w:rsidRPr="001D6814">
              <w:sym w:font="Symbol" w:char="F0B3"/>
            </w:r>
            <w:r w:rsidRPr="001D6814">
              <w:t xml:space="preserve"> 1; and/or</w:t>
            </w:r>
          </w:p>
        </w:tc>
      </w:tr>
      <w:tr w:rsidR="0036471F" w:rsidRPr="001D6814" w14:paraId="77006B20" w14:textId="77777777" w:rsidTr="00E814E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55E93C" w14:textId="77777777" w:rsidR="0036471F" w:rsidRPr="001D6814" w:rsidRDefault="0036471F" w:rsidP="00FC294C">
            <w:pPr>
              <w:keepNext/>
              <w:keepLines/>
              <w:spacing w:after="40"/>
              <w:ind w:left="720" w:hanging="360"/>
            </w:pPr>
          </w:p>
        </w:tc>
        <w:tc>
          <w:tcPr>
            <w:tcW w:w="7512" w:type="dxa"/>
            <w:shd w:val="clear" w:color="auto" w:fill="auto"/>
          </w:tcPr>
          <w:p w14:paraId="7CE1A192" w14:textId="77777777" w:rsidR="0036471F" w:rsidRPr="001D6814" w:rsidRDefault="0036471F" w:rsidP="00FC294C">
            <w:pPr>
              <w:keepNext/>
              <w:keepLines/>
              <w:spacing w:after="40"/>
              <w:ind w:left="720" w:hanging="426"/>
            </w:pPr>
            <w:r w:rsidRPr="001D6814">
              <w:t>(b)</w:t>
            </w:r>
            <w:r w:rsidRPr="001D6814">
              <w:tab/>
              <w:t xml:space="preserve">iritis </w:t>
            </w:r>
            <w:r w:rsidRPr="001D6814">
              <w:sym w:font="Symbol" w:char="F0B3"/>
            </w:r>
            <w:r w:rsidRPr="001D6814">
              <w:t xml:space="preserve"> 1; and/or</w:t>
            </w:r>
          </w:p>
        </w:tc>
      </w:tr>
      <w:tr w:rsidR="0036471F" w:rsidRPr="001D6814" w14:paraId="2D78AF73" w14:textId="77777777" w:rsidTr="00E814E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1AAC06" w14:textId="77777777" w:rsidR="0036471F" w:rsidRPr="001D6814" w:rsidRDefault="0036471F" w:rsidP="00FC294C">
            <w:pPr>
              <w:keepNext/>
              <w:keepLines/>
              <w:spacing w:after="40"/>
              <w:ind w:left="720" w:hanging="360"/>
            </w:pPr>
          </w:p>
        </w:tc>
        <w:tc>
          <w:tcPr>
            <w:tcW w:w="7512" w:type="dxa"/>
            <w:shd w:val="clear" w:color="auto" w:fill="auto"/>
          </w:tcPr>
          <w:p w14:paraId="284656B2" w14:textId="77777777" w:rsidR="0036471F" w:rsidRPr="001D6814" w:rsidRDefault="0036471F" w:rsidP="00FC294C">
            <w:pPr>
              <w:keepNext/>
              <w:keepLines/>
              <w:spacing w:after="40"/>
              <w:ind w:left="720" w:hanging="426"/>
            </w:pPr>
            <w:r w:rsidRPr="001D6814">
              <w:t>(c)</w:t>
            </w:r>
            <w:r w:rsidRPr="001D6814">
              <w:tab/>
              <w:t xml:space="preserve">conjunctival redness </w:t>
            </w:r>
            <w:r w:rsidRPr="001D6814">
              <w:sym w:font="Symbol" w:char="F0B3"/>
            </w:r>
            <w:r w:rsidRPr="001D6814">
              <w:t xml:space="preserve"> 2; and/or</w:t>
            </w:r>
          </w:p>
        </w:tc>
      </w:tr>
      <w:tr w:rsidR="0036471F" w:rsidRPr="001D6814" w14:paraId="769CD124" w14:textId="77777777" w:rsidTr="00E814E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EF9EE1" w14:textId="77777777" w:rsidR="0036471F" w:rsidRPr="001D6814" w:rsidRDefault="0036471F" w:rsidP="00FC294C">
            <w:pPr>
              <w:keepNext/>
              <w:keepLines/>
              <w:spacing w:after="40"/>
              <w:ind w:left="720" w:hanging="360"/>
            </w:pPr>
          </w:p>
        </w:tc>
        <w:tc>
          <w:tcPr>
            <w:tcW w:w="7512" w:type="dxa"/>
            <w:shd w:val="clear" w:color="auto" w:fill="auto"/>
          </w:tcPr>
          <w:p w14:paraId="48AED7E2" w14:textId="77777777" w:rsidR="0036471F" w:rsidRPr="001D6814" w:rsidRDefault="0036471F" w:rsidP="00FC294C">
            <w:pPr>
              <w:keepNext/>
              <w:keepLines/>
              <w:spacing w:after="40"/>
              <w:ind w:left="720" w:hanging="426"/>
            </w:pPr>
            <w:r w:rsidRPr="001D6814">
              <w:t>(d)</w:t>
            </w:r>
            <w:r w:rsidRPr="001D6814">
              <w:tab/>
              <w:t xml:space="preserve">conjunctival oedema (chemosis) </w:t>
            </w:r>
            <w:r w:rsidRPr="001D6814">
              <w:sym w:font="Symbol" w:char="F0B3"/>
            </w:r>
            <w:r w:rsidRPr="001D6814">
              <w:t xml:space="preserve"> 2</w:t>
            </w:r>
          </w:p>
        </w:tc>
      </w:tr>
      <w:tr w:rsidR="0036471F" w:rsidRPr="001D6814" w14:paraId="058ADD43" w14:textId="77777777" w:rsidTr="00E814E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103C53" w14:textId="77777777" w:rsidR="0036471F" w:rsidRPr="001D6814" w:rsidRDefault="0036471F" w:rsidP="00FC294C">
            <w:pPr>
              <w:keepNext/>
              <w:keepLines/>
              <w:spacing w:after="40"/>
              <w:ind w:left="720" w:hanging="432"/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7EE72BDE" w14:textId="77777777" w:rsidR="0036471F" w:rsidRPr="001D6814" w:rsidRDefault="0036471F" w:rsidP="00FC294C">
            <w:pPr>
              <w:keepNext/>
              <w:keepLines/>
              <w:spacing w:after="40"/>
              <w:ind w:left="720" w:hanging="16"/>
            </w:pPr>
            <w:r w:rsidRPr="001D6814">
              <w:t xml:space="preserve">calculated as the mean scores following grading at 24, 48 and 72 hours after instillation of the test material, </w:t>
            </w:r>
            <w:proofErr w:type="gramStart"/>
            <w:r w:rsidRPr="001D6814">
              <w:t>and  which</w:t>
            </w:r>
            <w:proofErr w:type="gramEnd"/>
            <w:r w:rsidRPr="001D6814">
              <w:t xml:space="preserve"> fully reverses within an  observation period of normally 21 days.</w:t>
            </w:r>
          </w:p>
        </w:tc>
      </w:tr>
      <w:tr w:rsidR="0036471F" w:rsidRPr="001D6814" w14:paraId="449ED6E8" w14:textId="77777777" w:rsidTr="00E814E0">
        <w:tc>
          <w:tcPr>
            <w:tcW w:w="2127" w:type="dxa"/>
            <w:tcBorders>
              <w:top w:val="single" w:sz="4" w:space="0" w:color="auto"/>
            </w:tcBorders>
          </w:tcPr>
          <w:p w14:paraId="3B56FF53" w14:textId="77777777" w:rsidR="0036471F" w:rsidRPr="001D6814" w:rsidRDefault="0036471F" w:rsidP="00FC294C">
            <w:pPr>
              <w:keepNext/>
              <w:keepLines/>
              <w:spacing w:after="40"/>
              <w:ind w:left="720"/>
              <w:rPr>
                <w:b/>
              </w:rPr>
            </w:pPr>
            <w:r>
              <w:rPr>
                <w:b/>
                <w:color w:val="FF0000"/>
                <w:u w:val="single"/>
              </w:rPr>
              <w:t>Sub-</w:t>
            </w:r>
            <w:proofErr w:type="spellStart"/>
            <w:r>
              <w:rPr>
                <w:b/>
                <w:color w:val="FF0000"/>
                <w:u w:val="single"/>
              </w:rPr>
              <w:t>c</w:t>
            </w:r>
            <w:r w:rsidRPr="00270D7B">
              <w:rPr>
                <w:b/>
                <w:strike/>
                <w:color w:val="FF0000"/>
              </w:rPr>
              <w:t>C</w:t>
            </w:r>
            <w:r w:rsidRPr="001D6814">
              <w:rPr>
                <w:b/>
              </w:rPr>
              <w:t>ategory</w:t>
            </w:r>
            <w:proofErr w:type="spellEnd"/>
            <w:r w:rsidRPr="001D6814">
              <w:rPr>
                <w:b/>
              </w:rPr>
              <w:t xml:space="preserve"> 2B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DDE89" w14:textId="77777777" w:rsidR="0036471F" w:rsidRPr="001D6814" w:rsidRDefault="0036471F" w:rsidP="00FC294C">
            <w:pPr>
              <w:keepNext/>
              <w:keepLines/>
              <w:spacing w:after="40"/>
              <w:ind w:left="720"/>
            </w:pPr>
            <w:r w:rsidRPr="001D6814">
              <w:t xml:space="preserve">Within Category 2A an eye irritant is considered </w:t>
            </w:r>
            <w:r w:rsidRPr="001D6814">
              <w:rPr>
                <w:bCs/>
              </w:rPr>
              <w:t>mildly irritating to eyes</w:t>
            </w:r>
            <w:r w:rsidRPr="001D6814">
              <w:t xml:space="preserve"> </w:t>
            </w:r>
            <w:r w:rsidRPr="001D6814">
              <w:rPr>
                <w:bCs/>
              </w:rPr>
              <w:t>(</w:t>
            </w:r>
            <w:r>
              <w:rPr>
                <w:bCs/>
                <w:color w:val="FF0000"/>
                <w:u w:val="single"/>
              </w:rPr>
              <w:t>Sub-</w:t>
            </w:r>
            <w:proofErr w:type="spellStart"/>
            <w:r>
              <w:rPr>
                <w:bCs/>
                <w:color w:val="FF0000"/>
                <w:u w:val="single"/>
              </w:rPr>
              <w:t>c</w:t>
            </w:r>
            <w:r w:rsidRPr="00270D7B">
              <w:rPr>
                <w:bCs/>
                <w:strike/>
                <w:color w:val="FF0000"/>
              </w:rPr>
              <w:t>C</w:t>
            </w:r>
            <w:r w:rsidRPr="001D6814">
              <w:rPr>
                <w:bCs/>
              </w:rPr>
              <w:t>ategory</w:t>
            </w:r>
            <w:proofErr w:type="spellEnd"/>
            <w:r w:rsidRPr="001D6814">
              <w:rPr>
                <w:bCs/>
              </w:rPr>
              <w:t xml:space="preserve"> 2B)</w:t>
            </w:r>
            <w:r w:rsidRPr="001D6814">
              <w:t xml:space="preserve"> when the effects listed above are fully reversible within 7 days of observation.</w:t>
            </w:r>
          </w:p>
        </w:tc>
      </w:tr>
    </w:tbl>
    <w:p w14:paraId="1CA75168" w14:textId="77777777" w:rsidR="0036471F" w:rsidRPr="001D6814" w:rsidRDefault="0036471F" w:rsidP="00FC294C">
      <w:pPr>
        <w:tabs>
          <w:tab w:val="left" w:pos="426"/>
        </w:tabs>
        <w:spacing w:after="60"/>
        <w:ind w:left="720"/>
        <w:rPr>
          <w:i/>
        </w:rPr>
      </w:pPr>
      <w:proofErr w:type="spellStart"/>
      <w:r w:rsidRPr="00100B20">
        <w:rPr>
          <w:b/>
          <w:bCs/>
          <w:iCs/>
          <w:vertAlign w:val="superscript"/>
        </w:rPr>
        <w:t>a</w:t>
      </w:r>
      <w:proofErr w:type="spellEnd"/>
      <w:r w:rsidRPr="001D6814">
        <w:rPr>
          <w:i/>
        </w:rPr>
        <w:tab/>
      </w:r>
      <w:proofErr w:type="gramStart"/>
      <w:r w:rsidRPr="001D6814">
        <w:rPr>
          <w:i/>
        </w:rPr>
        <w:t>The</w:t>
      </w:r>
      <w:proofErr w:type="gramEnd"/>
      <w:r w:rsidRPr="001D6814">
        <w:rPr>
          <w:i/>
        </w:rPr>
        <w:t xml:space="preserve"> use of human data is addressed in 3.3.2.2 and in chapters 1.1 (para. 1.1.2.5(c)), and 1.3 (para. 1.3.2.4.7).</w:t>
      </w:r>
    </w:p>
    <w:p w14:paraId="59EAD56D" w14:textId="77777777" w:rsidR="0036471F" w:rsidRPr="001D6814" w:rsidRDefault="0036471F" w:rsidP="00FC294C">
      <w:pPr>
        <w:tabs>
          <w:tab w:val="left" w:pos="426"/>
        </w:tabs>
        <w:spacing w:after="60"/>
        <w:ind w:left="720"/>
        <w:rPr>
          <w:i/>
        </w:rPr>
      </w:pPr>
      <w:r w:rsidRPr="00100B20">
        <w:rPr>
          <w:b/>
          <w:bCs/>
          <w:iCs/>
          <w:vertAlign w:val="superscript"/>
        </w:rPr>
        <w:t>b</w:t>
      </w:r>
      <w:r w:rsidRPr="001D6814">
        <w:rPr>
          <w:i/>
        </w:rPr>
        <w:tab/>
        <w:t>Grading criteria are understood as described in OECD Test Guideline 405.</w:t>
      </w:r>
    </w:p>
    <w:p w14:paraId="210A9DDA" w14:textId="77777777" w:rsidR="0036471F" w:rsidRPr="001D6814" w:rsidRDefault="0036471F" w:rsidP="00FC294C">
      <w:pPr>
        <w:tabs>
          <w:tab w:val="left" w:pos="426"/>
        </w:tabs>
        <w:spacing w:after="240"/>
        <w:ind w:left="720"/>
        <w:rPr>
          <w:i/>
        </w:rPr>
      </w:pPr>
      <w:r w:rsidRPr="00100B20">
        <w:rPr>
          <w:b/>
          <w:bCs/>
          <w:iCs/>
          <w:vertAlign w:val="superscript"/>
        </w:rPr>
        <w:t>c</w:t>
      </w:r>
      <w:r w:rsidRPr="001D6814">
        <w:rPr>
          <w:i/>
        </w:rPr>
        <w:tab/>
        <w:t>Evaluation of a 4, 5 or 6-animal study should follow the criteria given in 3.3.5.3.</w:t>
      </w:r>
    </w:p>
    <w:p w14:paraId="2F567336" w14:textId="77777777" w:rsidR="0036471F" w:rsidRPr="00AB702E" w:rsidRDefault="00AB702E" w:rsidP="00AB70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EAF3E" w14:textId="77777777" w:rsidR="008D7C3D" w:rsidRDefault="008D7C3D" w:rsidP="008D7C3D">
      <w:pPr>
        <w:pStyle w:val="SingleTxtG"/>
        <w:spacing w:before="120"/>
        <w:ind w:left="1494"/>
        <w:rPr>
          <w:rFonts w:eastAsia="MS Mincho"/>
        </w:rPr>
      </w:pPr>
    </w:p>
    <w:sectPr w:rsidR="008D7C3D" w:rsidSect="00AB702E">
      <w:headerReference w:type="default" r:id="rId8"/>
      <w:footerReference w:type="default" r:id="rId9"/>
      <w:pgSz w:w="12240" w:h="15840" w:code="1"/>
      <w:pgMar w:top="1701" w:right="2601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1632A" w14:textId="77777777" w:rsidR="00F54490" w:rsidRDefault="00F54490" w:rsidP="00203584">
      <w:pPr>
        <w:spacing w:line="240" w:lineRule="auto"/>
      </w:pPr>
      <w:r>
        <w:separator/>
      </w:r>
    </w:p>
  </w:endnote>
  <w:endnote w:type="continuationSeparator" w:id="0">
    <w:p w14:paraId="30CAA1BE" w14:textId="77777777" w:rsidR="00F54490" w:rsidRDefault="00F54490" w:rsidP="0020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1375231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594E8" w14:textId="77777777" w:rsidR="002A7946" w:rsidRPr="002A7946" w:rsidRDefault="002A7946">
        <w:pPr>
          <w:pStyle w:val="Footer"/>
          <w:rPr>
            <w:b/>
            <w:bCs/>
            <w:sz w:val="18"/>
            <w:szCs w:val="18"/>
          </w:rPr>
        </w:pPr>
        <w:r w:rsidRPr="002A7946">
          <w:rPr>
            <w:b/>
            <w:bCs/>
            <w:sz w:val="18"/>
            <w:szCs w:val="18"/>
          </w:rPr>
          <w:fldChar w:fldCharType="begin"/>
        </w:r>
        <w:r w:rsidRPr="002A7946">
          <w:rPr>
            <w:b/>
            <w:bCs/>
            <w:sz w:val="18"/>
            <w:szCs w:val="18"/>
          </w:rPr>
          <w:instrText xml:space="preserve"> PAGE   \* MERGEFORMAT </w:instrText>
        </w:r>
        <w:r w:rsidRPr="002A7946">
          <w:rPr>
            <w:b/>
            <w:bCs/>
            <w:sz w:val="18"/>
            <w:szCs w:val="18"/>
          </w:rPr>
          <w:fldChar w:fldCharType="separate"/>
        </w:r>
        <w:r w:rsidR="000A3524">
          <w:rPr>
            <w:b/>
            <w:bCs/>
            <w:noProof/>
            <w:sz w:val="18"/>
            <w:szCs w:val="18"/>
          </w:rPr>
          <w:t>2</w:t>
        </w:r>
        <w:r w:rsidRPr="002A7946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025E6A84" w14:textId="77777777" w:rsidR="002A7946" w:rsidRPr="002A7946" w:rsidRDefault="002A794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6A42" w14:textId="77777777" w:rsidR="00F54490" w:rsidRDefault="00F54490" w:rsidP="00203584">
      <w:pPr>
        <w:spacing w:line="240" w:lineRule="auto"/>
      </w:pPr>
      <w:r>
        <w:separator/>
      </w:r>
    </w:p>
  </w:footnote>
  <w:footnote w:type="continuationSeparator" w:id="0">
    <w:p w14:paraId="49A01D79" w14:textId="77777777" w:rsidR="00F54490" w:rsidRDefault="00F54490" w:rsidP="00203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B619" w14:textId="77777777" w:rsidR="002A7946" w:rsidRPr="002A7946" w:rsidRDefault="002A7946" w:rsidP="002A7946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2A7946">
      <w:rPr>
        <w:b/>
        <w:bCs/>
        <w:sz w:val="18"/>
        <w:szCs w:val="18"/>
        <w:lang w:val="fr-CH"/>
      </w:rPr>
      <w:t>UN/SCEGHS/3</w:t>
    </w:r>
    <w:r w:rsidR="0036471F">
      <w:rPr>
        <w:b/>
        <w:bCs/>
        <w:sz w:val="18"/>
        <w:szCs w:val="18"/>
        <w:lang w:val="fr-CH"/>
      </w:rPr>
      <w:t>8</w:t>
    </w:r>
    <w:r w:rsidRPr="002A7946">
      <w:rPr>
        <w:b/>
        <w:bCs/>
        <w:sz w:val="18"/>
        <w:szCs w:val="18"/>
        <w:lang w:val="fr-CH"/>
      </w:rPr>
      <w:t>/INF.</w:t>
    </w:r>
    <w:r w:rsidR="00AB702E">
      <w:rPr>
        <w:b/>
        <w:bCs/>
        <w:sz w:val="18"/>
        <w:szCs w:val="18"/>
        <w:lang w:val="fr-CH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B7B"/>
    <w:multiLevelType w:val="hybridMultilevel"/>
    <w:tmpl w:val="4CF6DD1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F12E2E2">
      <w:numFmt w:val="bullet"/>
      <w:lvlText w:val="-"/>
      <w:lvlJc w:val="left"/>
      <w:pPr>
        <w:ind w:left="2781" w:hanging="624"/>
      </w:pPr>
      <w:rPr>
        <w:rFonts w:ascii="Times New Roman" w:eastAsia="MS Mincho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0BB7AE0"/>
    <w:multiLevelType w:val="hybridMultilevel"/>
    <w:tmpl w:val="74B6DF3A"/>
    <w:lvl w:ilvl="0" w:tplc="E42E3F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72033D7"/>
    <w:multiLevelType w:val="hybridMultilevel"/>
    <w:tmpl w:val="FF20348E"/>
    <w:lvl w:ilvl="0" w:tplc="F2624EC0">
      <w:start w:val="37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2D96"/>
    <w:multiLevelType w:val="hybridMultilevel"/>
    <w:tmpl w:val="054C8D9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0F6132E"/>
    <w:multiLevelType w:val="hybridMultilevel"/>
    <w:tmpl w:val="164CAB46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86FD5"/>
    <w:multiLevelType w:val="hybridMultilevel"/>
    <w:tmpl w:val="17D2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722D3"/>
    <w:multiLevelType w:val="hybridMultilevel"/>
    <w:tmpl w:val="37566890"/>
    <w:lvl w:ilvl="0" w:tplc="657EF0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385387D"/>
    <w:multiLevelType w:val="hybridMultilevel"/>
    <w:tmpl w:val="A5AAE62C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9517C"/>
    <w:multiLevelType w:val="hybridMultilevel"/>
    <w:tmpl w:val="785CFA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1180942"/>
    <w:multiLevelType w:val="hybridMultilevel"/>
    <w:tmpl w:val="9EBAE3F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1FC28EB"/>
    <w:multiLevelType w:val="hybridMultilevel"/>
    <w:tmpl w:val="4B2EA7D6"/>
    <w:lvl w:ilvl="0" w:tplc="9BEAF8DE">
      <w:start w:val="2"/>
      <w:numFmt w:val="bullet"/>
      <w:lvlText w:val="-"/>
      <w:lvlJc w:val="left"/>
      <w:pPr>
        <w:ind w:left="234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C409A4"/>
    <w:multiLevelType w:val="hybridMultilevel"/>
    <w:tmpl w:val="F5AEC436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7C5AEA"/>
    <w:multiLevelType w:val="hybridMultilevel"/>
    <w:tmpl w:val="1D7472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B0C5456"/>
    <w:multiLevelType w:val="hybridMultilevel"/>
    <w:tmpl w:val="394A1590"/>
    <w:lvl w:ilvl="0" w:tplc="B8562D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4380ABD"/>
    <w:multiLevelType w:val="hybridMultilevel"/>
    <w:tmpl w:val="17F8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649D3"/>
    <w:multiLevelType w:val="hybridMultilevel"/>
    <w:tmpl w:val="D19AA76E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47C3A"/>
    <w:multiLevelType w:val="hybridMultilevel"/>
    <w:tmpl w:val="38D82E88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 w15:restartNumberingAfterBreak="0">
    <w:nsid w:val="71261194"/>
    <w:multiLevelType w:val="hybridMultilevel"/>
    <w:tmpl w:val="2B1C230C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98B15B8"/>
    <w:multiLevelType w:val="hybridMultilevel"/>
    <w:tmpl w:val="81ECC6A6"/>
    <w:lvl w:ilvl="0" w:tplc="F2624EC0">
      <w:start w:val="37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3"/>
  </w:num>
  <w:num w:numId="5">
    <w:abstractNumId w:val="6"/>
  </w:num>
  <w:num w:numId="6">
    <w:abstractNumId w:val="7"/>
  </w:num>
  <w:num w:numId="7">
    <w:abstractNumId w:val="24"/>
  </w:num>
  <w:num w:numId="8">
    <w:abstractNumId w:val="1"/>
  </w:num>
  <w:num w:numId="9">
    <w:abstractNumId w:val="14"/>
  </w:num>
  <w:num w:numId="10">
    <w:abstractNumId w:val="10"/>
  </w:num>
  <w:num w:numId="11">
    <w:abstractNumId w:val="12"/>
  </w:num>
  <w:num w:numId="12">
    <w:abstractNumId w:val="16"/>
  </w:num>
  <w:num w:numId="13">
    <w:abstractNumId w:val="5"/>
  </w:num>
  <w:num w:numId="14">
    <w:abstractNumId w:val="8"/>
  </w:num>
  <w:num w:numId="15">
    <w:abstractNumId w:val="17"/>
  </w:num>
  <w:num w:numId="16">
    <w:abstractNumId w:val="11"/>
  </w:num>
  <w:num w:numId="17">
    <w:abstractNumId w:val="15"/>
  </w:num>
  <w:num w:numId="18">
    <w:abstractNumId w:val="23"/>
  </w:num>
  <w:num w:numId="19">
    <w:abstractNumId w:val="22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4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81"/>
    <w:rsid w:val="00001EDA"/>
    <w:rsid w:val="00002EAC"/>
    <w:rsid w:val="000106B9"/>
    <w:rsid w:val="00015CE8"/>
    <w:rsid w:val="00021E29"/>
    <w:rsid w:val="00037E95"/>
    <w:rsid w:val="0004012A"/>
    <w:rsid w:val="0007007F"/>
    <w:rsid w:val="000736C5"/>
    <w:rsid w:val="00086E13"/>
    <w:rsid w:val="000870E3"/>
    <w:rsid w:val="00091570"/>
    <w:rsid w:val="0009606F"/>
    <w:rsid w:val="000A3524"/>
    <w:rsid w:val="000A6520"/>
    <w:rsid w:val="000B405A"/>
    <w:rsid w:val="000C30A7"/>
    <w:rsid w:val="000C55DB"/>
    <w:rsid w:val="000C727E"/>
    <w:rsid w:val="000D5782"/>
    <w:rsid w:val="000F227F"/>
    <w:rsid w:val="000F3F3C"/>
    <w:rsid w:val="000F4956"/>
    <w:rsid w:val="000F74D7"/>
    <w:rsid w:val="001210C7"/>
    <w:rsid w:val="00124753"/>
    <w:rsid w:val="00130F0D"/>
    <w:rsid w:val="00137144"/>
    <w:rsid w:val="0015114B"/>
    <w:rsid w:val="00165248"/>
    <w:rsid w:val="00166903"/>
    <w:rsid w:val="00185FDB"/>
    <w:rsid w:val="001931DE"/>
    <w:rsid w:val="001A0A6A"/>
    <w:rsid w:val="001A34A6"/>
    <w:rsid w:val="001E2247"/>
    <w:rsid w:val="001E4C86"/>
    <w:rsid w:val="001E7040"/>
    <w:rsid w:val="001F0FE4"/>
    <w:rsid w:val="001F4464"/>
    <w:rsid w:val="00203584"/>
    <w:rsid w:val="002132F5"/>
    <w:rsid w:val="0021479B"/>
    <w:rsid w:val="00246ABD"/>
    <w:rsid w:val="00254798"/>
    <w:rsid w:val="00267F3B"/>
    <w:rsid w:val="00291992"/>
    <w:rsid w:val="002921C1"/>
    <w:rsid w:val="002A7946"/>
    <w:rsid w:val="002C2031"/>
    <w:rsid w:val="002D27CF"/>
    <w:rsid w:val="002D3360"/>
    <w:rsid w:val="002E1751"/>
    <w:rsid w:val="002E4CF3"/>
    <w:rsid w:val="002E5EB6"/>
    <w:rsid w:val="002F6CA0"/>
    <w:rsid w:val="003018B2"/>
    <w:rsid w:val="00321778"/>
    <w:rsid w:val="00333CA6"/>
    <w:rsid w:val="00340648"/>
    <w:rsid w:val="003448EF"/>
    <w:rsid w:val="0036026F"/>
    <w:rsid w:val="003638B6"/>
    <w:rsid w:val="0036471F"/>
    <w:rsid w:val="00372B43"/>
    <w:rsid w:val="003756FE"/>
    <w:rsid w:val="00386215"/>
    <w:rsid w:val="003908A8"/>
    <w:rsid w:val="003A0A6D"/>
    <w:rsid w:val="003C23B4"/>
    <w:rsid w:val="003D09FD"/>
    <w:rsid w:val="003D2352"/>
    <w:rsid w:val="003F36D5"/>
    <w:rsid w:val="003F585F"/>
    <w:rsid w:val="004024DC"/>
    <w:rsid w:val="00415D9A"/>
    <w:rsid w:val="00431CC4"/>
    <w:rsid w:val="00436BD3"/>
    <w:rsid w:val="00437989"/>
    <w:rsid w:val="00443D2B"/>
    <w:rsid w:val="0044508C"/>
    <w:rsid w:val="004472C4"/>
    <w:rsid w:val="004578D4"/>
    <w:rsid w:val="00460EDA"/>
    <w:rsid w:val="0046610B"/>
    <w:rsid w:val="00471019"/>
    <w:rsid w:val="004719E8"/>
    <w:rsid w:val="00471A50"/>
    <w:rsid w:val="00480BEA"/>
    <w:rsid w:val="0049209D"/>
    <w:rsid w:val="004A59A6"/>
    <w:rsid w:val="004B0F57"/>
    <w:rsid w:val="004B60A0"/>
    <w:rsid w:val="004D0125"/>
    <w:rsid w:val="004F0726"/>
    <w:rsid w:val="00500E46"/>
    <w:rsid w:val="00584FE2"/>
    <w:rsid w:val="0058670B"/>
    <w:rsid w:val="00595167"/>
    <w:rsid w:val="005A28CD"/>
    <w:rsid w:val="005A334A"/>
    <w:rsid w:val="005B5C7B"/>
    <w:rsid w:val="005D2AB0"/>
    <w:rsid w:val="005D42CB"/>
    <w:rsid w:val="005D4FFD"/>
    <w:rsid w:val="005D5A1E"/>
    <w:rsid w:val="005E03A0"/>
    <w:rsid w:val="005E4322"/>
    <w:rsid w:val="005F68AF"/>
    <w:rsid w:val="005F78AC"/>
    <w:rsid w:val="0060128B"/>
    <w:rsid w:val="00610495"/>
    <w:rsid w:val="00615FED"/>
    <w:rsid w:val="00630D0C"/>
    <w:rsid w:val="00632AE5"/>
    <w:rsid w:val="006373FA"/>
    <w:rsid w:val="0064031E"/>
    <w:rsid w:val="0064194B"/>
    <w:rsid w:val="00673BB6"/>
    <w:rsid w:val="00681C24"/>
    <w:rsid w:val="00694D62"/>
    <w:rsid w:val="006A6E42"/>
    <w:rsid w:val="006B00AF"/>
    <w:rsid w:val="006B1C47"/>
    <w:rsid w:val="006B21D5"/>
    <w:rsid w:val="006B356C"/>
    <w:rsid w:val="006B4CF8"/>
    <w:rsid w:val="006D4A31"/>
    <w:rsid w:val="006D73E4"/>
    <w:rsid w:val="006E5077"/>
    <w:rsid w:val="006E5B79"/>
    <w:rsid w:val="006F4017"/>
    <w:rsid w:val="006F4D98"/>
    <w:rsid w:val="00700ABE"/>
    <w:rsid w:val="00702906"/>
    <w:rsid w:val="0072397A"/>
    <w:rsid w:val="00733342"/>
    <w:rsid w:val="007379C5"/>
    <w:rsid w:val="00741368"/>
    <w:rsid w:val="0074588F"/>
    <w:rsid w:val="00760605"/>
    <w:rsid w:val="00766E42"/>
    <w:rsid w:val="00797CFD"/>
    <w:rsid w:val="007B4F0C"/>
    <w:rsid w:val="007C7831"/>
    <w:rsid w:val="007D06A0"/>
    <w:rsid w:val="00800D54"/>
    <w:rsid w:val="00801693"/>
    <w:rsid w:val="00812A81"/>
    <w:rsid w:val="00851A02"/>
    <w:rsid w:val="00856D26"/>
    <w:rsid w:val="00865416"/>
    <w:rsid w:val="008672B8"/>
    <w:rsid w:val="00890977"/>
    <w:rsid w:val="008A4DDD"/>
    <w:rsid w:val="008A51F0"/>
    <w:rsid w:val="008B43E8"/>
    <w:rsid w:val="008D7C3D"/>
    <w:rsid w:val="008E3714"/>
    <w:rsid w:val="008F0381"/>
    <w:rsid w:val="00915E95"/>
    <w:rsid w:val="00941DC7"/>
    <w:rsid w:val="00947C80"/>
    <w:rsid w:val="00964DB3"/>
    <w:rsid w:val="00967F54"/>
    <w:rsid w:val="009808E7"/>
    <w:rsid w:val="00984379"/>
    <w:rsid w:val="009A4B51"/>
    <w:rsid w:val="009B3C31"/>
    <w:rsid w:val="009B3FEF"/>
    <w:rsid w:val="009D2966"/>
    <w:rsid w:val="00A04853"/>
    <w:rsid w:val="00A06FA3"/>
    <w:rsid w:val="00A3459F"/>
    <w:rsid w:val="00A359E5"/>
    <w:rsid w:val="00A42B3E"/>
    <w:rsid w:val="00A431C6"/>
    <w:rsid w:val="00A45A83"/>
    <w:rsid w:val="00A4609C"/>
    <w:rsid w:val="00A60B83"/>
    <w:rsid w:val="00A63CDF"/>
    <w:rsid w:val="00A7022F"/>
    <w:rsid w:val="00A85DB3"/>
    <w:rsid w:val="00AA0289"/>
    <w:rsid w:val="00AB548F"/>
    <w:rsid w:val="00AB702E"/>
    <w:rsid w:val="00AC0DFB"/>
    <w:rsid w:val="00AE08EB"/>
    <w:rsid w:val="00AE1FB6"/>
    <w:rsid w:val="00AE5C01"/>
    <w:rsid w:val="00AF6D86"/>
    <w:rsid w:val="00B05ACE"/>
    <w:rsid w:val="00B127AA"/>
    <w:rsid w:val="00B23759"/>
    <w:rsid w:val="00B25231"/>
    <w:rsid w:val="00B72FE5"/>
    <w:rsid w:val="00BB138B"/>
    <w:rsid w:val="00BB4EB0"/>
    <w:rsid w:val="00BD7AEF"/>
    <w:rsid w:val="00BE4DEE"/>
    <w:rsid w:val="00BF7915"/>
    <w:rsid w:val="00C0258D"/>
    <w:rsid w:val="00C0330F"/>
    <w:rsid w:val="00C03728"/>
    <w:rsid w:val="00C0385B"/>
    <w:rsid w:val="00C1152B"/>
    <w:rsid w:val="00C12E23"/>
    <w:rsid w:val="00C331C9"/>
    <w:rsid w:val="00C33E77"/>
    <w:rsid w:val="00C43907"/>
    <w:rsid w:val="00C569F4"/>
    <w:rsid w:val="00C65F6D"/>
    <w:rsid w:val="00C751F4"/>
    <w:rsid w:val="00C75C43"/>
    <w:rsid w:val="00C7713E"/>
    <w:rsid w:val="00C8432F"/>
    <w:rsid w:val="00C865A6"/>
    <w:rsid w:val="00C87759"/>
    <w:rsid w:val="00CA73D0"/>
    <w:rsid w:val="00CD42DC"/>
    <w:rsid w:val="00CF3F91"/>
    <w:rsid w:val="00D40462"/>
    <w:rsid w:val="00D4532E"/>
    <w:rsid w:val="00D82B7B"/>
    <w:rsid w:val="00D925E6"/>
    <w:rsid w:val="00D9436E"/>
    <w:rsid w:val="00DA5A7D"/>
    <w:rsid w:val="00DA7448"/>
    <w:rsid w:val="00DA7467"/>
    <w:rsid w:val="00DD3735"/>
    <w:rsid w:val="00DD7F12"/>
    <w:rsid w:val="00DF3705"/>
    <w:rsid w:val="00DF6B2B"/>
    <w:rsid w:val="00E0474E"/>
    <w:rsid w:val="00E054F6"/>
    <w:rsid w:val="00E44FAB"/>
    <w:rsid w:val="00E50D3B"/>
    <w:rsid w:val="00E66943"/>
    <w:rsid w:val="00E74472"/>
    <w:rsid w:val="00E76D3E"/>
    <w:rsid w:val="00E81527"/>
    <w:rsid w:val="00E911A3"/>
    <w:rsid w:val="00E92A64"/>
    <w:rsid w:val="00E96C4C"/>
    <w:rsid w:val="00EA0BCA"/>
    <w:rsid w:val="00EF0D81"/>
    <w:rsid w:val="00EF11EF"/>
    <w:rsid w:val="00F0689D"/>
    <w:rsid w:val="00F37398"/>
    <w:rsid w:val="00F50AAA"/>
    <w:rsid w:val="00F54490"/>
    <w:rsid w:val="00F835EE"/>
    <w:rsid w:val="00FC294C"/>
    <w:rsid w:val="00FC3F12"/>
    <w:rsid w:val="00FD3974"/>
    <w:rsid w:val="00FD5C7F"/>
    <w:rsid w:val="00FD70FB"/>
    <w:rsid w:val="00FF2DC4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A92D0"/>
  <w15:docId w15:val="{9D41F716-E6CE-4B81-B411-58F053B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D8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A6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A6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A6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A6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A6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A6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A6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A6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A6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1"/>
    <w:rsid w:val="00EF0D81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0D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Hyperlink">
    <w:name w:val="Hyperlink"/>
    <w:semiHidden/>
    <w:rsid w:val="00EF0D81"/>
    <w:rPr>
      <w:color w:val="auto"/>
      <w:u w:val="none"/>
    </w:rPr>
  </w:style>
  <w:style w:type="paragraph" w:customStyle="1" w:styleId="H1G">
    <w:name w:val="_ H_1_G"/>
    <w:basedOn w:val="Normal"/>
    <w:next w:val="Normal"/>
    <w:rsid w:val="00EF0D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0D8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1">
    <w:name w:val="_ Single Txt_G Char1"/>
    <w:link w:val="SingleTxtG"/>
    <w:locked/>
    <w:rsid w:val="00EF0D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F0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0D8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aliases w:val="6_G"/>
    <w:basedOn w:val="Normal"/>
    <w:link w:val="HeaderChar"/>
    <w:unhideWhenUsed/>
    <w:rsid w:val="00203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035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aliases w:val="3_G"/>
    <w:basedOn w:val="Normal"/>
    <w:link w:val="FooterChar"/>
    <w:unhideWhenUsed/>
    <w:rsid w:val="00203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035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1152B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E92A6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character" w:styleId="FootnoteReference">
    <w:name w:val="footnote reference"/>
    <w:aliases w:val="4_G"/>
    <w:rsid w:val="00E92A6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E92A64"/>
    <w:rPr>
      <w:rFonts w:ascii="Times New Roman" w:hAnsi="Times New Roman"/>
      <w:sz w:val="18"/>
      <w:vertAlign w:val="superscript"/>
    </w:rPr>
  </w:style>
  <w:style w:type="table" w:styleId="TableGrid">
    <w:name w:val="Table Grid"/>
    <w:basedOn w:val="TableNormal"/>
    <w:uiPriority w:val="59"/>
    <w:rsid w:val="00E92A6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A64"/>
    <w:rPr>
      <w:color w:val="auto"/>
      <w:u w:val="none"/>
    </w:rPr>
  </w:style>
  <w:style w:type="paragraph" w:customStyle="1" w:styleId="SMG">
    <w:name w:val="__S_M_G"/>
    <w:basedOn w:val="Normal"/>
    <w:next w:val="Normal"/>
    <w:rsid w:val="00E92A6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A6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A6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E92A6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92A64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rsid w:val="00E92A64"/>
  </w:style>
  <w:style w:type="character" w:customStyle="1" w:styleId="EndnoteTextChar">
    <w:name w:val="Endnote Text Char"/>
    <w:aliases w:val="2_G Char"/>
    <w:basedOn w:val="DefaultParagraphFont"/>
    <w:link w:val="EndnoteText"/>
    <w:rsid w:val="00E92A64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E92A6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E92A6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A6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E92A64"/>
    <w:pPr>
      <w:numPr>
        <w:numId w:val="2"/>
      </w:numPr>
      <w:spacing w:after="120"/>
      <w:ind w:right="1134"/>
      <w:jc w:val="both"/>
    </w:pPr>
  </w:style>
  <w:style w:type="paragraph" w:customStyle="1" w:styleId="H23G">
    <w:name w:val="_ H_2/3_G"/>
    <w:basedOn w:val="Normal"/>
    <w:next w:val="Normal"/>
    <w:rsid w:val="00E92A6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A6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A6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rsid w:val="00E92A64"/>
    <w:rPr>
      <w:lang w:eastAsia="en-US"/>
    </w:rPr>
  </w:style>
  <w:style w:type="table" w:customStyle="1" w:styleId="TableGrid1">
    <w:name w:val="Table Grid1"/>
    <w:basedOn w:val="TableNormal"/>
    <w:next w:val="TableGrid"/>
    <w:rsid w:val="00E9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A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A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92A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2A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92A64"/>
    <w:pPr>
      <w:suppressAutoHyphens w:val="0"/>
      <w:spacing w:line="240" w:lineRule="auto"/>
      <w:ind w:left="720"/>
      <w:contextualSpacing/>
    </w:pPr>
    <w:rPr>
      <w:rFonts w:ascii="Calibri" w:eastAsiaTheme="minorEastAsia" w:hAnsi="Calibri" w:cstheme="minorBidi"/>
      <w:szCs w:val="24"/>
      <w:lang w:val="en-US"/>
    </w:rPr>
  </w:style>
  <w:style w:type="paragraph" w:styleId="Revision">
    <w:name w:val="Revision"/>
    <w:hidden/>
    <w:uiPriority w:val="99"/>
    <w:semiHidden/>
    <w:rsid w:val="00E9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A6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2A6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92A6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7759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759"/>
    <w:rPr>
      <w:rFonts w:ascii="Calibri" w:hAnsi="Calibri"/>
      <w:szCs w:val="21"/>
    </w:rPr>
  </w:style>
  <w:style w:type="paragraph" w:customStyle="1" w:styleId="Num-DocParagraph">
    <w:name w:val="Num-Doc Paragraph"/>
    <w:basedOn w:val="BodyText"/>
    <w:rsid w:val="0036471F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4">
    <w:name w:val="GHSHeading4"/>
    <w:basedOn w:val="Normal"/>
    <w:rsid w:val="0036471F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3647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471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2777-FD91-4C3D-9468-825869C5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Deana - OSHA</dc:creator>
  <cp:keywords/>
  <dc:description/>
  <cp:lastModifiedBy>Laurence Berthet</cp:lastModifiedBy>
  <cp:revision>3</cp:revision>
  <cp:lastPrinted>2019-12-12T11:13:00Z</cp:lastPrinted>
  <dcterms:created xsi:type="dcterms:W3CDTF">2019-12-12T11:05:00Z</dcterms:created>
  <dcterms:modified xsi:type="dcterms:W3CDTF">2019-12-12T11:13:00Z</dcterms:modified>
</cp:coreProperties>
</file>