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14:paraId="4279BABF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4AC565B" w14:textId="796CCAB7" w:rsidR="0099001C" w:rsidRPr="0099001C" w:rsidRDefault="0099001C" w:rsidP="00760020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430201">
              <w:rPr>
                <w:b/>
                <w:sz w:val="40"/>
                <w:szCs w:val="40"/>
              </w:rPr>
              <w:t>3</w:t>
            </w:r>
            <w:r w:rsidR="00E9098E">
              <w:rPr>
                <w:b/>
                <w:sz w:val="40"/>
                <w:szCs w:val="40"/>
              </w:rPr>
              <w:t>8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E9098E">
              <w:rPr>
                <w:b/>
                <w:sz w:val="40"/>
                <w:szCs w:val="40"/>
              </w:rPr>
              <w:t>20</w:t>
            </w:r>
          </w:p>
        </w:tc>
      </w:tr>
      <w:tr w:rsidR="0099001C" w14:paraId="22C94238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52FE1B7C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797145AD" w14:textId="1D642EE6" w:rsidR="00965932" w:rsidRPr="001B03EA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1B06A5">
              <w:rPr>
                <w:b/>
                <w:lang w:val="en-US"/>
              </w:rPr>
              <w:tab/>
            </w:r>
            <w:r w:rsidR="0071642C" w:rsidRPr="0071642C">
              <w:rPr>
                <w:b/>
                <w:lang w:val="en-US"/>
              </w:rPr>
              <w:t>29</w:t>
            </w:r>
            <w:r w:rsidR="004E65DA" w:rsidRPr="0071642C">
              <w:rPr>
                <w:b/>
                <w:lang w:val="en-US"/>
              </w:rPr>
              <w:t xml:space="preserve"> </w:t>
            </w:r>
            <w:r w:rsidR="003B077A" w:rsidRPr="0071642C">
              <w:rPr>
                <w:b/>
                <w:lang w:val="en-US"/>
              </w:rPr>
              <w:t>November</w:t>
            </w:r>
            <w:r w:rsidR="004E65DA" w:rsidRPr="0071642C">
              <w:rPr>
                <w:b/>
                <w:lang w:val="en-US"/>
              </w:rPr>
              <w:t xml:space="preserve"> </w:t>
            </w:r>
            <w:r w:rsidRPr="0071642C">
              <w:rPr>
                <w:b/>
                <w:lang w:val="en-US"/>
              </w:rPr>
              <w:t>201</w:t>
            </w:r>
            <w:r w:rsidR="00B93A39" w:rsidRPr="0071642C">
              <w:rPr>
                <w:b/>
                <w:lang w:val="en-US"/>
              </w:rPr>
              <w:t>9</w:t>
            </w:r>
          </w:p>
          <w:p w14:paraId="3266BFE2" w14:textId="07832282" w:rsidR="00965932" w:rsidRPr="00030139" w:rsidRDefault="00965932" w:rsidP="00E9098E">
            <w:pPr>
              <w:spacing w:before="240"/>
              <w:jc w:val="both"/>
            </w:pPr>
            <w:r w:rsidRPr="00030139">
              <w:rPr>
                <w:b/>
              </w:rPr>
              <w:t>Thirty-</w:t>
            </w:r>
            <w:r w:rsidR="003B077A">
              <w:rPr>
                <w:b/>
              </w:rPr>
              <w:t>eight</w:t>
            </w:r>
            <w:r w:rsidRPr="00030139">
              <w:rPr>
                <w:b/>
              </w:rPr>
              <w:t xml:space="preserve"> session</w:t>
            </w:r>
            <w:r w:rsidRPr="00030139">
              <w:t xml:space="preserve"> </w:t>
            </w:r>
          </w:p>
          <w:p w14:paraId="2ADC1DDD" w14:textId="71166168" w:rsidR="001B06A5" w:rsidRPr="000B4919" w:rsidRDefault="001B06A5" w:rsidP="001B06A5">
            <w:pPr>
              <w:jc w:val="both"/>
            </w:pPr>
            <w:r w:rsidRPr="00030139">
              <w:t xml:space="preserve">Geneva, </w:t>
            </w:r>
            <w:r w:rsidR="003B077A">
              <w:t>11-13 December</w:t>
            </w:r>
            <w:r w:rsidR="00030139" w:rsidRPr="00030139">
              <w:t xml:space="preserve"> 2019</w:t>
            </w:r>
          </w:p>
          <w:p w14:paraId="59727C2D" w14:textId="7E2E3714" w:rsidR="001B06A5" w:rsidRPr="00FA63B2" w:rsidRDefault="001B06A5" w:rsidP="001B06A5">
            <w:pPr>
              <w:spacing w:before="40"/>
            </w:pPr>
            <w:r w:rsidRPr="00AC39CB">
              <w:t xml:space="preserve">Item </w:t>
            </w:r>
            <w:r w:rsidR="000E4421" w:rsidRPr="00AC39CB">
              <w:t>2</w:t>
            </w:r>
            <w:r w:rsidR="006560F1" w:rsidRPr="00AC39CB">
              <w:t xml:space="preserve"> (</w:t>
            </w:r>
            <w:r w:rsidR="000E4421" w:rsidRPr="00AC39CB">
              <w:t>c</w:t>
            </w:r>
            <w:r w:rsidR="006560F1" w:rsidRPr="00AC39CB">
              <w:t>)</w:t>
            </w:r>
            <w:r w:rsidRPr="00AC39CB">
              <w:t xml:space="preserve"> of the provisional agenda</w:t>
            </w:r>
          </w:p>
          <w:p w14:paraId="1812C2D6" w14:textId="77777777" w:rsidR="0099001C" w:rsidRDefault="006560F1" w:rsidP="001B06A5">
            <w:pPr>
              <w:spacing w:line="240" w:lineRule="exact"/>
            </w:pPr>
            <w:r>
              <w:rPr>
                <w:b/>
              </w:rPr>
              <w:t>Use of non-animal testing methods for classification of health hazards</w:t>
            </w:r>
          </w:p>
        </w:tc>
      </w:tr>
    </w:tbl>
    <w:p w14:paraId="1DFE13D8" w14:textId="719DA8D9" w:rsidR="006560F1" w:rsidRPr="00AE4DC1" w:rsidRDefault="00965932" w:rsidP="006560F1">
      <w:pPr>
        <w:pStyle w:val="HChG"/>
        <w:ind w:left="1138" w:right="1138" w:hanging="1138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6560F1" w:rsidRPr="002D4870">
        <w:rPr>
          <w:szCs w:val="28"/>
        </w:rPr>
        <w:t>Use of non-animal testing methods for classification of health hazards</w:t>
      </w:r>
      <w:r w:rsidR="006560F1">
        <w:rPr>
          <w:szCs w:val="28"/>
        </w:rPr>
        <w:t xml:space="preserve">: </w:t>
      </w:r>
      <w:r w:rsidR="00E9098E">
        <w:rPr>
          <w:szCs w:val="28"/>
        </w:rPr>
        <w:t>s</w:t>
      </w:r>
      <w:r w:rsidR="006560F1">
        <w:rPr>
          <w:szCs w:val="28"/>
        </w:rPr>
        <w:t xml:space="preserve">tatus report </w:t>
      </w:r>
    </w:p>
    <w:p w14:paraId="374C1378" w14:textId="77777777" w:rsidR="006560F1" w:rsidRPr="00AE4DC1" w:rsidRDefault="006560F1" w:rsidP="00E9098E">
      <w:pPr>
        <w:pStyle w:val="H1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AE4DC1">
        <w:t xml:space="preserve">Transmitted by </w:t>
      </w:r>
      <w:r w:rsidRPr="00AE4DC1">
        <w:rPr>
          <w:lang w:eastAsia="ja-JP"/>
        </w:rPr>
        <w:t>the expert</w:t>
      </w:r>
      <w:r>
        <w:rPr>
          <w:lang w:eastAsia="ja-JP"/>
        </w:rPr>
        <w:t>s</w:t>
      </w:r>
      <w:r w:rsidRPr="00AE4DC1">
        <w:rPr>
          <w:lang w:eastAsia="ja-JP"/>
        </w:rPr>
        <w:t xml:space="preserve"> </w:t>
      </w:r>
      <w:r w:rsidRPr="00AE4DC1">
        <w:t xml:space="preserve">from the United </w:t>
      </w:r>
      <w:r>
        <w:t>Kingdom and the Netherlands</w:t>
      </w:r>
      <w:r w:rsidRPr="00AE4DC1">
        <w:t xml:space="preserve"> </w:t>
      </w:r>
      <w:r w:rsidRPr="00AE4DC1">
        <w:rPr>
          <w:lang w:eastAsia="de-DE"/>
        </w:rPr>
        <w:t xml:space="preserve">on behalf of the </w:t>
      </w:r>
      <w:r w:rsidRPr="00E9098E">
        <w:t>informal</w:t>
      </w:r>
      <w:r w:rsidRPr="00AE4DC1">
        <w:rPr>
          <w:lang w:eastAsia="de-DE"/>
        </w:rPr>
        <w:t xml:space="preserve"> </w:t>
      </w:r>
      <w:r w:rsidR="007A4655">
        <w:rPr>
          <w:lang w:eastAsia="de-DE"/>
        </w:rPr>
        <w:t>working</w:t>
      </w:r>
      <w:r w:rsidRPr="00AE4DC1">
        <w:rPr>
          <w:lang w:eastAsia="de-DE"/>
        </w:rPr>
        <w:t xml:space="preserve"> group </w:t>
      </w:r>
    </w:p>
    <w:p w14:paraId="7C93BFCD" w14:textId="77777777" w:rsidR="006560F1" w:rsidRPr="0010697D" w:rsidRDefault="006560F1" w:rsidP="00E9098E">
      <w:pPr>
        <w:pStyle w:val="HChG"/>
      </w:pPr>
      <w:r>
        <w:tab/>
      </w:r>
      <w:r w:rsidRPr="00AE4DC1">
        <w:tab/>
      </w:r>
      <w:r w:rsidRPr="00E9098E">
        <w:t>Introduction</w:t>
      </w:r>
    </w:p>
    <w:p w14:paraId="4B321A2D" w14:textId="0E931808" w:rsidR="006560F1" w:rsidRPr="0010697D" w:rsidRDefault="006560F1" w:rsidP="006560F1">
      <w:pPr>
        <w:pStyle w:val="SingleTxtG"/>
      </w:pPr>
      <w:r w:rsidRPr="0010697D">
        <w:t>1.</w:t>
      </w:r>
      <w:r w:rsidRPr="0010697D">
        <w:tab/>
        <w:t xml:space="preserve">This informal paper provides an update on the work performed by the </w:t>
      </w:r>
      <w:r w:rsidR="00401E33" w:rsidRPr="0010697D">
        <w:t>Working</w:t>
      </w:r>
      <w:r w:rsidR="00E15DEA">
        <w:t xml:space="preserve"> G</w:t>
      </w:r>
      <w:r w:rsidRPr="0010697D">
        <w:t xml:space="preserve">roup </w:t>
      </w:r>
      <w:r w:rsidRPr="0010697D">
        <w:rPr>
          <w:szCs w:val="24"/>
          <w:lang w:eastAsia="de-DE"/>
        </w:rPr>
        <w:t xml:space="preserve">on “Use of non-animal testing methods for classification of health hazards” </w:t>
      </w:r>
      <w:r w:rsidR="004E0088" w:rsidRPr="0010697D">
        <w:t>since the thirty-</w:t>
      </w:r>
      <w:r w:rsidR="005F05E3">
        <w:t>seventh</w:t>
      </w:r>
      <w:r w:rsidRPr="0010697D">
        <w:rPr>
          <w:vertAlign w:val="superscript"/>
        </w:rPr>
        <w:t xml:space="preserve"> </w:t>
      </w:r>
      <w:r w:rsidRPr="0010697D">
        <w:t>session of the Sub-Committee.</w:t>
      </w:r>
    </w:p>
    <w:p w14:paraId="5C23102E" w14:textId="54BDAC4B" w:rsidR="006560F1" w:rsidRPr="00760020" w:rsidRDefault="00257311" w:rsidP="006560F1">
      <w:pPr>
        <w:pStyle w:val="Default"/>
        <w:spacing w:before="360" w:after="240"/>
        <w:ind w:left="562"/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tab/>
      </w:r>
      <w:r w:rsidR="006560F1" w:rsidRPr="00A965E2">
        <w:rPr>
          <w:b/>
          <w:sz w:val="28"/>
          <w:szCs w:val="28"/>
        </w:rPr>
        <w:tab/>
        <w:t>Background</w:t>
      </w:r>
    </w:p>
    <w:p w14:paraId="48309AC3" w14:textId="59405130" w:rsidR="006560F1" w:rsidRPr="00B9364E" w:rsidRDefault="006560F1" w:rsidP="006560F1">
      <w:pPr>
        <w:pStyle w:val="SingleTxtG"/>
        <w:rPr>
          <w:highlight w:val="lightGray"/>
        </w:rPr>
      </w:pPr>
      <w:r w:rsidRPr="0010697D">
        <w:rPr>
          <w:bCs/>
          <w:color w:val="000000"/>
          <w:spacing w:val="-4"/>
        </w:rPr>
        <w:t>2.</w:t>
      </w:r>
      <w:r w:rsidRPr="0010697D">
        <w:rPr>
          <w:bCs/>
          <w:color w:val="000000"/>
          <w:spacing w:val="-4"/>
        </w:rPr>
        <w:tab/>
      </w:r>
      <w:r w:rsidRPr="00087DCD">
        <w:t>The Sub-Committee agreed to keep the work on the use of non-animal testing methods for classification of health hazards on its programme of work for the 201</w:t>
      </w:r>
      <w:r w:rsidR="0010697D" w:rsidRPr="00087DCD">
        <w:t>9-2020</w:t>
      </w:r>
      <w:r w:rsidRPr="00087DCD">
        <w:t xml:space="preserve"> biennium (s</w:t>
      </w:r>
      <w:r w:rsidRPr="00087DCD">
        <w:rPr>
          <w:color w:val="000000"/>
        </w:rPr>
        <w:t xml:space="preserve">ee </w:t>
      </w:r>
      <w:r w:rsidRPr="00087DCD">
        <w:rPr>
          <w:bCs/>
          <w:color w:val="000000"/>
          <w:spacing w:val="-4"/>
          <w:bdr w:val="none" w:sz="0" w:space="0" w:color="auto" w:frame="1"/>
        </w:rPr>
        <w:t>ST/SG/AC.10/C.4/</w:t>
      </w:r>
      <w:r w:rsidR="0010697D" w:rsidRPr="00087DCD">
        <w:rPr>
          <w:bCs/>
          <w:color w:val="000000"/>
          <w:spacing w:val="-4"/>
          <w:bdr w:val="none" w:sz="0" w:space="0" w:color="auto" w:frame="1"/>
        </w:rPr>
        <w:t>72</w:t>
      </w:r>
      <w:r w:rsidRPr="00087DCD">
        <w:rPr>
          <w:bCs/>
          <w:color w:val="000000"/>
          <w:spacing w:val="-4"/>
          <w:bdr w:val="none" w:sz="0" w:space="0" w:color="auto" w:frame="1"/>
        </w:rPr>
        <w:t>).</w:t>
      </w:r>
      <w:r w:rsidRPr="00087DCD">
        <w:t xml:space="preserve"> Information on the mandate/terms of reference of the correspondence group is in </w:t>
      </w:r>
      <w:r w:rsidR="00E9098E">
        <w:t xml:space="preserve">informal document </w:t>
      </w:r>
      <w:r w:rsidRPr="00087DCD">
        <w:t>INF.27/Rev.2 (</w:t>
      </w:r>
      <w:r w:rsidR="00E9098E">
        <w:t>31st</w:t>
      </w:r>
      <w:r w:rsidRPr="00087DCD">
        <w:t xml:space="preserve"> session) and the report of the Sub-Committee on its thirty-first session (ST/SG/AC.10/C.4/62 paragraph 26).</w:t>
      </w:r>
    </w:p>
    <w:p w14:paraId="37FCC335" w14:textId="0ED547AB" w:rsidR="008F6F29" w:rsidRPr="00FB126D" w:rsidRDefault="008F6F29" w:rsidP="006560F1">
      <w:pPr>
        <w:pStyle w:val="SingleTxtG"/>
      </w:pPr>
      <w:r w:rsidRPr="00FB126D">
        <w:rPr>
          <w:bCs/>
          <w:color w:val="000000"/>
          <w:spacing w:val="-4"/>
        </w:rPr>
        <w:t>3.</w:t>
      </w:r>
      <w:r w:rsidRPr="00FB126D">
        <w:rPr>
          <w:bCs/>
          <w:color w:val="000000"/>
          <w:spacing w:val="-4"/>
        </w:rPr>
        <w:tab/>
        <w:t xml:space="preserve">The </w:t>
      </w:r>
      <w:r w:rsidRPr="00FB126D">
        <w:t xml:space="preserve">Sub-Committee agreed with the proposal of the </w:t>
      </w:r>
      <w:r w:rsidR="0040561F">
        <w:t>informal w</w:t>
      </w:r>
      <w:r w:rsidRPr="00FB126D">
        <w:t xml:space="preserve">orking </w:t>
      </w:r>
      <w:r w:rsidR="0040561F">
        <w:t>g</w:t>
      </w:r>
      <w:r w:rsidRPr="00FB126D">
        <w:t xml:space="preserve">roup to review and revise </w:t>
      </w:r>
      <w:r w:rsidR="002F55F0" w:rsidRPr="00FB126D">
        <w:t xml:space="preserve">either </w:t>
      </w:r>
      <w:r w:rsidRPr="00FB126D">
        <w:t xml:space="preserve">Chapter 3.3 on serious eye damage and eye irritation, </w:t>
      </w:r>
      <w:r w:rsidR="002F55F0" w:rsidRPr="00FB126D">
        <w:t xml:space="preserve">or </w:t>
      </w:r>
      <w:r w:rsidRPr="00FB126D">
        <w:t>Chapter 3.4 on skin sensitisation in 2019/2020.</w:t>
      </w:r>
      <w:r w:rsidR="00BE0EC3" w:rsidRPr="00FB126D">
        <w:t xml:space="preserve"> As part of the review of Chapter 3.3, the </w:t>
      </w:r>
      <w:r w:rsidR="0040561F">
        <w:t>informal w</w:t>
      </w:r>
      <w:r w:rsidR="00E15DEA" w:rsidRPr="00FB126D">
        <w:t xml:space="preserve">orking </w:t>
      </w:r>
      <w:r w:rsidR="0040561F">
        <w:t>g</w:t>
      </w:r>
      <w:r w:rsidR="00BE0EC3" w:rsidRPr="00FB126D">
        <w:t>roup will consider again the specific issue of classification using pH to resolve</w:t>
      </w:r>
      <w:proofErr w:type="gramStart"/>
      <w:r w:rsidR="00BE0EC3" w:rsidRPr="00FB126D">
        <w:t>, in particular, the</w:t>
      </w:r>
      <w:proofErr w:type="gramEnd"/>
      <w:r w:rsidR="00BE0EC3" w:rsidRPr="00FB126D">
        <w:t xml:space="preserve"> current ambiguity on whether the appropriate classification is corrosive or inconclusive where a substance or mixture has extreme pH and low acid/alkaline reserve.</w:t>
      </w:r>
      <w:r w:rsidRPr="00FB126D">
        <w:t xml:space="preserve"> </w:t>
      </w:r>
    </w:p>
    <w:p w14:paraId="0BAE13D1" w14:textId="4ABD7840" w:rsidR="004E0088" w:rsidRPr="00FD6FD0" w:rsidRDefault="008F6F29" w:rsidP="004E0088">
      <w:pPr>
        <w:pStyle w:val="SingleTxtG"/>
      </w:pPr>
      <w:r w:rsidRPr="00FD6FD0">
        <w:t>4</w:t>
      </w:r>
      <w:r w:rsidR="006560F1" w:rsidRPr="00FD6FD0">
        <w:t>.</w:t>
      </w:r>
      <w:r w:rsidR="006560F1" w:rsidRPr="00FD6FD0">
        <w:tab/>
      </w:r>
      <w:r w:rsidR="004E0088" w:rsidRPr="00FD6FD0">
        <w:t>The Working Group presently has approximately 5</w:t>
      </w:r>
      <w:r w:rsidR="00E15DEA" w:rsidRPr="00FD6FD0">
        <w:t>0</w:t>
      </w:r>
      <w:r w:rsidR="004E0088" w:rsidRPr="00FD6FD0">
        <w:t xml:space="preserve"> members, reflecting the importance of, and interest in, </w:t>
      </w:r>
      <w:r w:rsidR="00D5400F" w:rsidRPr="00FD6FD0">
        <w:t xml:space="preserve">this </w:t>
      </w:r>
      <w:r w:rsidR="004E0088" w:rsidRPr="00FD6FD0">
        <w:t>work. Its membership includes experts with specialised knowledge of test methods and their application to classification</w:t>
      </w:r>
      <w:r w:rsidR="00D5400F" w:rsidRPr="00FD6FD0">
        <w:t>,</w:t>
      </w:r>
      <w:r w:rsidR="004E0088" w:rsidRPr="00FD6FD0">
        <w:t xml:space="preserve"> and experts on </w:t>
      </w:r>
      <w:r w:rsidR="0040561F">
        <w:t>n</w:t>
      </w:r>
      <w:r w:rsidR="004E0088" w:rsidRPr="00FD6FD0">
        <w:t>ational legislation</w:t>
      </w:r>
      <w:r w:rsidR="00D5400F" w:rsidRPr="00FD6FD0">
        <w:t xml:space="preserve"> that implements GHS</w:t>
      </w:r>
      <w:r w:rsidR="004E0088" w:rsidRPr="00FD6FD0">
        <w:t xml:space="preserve">. Discussions are often lively and detailed, but overall are propelled by a strong desire to make progress on the </w:t>
      </w:r>
      <w:r w:rsidR="0040561F">
        <w:t>informal w</w:t>
      </w:r>
      <w:r w:rsidR="004E0088" w:rsidRPr="00FD6FD0">
        <w:t xml:space="preserve">orking </w:t>
      </w:r>
      <w:r w:rsidR="0040561F">
        <w:t>g</w:t>
      </w:r>
      <w:r w:rsidR="004E0088" w:rsidRPr="00FD6FD0">
        <w:t>roup’s mandate and ensure that non-animal test methods are consistently incorporated in the GHS in a way that reflects their growing importance and scientific relevance, whilst recognising their limitations.</w:t>
      </w:r>
    </w:p>
    <w:p w14:paraId="303AFEC3" w14:textId="77777777" w:rsidR="006560F1" w:rsidRPr="005F485F" w:rsidRDefault="006560F1" w:rsidP="006560F1">
      <w:pPr>
        <w:pStyle w:val="HChG"/>
        <w:ind w:left="1138" w:right="1138" w:hanging="1138"/>
      </w:pPr>
      <w:r w:rsidRPr="005F485F">
        <w:lastRenderedPageBreak/>
        <w:tab/>
      </w:r>
      <w:r w:rsidRPr="005F485F">
        <w:tab/>
        <w:t xml:space="preserve">Status report </w:t>
      </w:r>
    </w:p>
    <w:p w14:paraId="0D09BB4B" w14:textId="78415E70" w:rsidR="00C914DB" w:rsidRDefault="00095E8A" w:rsidP="00D63D79">
      <w:pPr>
        <w:pStyle w:val="SingleTxtG"/>
      </w:pPr>
      <w:r w:rsidRPr="008B02D1">
        <w:t>5</w:t>
      </w:r>
      <w:r w:rsidR="00D63D79" w:rsidRPr="008B02D1">
        <w:t>.</w:t>
      </w:r>
      <w:r w:rsidR="00D63D79" w:rsidRPr="008B02D1">
        <w:tab/>
      </w:r>
      <w:r w:rsidR="00C914DB" w:rsidRPr="00C914DB">
        <w:t xml:space="preserve">It was agreed at the webex meeting in February 2019 that the </w:t>
      </w:r>
      <w:r w:rsidR="0040561F">
        <w:t>informal w</w:t>
      </w:r>
      <w:r w:rsidR="00C914DB" w:rsidRPr="00C914DB">
        <w:t xml:space="preserve">orking </w:t>
      </w:r>
      <w:r w:rsidR="0040561F">
        <w:t>g</w:t>
      </w:r>
      <w:r w:rsidR="00C914DB" w:rsidRPr="00C914DB">
        <w:t>roup will start their work in 2019/2020 on serious eye damage/eye irritation, alongside continuing its consideration of the pH rule.</w:t>
      </w:r>
      <w:r w:rsidR="00E00FA6">
        <w:t xml:space="preserve"> See </w:t>
      </w:r>
      <w:r w:rsidR="00E9098E">
        <w:t xml:space="preserve">informal document </w:t>
      </w:r>
      <w:r w:rsidR="00516D16" w:rsidRPr="00516D16">
        <w:t>INF</w:t>
      </w:r>
      <w:r w:rsidR="0040561F">
        <w:t>.</w:t>
      </w:r>
      <w:r w:rsidR="00516D16" w:rsidRPr="00516D16">
        <w:t>17</w:t>
      </w:r>
      <w:r w:rsidR="00E9098E">
        <w:t xml:space="preserve"> (37</w:t>
      </w:r>
      <w:r w:rsidR="00E9098E" w:rsidRPr="00E9098E">
        <w:rPr>
          <w:vertAlign w:val="superscript"/>
        </w:rPr>
        <w:t>th</w:t>
      </w:r>
      <w:r w:rsidR="00E9098E">
        <w:t xml:space="preserve"> session)</w:t>
      </w:r>
      <w:r w:rsidR="00516D16">
        <w:t xml:space="preserve"> for additional information.</w:t>
      </w:r>
    </w:p>
    <w:p w14:paraId="4BBD610C" w14:textId="165CFE41" w:rsidR="00975FDA" w:rsidRPr="00EA1783" w:rsidRDefault="00773204" w:rsidP="00975FDA">
      <w:pPr>
        <w:pStyle w:val="SingleTxtG"/>
      </w:pPr>
      <w:r>
        <w:t>6</w:t>
      </w:r>
      <w:r w:rsidR="00975FDA" w:rsidRPr="00EA1783">
        <w:t xml:space="preserve">. </w:t>
      </w:r>
      <w:r w:rsidR="00975FDA" w:rsidRPr="00EA1783">
        <w:tab/>
      </w:r>
      <w:r w:rsidR="0040561F">
        <w:t>The European Commission’s Joint Research Centre (</w:t>
      </w:r>
      <w:r w:rsidR="00975FDA" w:rsidRPr="00EA1783">
        <w:t>JRC</w:t>
      </w:r>
      <w:r w:rsidR="0040561F">
        <w:t>)</w:t>
      </w:r>
      <w:r w:rsidR="00975FDA" w:rsidRPr="00EA1783">
        <w:t xml:space="preserve"> prepared an issue paper on serious eye damage/eye irritation, which states that the update will be in line with the update of chapter 3.2 on skin irritation/corrosion and included points for discussion that are specifically relevant to Chapter 3.3. </w:t>
      </w:r>
      <w:r w:rsidR="007E7A69" w:rsidRPr="00EA1783">
        <w:t xml:space="preserve">The purpose of the paper was to discuss the issues and where possible to reach consensus before starting the revision of Chapter 3.3. </w:t>
      </w:r>
      <w:r w:rsidR="00B62A4D" w:rsidRPr="00EA1783">
        <w:t xml:space="preserve">The document was discussed in </w:t>
      </w:r>
      <w:r w:rsidR="005F05E3">
        <w:t xml:space="preserve">a </w:t>
      </w:r>
      <w:proofErr w:type="spellStart"/>
      <w:r w:rsidR="007E7A69" w:rsidRPr="00EA1783">
        <w:t>webex</w:t>
      </w:r>
      <w:proofErr w:type="spellEnd"/>
      <w:r w:rsidR="007E7A69" w:rsidRPr="00EA1783">
        <w:t xml:space="preserve"> meeting </w:t>
      </w:r>
      <w:r w:rsidR="00C759FD">
        <w:t>on</w:t>
      </w:r>
      <w:r w:rsidR="00C759FD" w:rsidRPr="00EA1783">
        <w:t xml:space="preserve"> </w:t>
      </w:r>
      <w:r w:rsidR="007E7A69" w:rsidRPr="00EA1783">
        <w:t xml:space="preserve">11 June 2019 and </w:t>
      </w:r>
      <w:r w:rsidR="005F05E3">
        <w:t>at a</w:t>
      </w:r>
      <w:r w:rsidR="00B62A4D" w:rsidRPr="00EA1783">
        <w:t xml:space="preserve"> face-to-face meeting </w:t>
      </w:r>
      <w:r w:rsidR="00C759FD">
        <w:t>on</w:t>
      </w:r>
      <w:r w:rsidR="00C759FD" w:rsidRPr="00EA1783">
        <w:t xml:space="preserve"> </w:t>
      </w:r>
      <w:r w:rsidR="00795596" w:rsidRPr="00EA1783">
        <w:t xml:space="preserve">9 July 2019. </w:t>
      </w:r>
      <w:r w:rsidR="005F05E3">
        <w:t>During the face to face meeting, i</w:t>
      </w:r>
      <w:r w:rsidR="007E7A69" w:rsidRPr="00EA1783">
        <w:t xml:space="preserve">t was agreed by the </w:t>
      </w:r>
      <w:r w:rsidR="0040561F">
        <w:t>informal w</w:t>
      </w:r>
      <w:r w:rsidR="007E7A69" w:rsidRPr="00EA1783">
        <w:t xml:space="preserve">orking </w:t>
      </w:r>
      <w:r w:rsidR="0040561F">
        <w:t>g</w:t>
      </w:r>
      <w:r w:rsidR="007E7A69" w:rsidRPr="00EA1783">
        <w:t>roup</w:t>
      </w:r>
      <w:r w:rsidR="00B62A4D" w:rsidRPr="00EA1783">
        <w:t xml:space="preserve"> </w:t>
      </w:r>
      <w:r w:rsidR="007E7A69" w:rsidRPr="00EA1783">
        <w:t xml:space="preserve">that the work would be continued by </w:t>
      </w:r>
      <w:r w:rsidR="00EA1783" w:rsidRPr="00EA1783">
        <w:t xml:space="preserve">starting </w:t>
      </w:r>
      <w:r w:rsidR="009B7B41">
        <w:t xml:space="preserve">to </w:t>
      </w:r>
      <w:r w:rsidR="00EA1783" w:rsidRPr="00EA1783">
        <w:t xml:space="preserve">draft a revision of Chapter 3.3. </w:t>
      </w:r>
    </w:p>
    <w:p w14:paraId="3DED19BE" w14:textId="747604B0" w:rsidR="00E275CA" w:rsidRDefault="00773204" w:rsidP="00975FDA">
      <w:pPr>
        <w:pStyle w:val="SingleTxtG"/>
      </w:pPr>
      <w:r>
        <w:t>7</w:t>
      </w:r>
      <w:r w:rsidR="00975FDA" w:rsidRPr="00EA1783">
        <w:t>.</w:t>
      </w:r>
      <w:r w:rsidR="00975FDA" w:rsidRPr="00EA1783">
        <w:tab/>
      </w:r>
      <w:r w:rsidR="00EA1783" w:rsidRPr="00EA1783">
        <w:t>In September, a first draft of Chapter 3.3 was created by</w:t>
      </w:r>
      <w:r w:rsidR="00EA1783">
        <w:t xml:space="preserve"> JRC</w:t>
      </w:r>
      <w:r w:rsidR="00E275CA">
        <w:t xml:space="preserve">. The document was </w:t>
      </w:r>
      <w:r w:rsidR="00EA1783">
        <w:t>discussed with U</w:t>
      </w:r>
      <w:r w:rsidR="00E9098E">
        <w:t>nited Kingdom</w:t>
      </w:r>
      <w:r w:rsidR="00EA1783">
        <w:t xml:space="preserve"> and </w:t>
      </w:r>
      <w:r w:rsidR="0040561F">
        <w:t xml:space="preserve">the </w:t>
      </w:r>
      <w:r w:rsidR="00EA1783">
        <w:t>N</w:t>
      </w:r>
      <w:r w:rsidR="00E9098E">
        <w:t>etherlands</w:t>
      </w:r>
      <w:r w:rsidR="00E275CA">
        <w:t xml:space="preserve"> and after minor revision it was sent to the Working Group</w:t>
      </w:r>
      <w:r w:rsidR="00EA1783">
        <w:t xml:space="preserve"> </w:t>
      </w:r>
      <w:r w:rsidR="00E275CA">
        <w:t xml:space="preserve">for comments. This first revision was discussed during the </w:t>
      </w:r>
      <w:proofErr w:type="spellStart"/>
      <w:r w:rsidR="00E275CA">
        <w:t>webex</w:t>
      </w:r>
      <w:proofErr w:type="spellEnd"/>
      <w:r w:rsidR="00E275CA">
        <w:t xml:space="preserve"> meeting </w:t>
      </w:r>
      <w:r w:rsidR="00C759FD">
        <w:t xml:space="preserve">on </w:t>
      </w:r>
      <w:r w:rsidR="00E275CA">
        <w:t xml:space="preserve">7 November 2019. </w:t>
      </w:r>
      <w:r w:rsidR="002140AA">
        <w:t>The main discussions were on the paragraphs on in vitro/ex vivo data, the tiered approach including Figure 3.3.1, and the background guidance on the use of human data.</w:t>
      </w:r>
    </w:p>
    <w:p w14:paraId="7707371D" w14:textId="7269E991" w:rsidR="005E08AE" w:rsidRDefault="00773204" w:rsidP="00975FDA">
      <w:pPr>
        <w:pStyle w:val="SingleTxtG"/>
      </w:pPr>
      <w:r>
        <w:t>8</w:t>
      </w:r>
      <w:r w:rsidR="005E08AE">
        <w:t xml:space="preserve">. </w:t>
      </w:r>
      <w:r w:rsidR="005E08AE">
        <w:tab/>
      </w:r>
      <w:r w:rsidR="00813EB5">
        <w:t xml:space="preserve">Based on the outcome of the discussions, </w:t>
      </w:r>
      <w:r w:rsidR="00C759FD">
        <w:t xml:space="preserve">the draft </w:t>
      </w:r>
      <w:r w:rsidR="00813EB5">
        <w:t xml:space="preserve">Chapter </w:t>
      </w:r>
      <w:r w:rsidR="007D5C89">
        <w:t xml:space="preserve">3.3 will be further revised and discussed again at the face to face meeting </w:t>
      </w:r>
      <w:r w:rsidR="00C759FD">
        <w:t xml:space="preserve">on </w:t>
      </w:r>
      <w:r w:rsidR="007D5C89">
        <w:t xml:space="preserve">11 December in Geneva. </w:t>
      </w:r>
      <w:r w:rsidR="004B4153">
        <w:t xml:space="preserve">In addition, the application of a weight of evidence analysis and examples of classification will be discussed to continue the work on how to assess the outcome </w:t>
      </w:r>
      <w:r w:rsidR="00ED1CE0">
        <w:t xml:space="preserve">of in vitro/ex vivo studies. </w:t>
      </w:r>
    </w:p>
    <w:p w14:paraId="19A4A58A" w14:textId="395CC4E6" w:rsidR="008A3CC2" w:rsidRDefault="00773204" w:rsidP="00856199">
      <w:pPr>
        <w:pStyle w:val="SingleTxtG"/>
      </w:pPr>
      <w:r>
        <w:t>9</w:t>
      </w:r>
      <w:r w:rsidR="00856199" w:rsidRPr="00856199">
        <w:t xml:space="preserve">. </w:t>
      </w:r>
      <w:r w:rsidR="00856199" w:rsidRPr="00856199">
        <w:tab/>
      </w:r>
      <w:r w:rsidR="008A3CC2" w:rsidRPr="00856199">
        <w:t xml:space="preserve">The discussion on classification using pH </w:t>
      </w:r>
      <w:r w:rsidR="00F26A7C" w:rsidRPr="00856199">
        <w:t xml:space="preserve">has </w:t>
      </w:r>
      <w:r w:rsidR="008A3CC2" w:rsidRPr="00856199">
        <w:t xml:space="preserve">continued </w:t>
      </w:r>
      <w:r w:rsidR="00856199" w:rsidRPr="00856199">
        <w:t xml:space="preserve">in this biennium </w:t>
      </w:r>
      <w:r w:rsidR="008A3CC2" w:rsidRPr="00856199">
        <w:t>based on a thought starter document prepared by N</w:t>
      </w:r>
      <w:r w:rsidR="00E9098E">
        <w:t>etherlands</w:t>
      </w:r>
      <w:r w:rsidR="008A3CC2" w:rsidRPr="00856199">
        <w:t xml:space="preserve">. The document </w:t>
      </w:r>
      <w:r w:rsidR="00771FD5" w:rsidRPr="00856199">
        <w:t xml:space="preserve">indicated the different interpretations of the GHS text and referred to existing guidance documents of the EU, OSHA and OECD. </w:t>
      </w:r>
      <w:r w:rsidR="006F63CD" w:rsidRPr="00856199">
        <w:t xml:space="preserve">Further, it provided an overview of the discussions and suggestions for a way forward. </w:t>
      </w:r>
    </w:p>
    <w:p w14:paraId="524C3CA7" w14:textId="01F375B3" w:rsidR="00E15151" w:rsidRPr="00856199" w:rsidRDefault="00856199" w:rsidP="00856199">
      <w:pPr>
        <w:pStyle w:val="SingleTxtG"/>
      </w:pPr>
      <w:r>
        <w:t>1</w:t>
      </w:r>
      <w:r w:rsidR="00773204">
        <w:t>0</w:t>
      </w:r>
      <w:r>
        <w:t xml:space="preserve">. </w:t>
      </w:r>
      <w:r>
        <w:tab/>
      </w:r>
      <w:r w:rsidRPr="00856199">
        <w:t>T</w:t>
      </w:r>
      <w:r w:rsidR="00E15151" w:rsidRPr="00856199">
        <w:t xml:space="preserve">he thought starter was discussed with the group at the webex meeting in February. It was considered useful </w:t>
      </w:r>
      <w:r w:rsidR="00DB6E94" w:rsidRPr="00856199">
        <w:t xml:space="preserve">to review existing data to reassess the confidence of classifying </w:t>
      </w:r>
      <w:proofErr w:type="gramStart"/>
      <w:r w:rsidR="00DB6E94" w:rsidRPr="00856199">
        <w:t>on the basis of</w:t>
      </w:r>
      <w:proofErr w:type="gramEnd"/>
      <w:r w:rsidR="00DB6E94" w:rsidRPr="00856199">
        <w:t xml:space="preserve"> pH, with or without acid/alkali reserve.</w:t>
      </w:r>
      <w:r w:rsidR="00B00936" w:rsidRPr="00856199">
        <w:t xml:space="preserve"> Initiatives for collecting and analysing data are ongoing.</w:t>
      </w:r>
      <w:r w:rsidR="00DB6E94" w:rsidRPr="00856199">
        <w:t xml:space="preserve"> </w:t>
      </w:r>
    </w:p>
    <w:p w14:paraId="7BB8B596" w14:textId="2A657C61" w:rsidR="0041449C" w:rsidRPr="00575A64" w:rsidRDefault="006560F1" w:rsidP="00E9098E">
      <w:pPr>
        <w:pStyle w:val="HChG"/>
      </w:pPr>
      <w:r w:rsidRPr="00575A64">
        <w:tab/>
      </w:r>
      <w:r w:rsidRPr="00575A64">
        <w:tab/>
      </w:r>
      <w:r w:rsidR="00BD595D" w:rsidRPr="00575A64">
        <w:t>On-going work</w:t>
      </w:r>
    </w:p>
    <w:p w14:paraId="4044BBFB" w14:textId="1991A662" w:rsidR="00A54ABA" w:rsidRDefault="00A071F3" w:rsidP="00D1628D">
      <w:pPr>
        <w:pStyle w:val="SingleTxtG"/>
      </w:pPr>
      <w:r w:rsidRPr="00575A64">
        <w:t>1</w:t>
      </w:r>
      <w:r w:rsidR="00773204">
        <w:t>1</w:t>
      </w:r>
      <w:r w:rsidR="0041449C" w:rsidRPr="00575A64">
        <w:t>.</w:t>
      </w:r>
      <w:r w:rsidR="0040561F">
        <w:tab/>
      </w:r>
      <w:r w:rsidR="0041449C" w:rsidRPr="00575A64">
        <w:t xml:space="preserve">The </w:t>
      </w:r>
      <w:r w:rsidR="0040561F">
        <w:t>informal w</w:t>
      </w:r>
      <w:r w:rsidR="000E7E0A" w:rsidRPr="00575A64">
        <w:t xml:space="preserve">orking </w:t>
      </w:r>
      <w:r w:rsidR="0040561F">
        <w:t>g</w:t>
      </w:r>
      <w:r w:rsidR="0041449C" w:rsidRPr="00575A64">
        <w:t xml:space="preserve">roup on </w:t>
      </w:r>
      <w:r w:rsidR="006F74AF" w:rsidRPr="00575A64">
        <w:t>non-animal</w:t>
      </w:r>
      <w:r w:rsidR="000E7E0A" w:rsidRPr="00575A64">
        <w:t xml:space="preserve"> test methods</w:t>
      </w:r>
      <w:r w:rsidR="0041449C" w:rsidRPr="00575A64">
        <w:t xml:space="preserve"> will continue its work </w:t>
      </w:r>
      <w:r w:rsidR="00BD595D" w:rsidRPr="00575A64">
        <w:t xml:space="preserve">at </w:t>
      </w:r>
      <w:r w:rsidR="00090FEC" w:rsidRPr="00575A64">
        <w:t xml:space="preserve">its </w:t>
      </w:r>
      <w:r w:rsidR="00BD595D" w:rsidRPr="00575A64">
        <w:t xml:space="preserve">face-to-face </w:t>
      </w:r>
      <w:r w:rsidR="004E0088" w:rsidRPr="00575A64">
        <w:t xml:space="preserve">meeting on </w:t>
      </w:r>
      <w:r w:rsidR="00575A64" w:rsidRPr="00575A64">
        <w:t>11</w:t>
      </w:r>
      <w:r w:rsidR="004E0088" w:rsidRPr="00575A64">
        <w:t xml:space="preserve"> </w:t>
      </w:r>
      <w:r w:rsidR="00575A64" w:rsidRPr="00575A64">
        <w:t>December 2019</w:t>
      </w:r>
      <w:r w:rsidR="004E0088" w:rsidRPr="00575A64">
        <w:t xml:space="preserve"> </w:t>
      </w:r>
      <w:r w:rsidR="006F74AF" w:rsidRPr="00575A64">
        <w:t xml:space="preserve">(for the agenda see Annex I) </w:t>
      </w:r>
      <w:r w:rsidR="00BD595D" w:rsidRPr="00575A64">
        <w:t xml:space="preserve">and subsequent </w:t>
      </w:r>
      <w:r w:rsidR="004E0088" w:rsidRPr="00575A64">
        <w:t>teleconferences</w:t>
      </w:r>
      <w:r w:rsidR="00BD595D" w:rsidRPr="00575A64">
        <w:t xml:space="preserve"> as necessary</w:t>
      </w:r>
      <w:r w:rsidR="008D2F0C" w:rsidRPr="00575A64">
        <w:t>.</w:t>
      </w:r>
      <w:r w:rsidR="008D2F0C">
        <w:t xml:space="preserve"> </w:t>
      </w:r>
      <w:r w:rsidR="00A54ABA">
        <w:br w:type="page"/>
      </w:r>
    </w:p>
    <w:tbl>
      <w:tblPr>
        <w:tblpPr w:leftFromText="142" w:rightFromText="142" w:vertAnchor="page" w:horzAnchor="page" w:tblpX="1135" w:tblpY="568"/>
        <w:tblOverlap w:val="never"/>
        <w:tblW w:w="94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9"/>
      </w:tblGrid>
      <w:tr w:rsidR="00A54ABA" w:rsidRPr="0083327E" w14:paraId="3BAB8D72" w14:textId="77777777" w:rsidTr="00A54ABA">
        <w:trPr>
          <w:cantSplit/>
          <w:trHeight w:hRule="exact" w:val="5103"/>
        </w:trPr>
        <w:tc>
          <w:tcPr>
            <w:tcW w:w="0" w:type="auto"/>
          </w:tcPr>
          <w:p w14:paraId="05A497D9" w14:textId="77777777" w:rsidR="00E9098E" w:rsidRDefault="00E9098E" w:rsidP="00E9098E">
            <w:pPr>
              <w:pStyle w:val="HChG"/>
              <w:rPr>
                <w:lang w:val="en-US"/>
              </w:rPr>
            </w:pPr>
          </w:p>
          <w:p w14:paraId="27EC5684" w14:textId="225EE560" w:rsidR="00A54ABA" w:rsidRDefault="00A54ABA" w:rsidP="00E9098E">
            <w:pPr>
              <w:pStyle w:val="HChG"/>
              <w:rPr>
                <w:lang w:val="en-US"/>
              </w:rPr>
            </w:pPr>
            <w:r>
              <w:rPr>
                <w:lang w:val="en-US"/>
              </w:rPr>
              <w:t xml:space="preserve">Annex </w:t>
            </w:r>
            <w:bookmarkStart w:id="0" w:name="_GoBack"/>
            <w:bookmarkEnd w:id="0"/>
          </w:p>
          <w:p w14:paraId="474D7638" w14:textId="77777777" w:rsidR="00A54ABA" w:rsidRPr="0083327E" w:rsidRDefault="00A54ABA" w:rsidP="000B5C4D">
            <w:pPr>
              <w:spacing w:before="12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3327E">
              <w:rPr>
                <w:b/>
                <w:color w:val="000000" w:themeColor="text1"/>
                <w:sz w:val="24"/>
                <w:szCs w:val="24"/>
                <w:lang w:val="en-US"/>
              </w:rPr>
              <w:t>Committee of Experts on the Transport of Dangerous Goods</w:t>
            </w:r>
            <w:r w:rsidRPr="0083327E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83327E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  <w:t>and Labelling of Chemicals</w:t>
            </w:r>
          </w:p>
          <w:p w14:paraId="01BD0FC0" w14:textId="56843396" w:rsidR="00A54ABA" w:rsidRDefault="00A54ABA" w:rsidP="000B5C4D">
            <w:pPr>
              <w:tabs>
                <w:tab w:val="right" w:pos="9300"/>
              </w:tabs>
              <w:spacing w:before="12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97C4B">
              <w:rPr>
                <w:b/>
                <w:color w:val="000000" w:themeColor="text1"/>
                <w:lang w:val="en-US"/>
              </w:rPr>
              <w:t>Sub-Committee of Experts on the Globally Harmonized</w:t>
            </w:r>
            <w:r w:rsidRPr="00597C4B">
              <w:rPr>
                <w:b/>
                <w:color w:val="000000" w:themeColor="text1"/>
                <w:lang w:val="en-US"/>
              </w:rPr>
              <w:br/>
              <w:t>System of Classification and Labelling of Chemicals</w:t>
            </w:r>
            <w:r w:rsidRPr="00597C4B">
              <w:rPr>
                <w:b/>
                <w:color w:val="000000" w:themeColor="text1"/>
                <w:lang w:val="en-US"/>
              </w:rPr>
              <w:tab/>
            </w:r>
            <w:r w:rsidR="00B9364E">
              <w:rPr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  <w:r w:rsidRPr="00597C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9364E">
              <w:rPr>
                <w:b/>
                <w:color w:val="000000" w:themeColor="text1"/>
                <w:sz w:val="24"/>
                <w:szCs w:val="24"/>
                <w:lang w:val="en-US"/>
              </w:rPr>
              <w:t>December</w:t>
            </w:r>
            <w:r w:rsidRPr="00597C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2019, 1</w:t>
            </w:r>
            <w:r w:rsidR="00B9364E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597C4B">
              <w:rPr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="00B9364E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597C4B">
              <w:rPr>
                <w:b/>
                <w:color w:val="000000" w:themeColor="text1"/>
                <w:sz w:val="24"/>
                <w:szCs w:val="24"/>
                <w:lang w:val="en-US"/>
              </w:rPr>
              <w:t>0 – 1</w:t>
            </w:r>
            <w:r w:rsidR="00B9364E"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597C4B">
              <w:rPr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="00B9364E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597C4B">
              <w:rPr>
                <w:b/>
                <w:color w:val="000000" w:themeColor="text1"/>
                <w:sz w:val="24"/>
                <w:szCs w:val="24"/>
                <w:lang w:val="en-US"/>
              </w:rPr>
              <w:t>0 CET</w:t>
            </w:r>
          </w:p>
          <w:p w14:paraId="4D11DE37" w14:textId="77777777" w:rsidR="00A54ABA" w:rsidRPr="0083327E" w:rsidRDefault="00A54ABA" w:rsidP="000B5C4D">
            <w:pPr>
              <w:tabs>
                <w:tab w:val="right" w:pos="9300"/>
              </w:tabs>
              <w:spacing w:before="120"/>
              <w:ind w:left="5954"/>
              <w:rPr>
                <w:color w:val="000000" w:themeColor="text1"/>
              </w:rPr>
            </w:pPr>
          </w:p>
          <w:p w14:paraId="4186B6EE" w14:textId="77777777" w:rsidR="00A54ABA" w:rsidRDefault="00A54ABA" w:rsidP="000B5C4D">
            <w:pPr>
              <w:jc w:val="both"/>
              <w:rPr>
                <w:b/>
                <w:color w:val="000000" w:themeColor="text1"/>
              </w:rPr>
            </w:pPr>
          </w:p>
          <w:p w14:paraId="682495DC" w14:textId="77777777" w:rsidR="00A54ABA" w:rsidRPr="0083327E" w:rsidRDefault="00A54ABA" w:rsidP="00E2056B">
            <w:pPr>
              <w:ind w:right="1487"/>
              <w:jc w:val="both"/>
              <w:rPr>
                <w:b/>
                <w:color w:val="000000" w:themeColor="text1"/>
              </w:rPr>
            </w:pPr>
            <w:r w:rsidRPr="0083327E">
              <w:rPr>
                <w:b/>
                <w:color w:val="000000" w:themeColor="text1"/>
              </w:rPr>
              <w:t>Informal working group on use of non-animal testing methods for the classification of health hazards</w:t>
            </w:r>
          </w:p>
          <w:p w14:paraId="5E960B1C" w14:textId="77777777" w:rsidR="00A54ABA" w:rsidRDefault="00A54ABA" w:rsidP="000B5C4D">
            <w:pPr>
              <w:spacing w:line="240" w:lineRule="exact"/>
              <w:rPr>
                <w:color w:val="000000" w:themeColor="text1"/>
              </w:rPr>
            </w:pPr>
          </w:p>
          <w:p w14:paraId="3D352A7B" w14:textId="6B0DB955" w:rsidR="00A54ABA" w:rsidRPr="00A54ABA" w:rsidRDefault="00A54ABA" w:rsidP="000B5C4D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Room </w:t>
            </w:r>
            <w:r w:rsidR="00D92635">
              <w:rPr>
                <w:b/>
                <w:color w:val="000000" w:themeColor="text1"/>
              </w:rPr>
              <w:t>IV</w:t>
            </w:r>
          </w:p>
        </w:tc>
      </w:tr>
    </w:tbl>
    <w:p w14:paraId="493F4828" w14:textId="52941690" w:rsidR="00A54ABA" w:rsidRPr="00B6616C" w:rsidRDefault="00A54ABA" w:rsidP="00E9098E">
      <w:pPr>
        <w:pStyle w:val="HChG"/>
        <w:spacing w:before="120" w:after="120"/>
        <w:ind w:right="-142"/>
        <w:rPr>
          <w:rFonts w:eastAsia="MS Mincho"/>
          <w:color w:val="000000" w:themeColor="text1"/>
          <w:sz w:val="24"/>
        </w:rPr>
      </w:pPr>
      <w:r w:rsidRPr="00B6616C">
        <w:rPr>
          <w:rFonts w:eastAsia="MS Mincho"/>
          <w:color w:val="000000" w:themeColor="text1"/>
          <w:sz w:val="24"/>
          <w:lang w:val="en-US" w:eastAsia="ja-JP"/>
        </w:rPr>
        <w:t xml:space="preserve">Agenda: </w:t>
      </w:r>
      <w:r w:rsidR="0040561F">
        <w:rPr>
          <w:rFonts w:eastAsia="MS Mincho"/>
          <w:color w:val="000000" w:themeColor="text1"/>
          <w:sz w:val="24"/>
          <w:lang w:val="en-US" w:eastAsia="ja-JP"/>
        </w:rPr>
        <w:t>informal w</w:t>
      </w:r>
      <w:r w:rsidRPr="00B6616C">
        <w:rPr>
          <w:rFonts w:eastAsia="MS Mincho"/>
          <w:color w:val="000000" w:themeColor="text1"/>
          <w:sz w:val="24"/>
          <w:lang w:val="en-US" w:eastAsia="ja-JP"/>
        </w:rPr>
        <w:t xml:space="preserve">orking </w:t>
      </w:r>
      <w:r w:rsidR="0040561F">
        <w:rPr>
          <w:rFonts w:eastAsia="MS Mincho"/>
          <w:color w:val="000000" w:themeColor="text1"/>
          <w:sz w:val="24"/>
          <w:lang w:val="en-US" w:eastAsia="ja-JP"/>
        </w:rPr>
        <w:t>g</w:t>
      </w:r>
      <w:r w:rsidRPr="00B6616C">
        <w:rPr>
          <w:rFonts w:eastAsia="MS Mincho"/>
          <w:color w:val="000000" w:themeColor="text1"/>
          <w:sz w:val="24"/>
          <w:lang w:val="en-US" w:eastAsia="ja-JP"/>
        </w:rPr>
        <w:t xml:space="preserve">roup on </w:t>
      </w:r>
      <w:r w:rsidR="0040561F">
        <w:rPr>
          <w:rFonts w:eastAsia="MS Mincho"/>
          <w:color w:val="000000" w:themeColor="text1"/>
          <w:sz w:val="24"/>
          <w:lang w:val="en-US" w:eastAsia="ja-JP"/>
        </w:rPr>
        <w:t>n</w:t>
      </w:r>
      <w:r w:rsidRPr="00B6616C">
        <w:rPr>
          <w:rFonts w:eastAsia="MS Mincho"/>
          <w:color w:val="000000" w:themeColor="text1"/>
          <w:sz w:val="24"/>
          <w:lang w:val="en-US" w:eastAsia="ja-JP"/>
        </w:rPr>
        <w:t>on-animal test methods</w:t>
      </w:r>
    </w:p>
    <w:p w14:paraId="1BBFFFB3" w14:textId="77777777" w:rsidR="00A54ABA" w:rsidRPr="00067E05" w:rsidRDefault="00A54ABA" w:rsidP="00A54ABA">
      <w:pPr>
        <w:ind w:left="851" w:hanging="851"/>
        <w:rPr>
          <w:color w:val="000000" w:themeColor="text1"/>
          <w:lang w:val="en-US"/>
        </w:rPr>
      </w:pPr>
      <w:r w:rsidRPr="00067E05">
        <w:rPr>
          <w:color w:val="000000" w:themeColor="text1"/>
          <w:lang w:val="en-US"/>
        </w:rPr>
        <w:t>1)</w:t>
      </w:r>
      <w:r w:rsidRPr="00067E05">
        <w:rPr>
          <w:color w:val="000000" w:themeColor="text1"/>
          <w:lang w:val="en-US"/>
        </w:rPr>
        <w:tab/>
        <w:t>Welcome and introduction</w:t>
      </w:r>
    </w:p>
    <w:p w14:paraId="2FC12F59" w14:textId="77777777" w:rsidR="00A54ABA" w:rsidRPr="006F08AA" w:rsidRDefault="00A54ABA" w:rsidP="00A54ABA">
      <w:pPr>
        <w:ind w:left="851" w:hanging="851"/>
        <w:rPr>
          <w:color w:val="000000" w:themeColor="text1"/>
          <w:highlight w:val="lightGray"/>
          <w:lang w:val="en-US"/>
        </w:rPr>
      </w:pPr>
    </w:p>
    <w:p w14:paraId="21424173" w14:textId="1D686525" w:rsidR="00A54ABA" w:rsidRPr="00067E05" w:rsidRDefault="00A54ABA" w:rsidP="00A54ABA">
      <w:pPr>
        <w:suppressAutoHyphens w:val="0"/>
        <w:spacing w:line="240" w:lineRule="auto"/>
        <w:ind w:left="851" w:hanging="851"/>
        <w:rPr>
          <w:color w:val="000000" w:themeColor="text1"/>
          <w:lang w:val="en-US"/>
        </w:rPr>
      </w:pPr>
      <w:r w:rsidRPr="00067E05">
        <w:rPr>
          <w:color w:val="000000" w:themeColor="text1"/>
          <w:lang w:val="en-US"/>
        </w:rPr>
        <w:t>2)</w:t>
      </w:r>
      <w:r w:rsidRPr="00067E05">
        <w:rPr>
          <w:color w:val="000000" w:themeColor="text1"/>
          <w:lang w:val="en-US"/>
        </w:rPr>
        <w:tab/>
        <w:t xml:space="preserve">Summary notes of the webex meeting at </w:t>
      </w:r>
      <w:r w:rsidR="00067E05">
        <w:rPr>
          <w:color w:val="000000" w:themeColor="text1"/>
          <w:lang w:val="en-US"/>
        </w:rPr>
        <w:t>7 November</w:t>
      </w:r>
      <w:r w:rsidRPr="00067E05">
        <w:rPr>
          <w:color w:val="000000" w:themeColor="text1"/>
          <w:lang w:val="en-US"/>
        </w:rPr>
        <w:t xml:space="preserve"> 2019 (document 1)</w:t>
      </w:r>
    </w:p>
    <w:p w14:paraId="05D5A3A2" w14:textId="77777777" w:rsidR="00A54ABA" w:rsidRPr="00067E05" w:rsidRDefault="00A54ABA" w:rsidP="00A54ABA">
      <w:pPr>
        <w:suppressAutoHyphens w:val="0"/>
        <w:spacing w:line="240" w:lineRule="auto"/>
        <w:ind w:left="851" w:hanging="851"/>
        <w:rPr>
          <w:color w:val="000000" w:themeColor="text1"/>
          <w:lang w:val="en-US"/>
        </w:rPr>
      </w:pPr>
    </w:p>
    <w:p w14:paraId="6FF342EF" w14:textId="24D5EB18" w:rsidR="00A54ABA" w:rsidRDefault="00A54ABA" w:rsidP="00A54ABA">
      <w:pPr>
        <w:suppressAutoHyphens w:val="0"/>
        <w:spacing w:line="240" w:lineRule="auto"/>
        <w:ind w:left="851" w:hanging="851"/>
        <w:rPr>
          <w:color w:val="000000" w:themeColor="text1"/>
          <w:lang w:val="en-US"/>
        </w:rPr>
      </w:pPr>
      <w:r w:rsidRPr="00067E05">
        <w:rPr>
          <w:color w:val="000000" w:themeColor="text1"/>
          <w:lang w:val="en-US"/>
        </w:rPr>
        <w:t>3)</w:t>
      </w:r>
      <w:r w:rsidRPr="00067E05">
        <w:rPr>
          <w:color w:val="000000" w:themeColor="text1"/>
          <w:lang w:val="en-US"/>
        </w:rPr>
        <w:tab/>
      </w:r>
      <w:r w:rsidR="00067E05" w:rsidRPr="00067E05">
        <w:rPr>
          <w:color w:val="000000" w:themeColor="text1"/>
          <w:lang w:val="en-US"/>
        </w:rPr>
        <w:t xml:space="preserve">Discussion of draft revision of Chapter 3.3 </w:t>
      </w:r>
      <w:r w:rsidRPr="00067E05">
        <w:rPr>
          <w:color w:val="000000" w:themeColor="text1"/>
          <w:lang w:val="en-US"/>
        </w:rPr>
        <w:t>(document 2)</w:t>
      </w:r>
    </w:p>
    <w:p w14:paraId="3DA8C57F" w14:textId="0EAD6172" w:rsidR="00B009EE" w:rsidRDefault="00B009EE" w:rsidP="00A54ABA">
      <w:pPr>
        <w:suppressAutoHyphens w:val="0"/>
        <w:spacing w:line="240" w:lineRule="auto"/>
        <w:ind w:left="851" w:hanging="851"/>
        <w:rPr>
          <w:color w:val="000000" w:themeColor="text1"/>
          <w:lang w:val="en-US"/>
        </w:rPr>
      </w:pPr>
    </w:p>
    <w:p w14:paraId="2C8010C2" w14:textId="70CD6E08" w:rsidR="00B009EE" w:rsidRPr="00067E05" w:rsidRDefault="00B009EE" w:rsidP="00A54ABA">
      <w:pPr>
        <w:suppressAutoHyphens w:val="0"/>
        <w:spacing w:line="240" w:lineRule="auto"/>
        <w:ind w:left="851" w:hanging="851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4)</w:t>
      </w:r>
      <w:r>
        <w:rPr>
          <w:color w:val="000000" w:themeColor="text1"/>
          <w:lang w:val="en-US"/>
        </w:rPr>
        <w:tab/>
        <w:t>Examples classification (document 3)</w:t>
      </w:r>
    </w:p>
    <w:p w14:paraId="625BB6CB" w14:textId="77777777" w:rsidR="00A54ABA" w:rsidRPr="006F08AA" w:rsidRDefault="00A54ABA" w:rsidP="00A54ABA">
      <w:pPr>
        <w:suppressAutoHyphens w:val="0"/>
        <w:spacing w:line="240" w:lineRule="auto"/>
        <w:ind w:left="851" w:hanging="851"/>
        <w:rPr>
          <w:color w:val="000000" w:themeColor="text1"/>
          <w:highlight w:val="lightGray"/>
          <w:lang w:val="en-US"/>
        </w:rPr>
      </w:pPr>
    </w:p>
    <w:p w14:paraId="23C351C3" w14:textId="77777777" w:rsidR="00A54ABA" w:rsidRPr="00BB4DD4" w:rsidRDefault="00A54ABA" w:rsidP="00E9098E">
      <w:pPr>
        <w:suppressAutoHyphens w:val="0"/>
        <w:spacing w:after="120" w:line="240" w:lineRule="auto"/>
        <w:ind w:left="1418" w:hanging="567"/>
        <w:rPr>
          <w:color w:val="000000" w:themeColor="text1"/>
          <w:lang w:val="en-US"/>
        </w:rPr>
      </w:pPr>
      <w:r w:rsidRPr="00BB4DD4">
        <w:rPr>
          <w:color w:val="000000" w:themeColor="text1"/>
          <w:lang w:val="en-US"/>
        </w:rPr>
        <w:t>Documents for discussion:</w:t>
      </w:r>
    </w:p>
    <w:p w14:paraId="3C5A3175" w14:textId="3E2FA22E" w:rsidR="00B009EE" w:rsidRPr="00B009EE" w:rsidRDefault="00B009EE" w:rsidP="00E2056B">
      <w:pPr>
        <w:pStyle w:val="ListParagraph"/>
        <w:numPr>
          <w:ilvl w:val="0"/>
          <w:numId w:val="18"/>
        </w:numPr>
        <w:spacing w:after="200"/>
        <w:ind w:left="1985" w:right="1088" w:hanging="567"/>
        <w:jc w:val="left"/>
        <w:rPr>
          <w:color w:val="000000" w:themeColor="text1"/>
          <w:sz w:val="20"/>
          <w:szCs w:val="20"/>
          <w:lang w:val="en-US"/>
        </w:rPr>
      </w:pPr>
      <w:r w:rsidRPr="00B009EE">
        <w:rPr>
          <w:color w:val="000000" w:themeColor="text1"/>
          <w:sz w:val="20"/>
          <w:szCs w:val="20"/>
          <w:lang w:val="en-US"/>
        </w:rPr>
        <w:t xml:space="preserve">GHS WG non-animal testing - draft summary note face-to-face meeting </w:t>
      </w:r>
      <w:r>
        <w:rPr>
          <w:color w:val="000000" w:themeColor="text1"/>
          <w:sz w:val="20"/>
          <w:szCs w:val="20"/>
          <w:lang w:val="en-US"/>
        </w:rPr>
        <w:t>–</w:t>
      </w:r>
      <w:r w:rsidRPr="00B009EE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7 November</w:t>
      </w:r>
      <w:r w:rsidRPr="00B009EE">
        <w:rPr>
          <w:color w:val="000000" w:themeColor="text1"/>
          <w:sz w:val="20"/>
          <w:szCs w:val="20"/>
          <w:lang w:val="en-US"/>
        </w:rPr>
        <w:t xml:space="preserve"> 2019_document 1</w:t>
      </w:r>
    </w:p>
    <w:p w14:paraId="6B282680" w14:textId="4C17D2E9" w:rsidR="00B009EE" w:rsidRPr="00B009EE" w:rsidRDefault="00C759FD" w:rsidP="00E2056B">
      <w:pPr>
        <w:pStyle w:val="ListParagraph"/>
        <w:numPr>
          <w:ilvl w:val="0"/>
          <w:numId w:val="18"/>
        </w:numPr>
        <w:spacing w:after="200"/>
        <w:ind w:right="1088"/>
        <w:jc w:val="left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Draft </w:t>
      </w:r>
      <w:r w:rsidR="00B009EE" w:rsidRPr="00B009EE">
        <w:rPr>
          <w:color w:val="000000" w:themeColor="text1"/>
          <w:sz w:val="20"/>
          <w:szCs w:val="20"/>
          <w:lang w:val="en-US"/>
        </w:rPr>
        <w:t xml:space="preserve">Chapter 3.3 Serious eye damage/eye irritation_GHS non-animal test methods </w:t>
      </w:r>
      <w:r w:rsidR="00B009EE">
        <w:rPr>
          <w:color w:val="000000" w:themeColor="text1"/>
          <w:sz w:val="20"/>
          <w:szCs w:val="20"/>
          <w:lang w:val="en-US"/>
        </w:rPr>
        <w:t>–</w:t>
      </w:r>
      <w:r w:rsidR="00B009EE" w:rsidRPr="00B009EE">
        <w:rPr>
          <w:color w:val="000000" w:themeColor="text1"/>
          <w:sz w:val="20"/>
          <w:szCs w:val="20"/>
          <w:lang w:val="en-US"/>
        </w:rPr>
        <w:t xml:space="preserve"> </w:t>
      </w:r>
      <w:r w:rsidR="00B009EE">
        <w:rPr>
          <w:color w:val="000000" w:themeColor="text1"/>
          <w:sz w:val="20"/>
          <w:szCs w:val="20"/>
          <w:lang w:val="en-US"/>
        </w:rPr>
        <w:t>11 December</w:t>
      </w:r>
      <w:r w:rsidR="00B009EE" w:rsidRPr="00B009EE">
        <w:rPr>
          <w:color w:val="000000" w:themeColor="text1"/>
          <w:sz w:val="20"/>
          <w:szCs w:val="20"/>
          <w:lang w:val="en-US"/>
        </w:rPr>
        <w:t xml:space="preserve"> 2019_document 2</w:t>
      </w:r>
    </w:p>
    <w:p w14:paraId="7E59E3E6" w14:textId="77777777" w:rsidR="00B009EE" w:rsidRPr="00B009EE" w:rsidRDefault="00B009EE" w:rsidP="00E2056B">
      <w:pPr>
        <w:pStyle w:val="ListParagraph"/>
        <w:numPr>
          <w:ilvl w:val="0"/>
          <w:numId w:val="18"/>
        </w:numPr>
        <w:spacing w:after="200"/>
        <w:ind w:right="1088"/>
        <w:jc w:val="left"/>
        <w:rPr>
          <w:color w:val="000000" w:themeColor="text1"/>
          <w:sz w:val="20"/>
          <w:szCs w:val="20"/>
          <w:lang w:val="en-US"/>
        </w:rPr>
      </w:pPr>
      <w:r w:rsidRPr="00B009EE">
        <w:rPr>
          <w:color w:val="000000" w:themeColor="text1"/>
          <w:sz w:val="20"/>
          <w:szCs w:val="20"/>
          <w:lang w:val="en-US"/>
        </w:rPr>
        <w:t xml:space="preserve">Application of a WoE evaluation for classification for eye effects based on in vitro </w:t>
      </w:r>
      <w:proofErr w:type="spellStart"/>
      <w:r w:rsidRPr="00B009EE">
        <w:rPr>
          <w:color w:val="000000" w:themeColor="text1"/>
          <w:sz w:val="20"/>
          <w:szCs w:val="20"/>
          <w:lang w:val="en-US"/>
        </w:rPr>
        <w:t>methods_document</w:t>
      </w:r>
      <w:proofErr w:type="spellEnd"/>
      <w:r w:rsidRPr="00B009EE">
        <w:rPr>
          <w:color w:val="000000" w:themeColor="text1"/>
          <w:sz w:val="20"/>
          <w:szCs w:val="20"/>
          <w:lang w:val="en-US"/>
        </w:rPr>
        <w:t xml:space="preserve"> 3</w:t>
      </w:r>
    </w:p>
    <w:p w14:paraId="7FC6A2EF" w14:textId="14264F88" w:rsidR="00126310" w:rsidRPr="00E2056B" w:rsidRDefault="00E2056B" w:rsidP="00E2056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26310" w:rsidRPr="00E2056B" w:rsidSect="00E2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449B" w14:textId="77777777" w:rsidR="003D64FD" w:rsidRDefault="003D64FD"/>
  </w:endnote>
  <w:endnote w:type="continuationSeparator" w:id="0">
    <w:p w14:paraId="6D99C9FF" w14:textId="77777777" w:rsidR="003D64FD" w:rsidRDefault="003D64FD"/>
  </w:endnote>
  <w:endnote w:type="continuationNotice" w:id="1">
    <w:p w14:paraId="2123E491" w14:textId="77777777" w:rsidR="003D64FD" w:rsidRDefault="003D6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271F" w14:textId="042F9E5B" w:rsidR="003D64FD" w:rsidRPr="0099001C" w:rsidRDefault="003D64FD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E65DA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  <w:p w14:paraId="4ED68622" w14:textId="77777777" w:rsidR="003D64FD" w:rsidRDefault="003D64FD"/>
  <w:p w14:paraId="16E4B732" w14:textId="77777777" w:rsidR="003D64FD" w:rsidRDefault="003D64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1022858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2CDE8" w14:textId="0C8992CC" w:rsidR="00E2056B" w:rsidRPr="00E2056B" w:rsidRDefault="00E2056B">
        <w:pPr>
          <w:pStyle w:val="Footer"/>
          <w:jc w:val="right"/>
          <w:rPr>
            <w:b/>
            <w:bCs/>
          </w:rPr>
        </w:pPr>
        <w:r w:rsidRPr="00E2056B">
          <w:rPr>
            <w:b/>
            <w:bCs/>
          </w:rPr>
          <w:fldChar w:fldCharType="begin"/>
        </w:r>
        <w:r w:rsidRPr="00E2056B">
          <w:rPr>
            <w:b/>
            <w:bCs/>
          </w:rPr>
          <w:instrText xml:space="preserve"> PAGE   \* MERGEFORMAT </w:instrText>
        </w:r>
        <w:r w:rsidRPr="00E2056B">
          <w:rPr>
            <w:b/>
            <w:bCs/>
          </w:rPr>
          <w:fldChar w:fldCharType="separate"/>
        </w:r>
        <w:r w:rsidRPr="00E2056B">
          <w:rPr>
            <w:b/>
            <w:bCs/>
            <w:noProof/>
          </w:rPr>
          <w:t>2</w:t>
        </w:r>
        <w:r w:rsidRPr="00E2056B">
          <w:rPr>
            <w:b/>
            <w:bCs/>
            <w:noProof/>
          </w:rPr>
          <w:fldChar w:fldCharType="end"/>
        </w:r>
      </w:p>
    </w:sdtContent>
  </w:sdt>
  <w:p w14:paraId="76F113FB" w14:textId="77777777" w:rsidR="003D64FD" w:rsidRDefault="003D6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F8A4" w14:textId="77777777" w:rsidR="003D64FD" w:rsidRPr="000B175B" w:rsidRDefault="003D64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2FA4D1" w14:textId="77777777" w:rsidR="003D64FD" w:rsidRPr="00FC68B7" w:rsidRDefault="003D64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6978FA" w14:textId="77777777" w:rsidR="003D64FD" w:rsidRDefault="003D6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88D4" w14:textId="2C3E4524" w:rsidR="003D64FD" w:rsidRPr="00E9098E" w:rsidRDefault="00E9098E" w:rsidP="00E9098E">
    <w:pPr>
      <w:pBdr>
        <w:bottom w:val="single" w:sz="4" w:space="1" w:color="auto"/>
      </w:pBdr>
      <w:rPr>
        <w:b/>
        <w:bCs/>
      </w:rPr>
    </w:pPr>
    <w:r w:rsidRPr="00E9098E">
      <w:rPr>
        <w:b/>
        <w:bCs/>
      </w:rPr>
      <w:t>UN/SCEGHS/38/INF.20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E857" w14:textId="77777777" w:rsidR="00E9098E" w:rsidRPr="00E9098E" w:rsidRDefault="00E9098E" w:rsidP="00E9098E">
    <w:pPr>
      <w:pBdr>
        <w:bottom w:val="single" w:sz="4" w:space="1" w:color="auto"/>
      </w:pBdr>
      <w:jc w:val="right"/>
      <w:rPr>
        <w:b/>
        <w:bCs/>
      </w:rPr>
    </w:pPr>
    <w:r w:rsidRPr="00E9098E">
      <w:rPr>
        <w:b/>
        <w:bCs/>
      </w:rPr>
      <w:t>UN/SCEGHS/38/INF.20</w:t>
    </w:r>
  </w:p>
  <w:p w14:paraId="36BCEB44" w14:textId="77777777" w:rsidR="003D64FD" w:rsidRDefault="003D64FD"/>
  <w:p w14:paraId="089A64AD" w14:textId="77777777" w:rsidR="003D64FD" w:rsidRDefault="003D64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A5D2" w14:textId="77777777" w:rsidR="00E2056B" w:rsidRDefault="00E2056B" w:rsidP="00E2056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2D8A"/>
    <w:multiLevelType w:val="hybridMultilevel"/>
    <w:tmpl w:val="D1F6877A"/>
    <w:lvl w:ilvl="0" w:tplc="D5302F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0E4F"/>
    <w:multiLevelType w:val="hybridMultilevel"/>
    <w:tmpl w:val="2B9EB44E"/>
    <w:lvl w:ilvl="0" w:tplc="8682B09E">
      <w:start w:val="1"/>
      <w:numFmt w:val="decimal"/>
      <w:lvlText w:val="%1"/>
      <w:lvlJc w:val="left"/>
      <w:pPr>
        <w:ind w:left="197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DB00786"/>
    <w:multiLevelType w:val="hybridMultilevel"/>
    <w:tmpl w:val="C5B2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B5B488A"/>
    <w:multiLevelType w:val="hybridMultilevel"/>
    <w:tmpl w:val="5670A1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66756F"/>
    <w:multiLevelType w:val="hybridMultilevel"/>
    <w:tmpl w:val="EB50E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1CC5639"/>
    <w:multiLevelType w:val="multilevel"/>
    <w:tmpl w:val="C5B2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59A7"/>
    <w:multiLevelType w:val="hybridMultilevel"/>
    <w:tmpl w:val="4F2221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70367"/>
    <w:multiLevelType w:val="hybridMultilevel"/>
    <w:tmpl w:val="47E68F9C"/>
    <w:lvl w:ilvl="0" w:tplc="C48EF03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751A288A"/>
    <w:multiLevelType w:val="hybridMultilevel"/>
    <w:tmpl w:val="C8F268C0"/>
    <w:lvl w:ilvl="0" w:tplc="E5629630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D5210FD"/>
    <w:multiLevelType w:val="hybridMultilevel"/>
    <w:tmpl w:val="14461A5A"/>
    <w:lvl w:ilvl="0" w:tplc="ED48A0CA">
      <w:start w:val="1"/>
      <w:numFmt w:val="lowerRoman"/>
      <w:lvlText w:val="%1)"/>
      <w:lvlJc w:val="left"/>
      <w:pPr>
        <w:ind w:left="8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0"/>
  </w:num>
  <w:num w:numId="9">
    <w:abstractNumId w:val="15"/>
  </w:num>
  <w:num w:numId="10">
    <w:abstractNumId w:val="16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13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30139"/>
    <w:rsid w:val="00033B3D"/>
    <w:rsid w:val="000454B8"/>
    <w:rsid w:val="00050F6B"/>
    <w:rsid w:val="00067E05"/>
    <w:rsid w:val="00072C8C"/>
    <w:rsid w:val="00081647"/>
    <w:rsid w:val="00087DCD"/>
    <w:rsid w:val="00090FEC"/>
    <w:rsid w:val="000931C0"/>
    <w:rsid w:val="00095E8A"/>
    <w:rsid w:val="000974EA"/>
    <w:rsid w:val="000B175B"/>
    <w:rsid w:val="000B3A0F"/>
    <w:rsid w:val="000C6544"/>
    <w:rsid w:val="000D10AA"/>
    <w:rsid w:val="000D6A73"/>
    <w:rsid w:val="000E0415"/>
    <w:rsid w:val="000E3373"/>
    <w:rsid w:val="000E4421"/>
    <w:rsid w:val="000E7E0A"/>
    <w:rsid w:val="0010697D"/>
    <w:rsid w:val="001220B8"/>
    <w:rsid w:val="00126310"/>
    <w:rsid w:val="0013362B"/>
    <w:rsid w:val="00156F3C"/>
    <w:rsid w:val="00162BF7"/>
    <w:rsid w:val="00183746"/>
    <w:rsid w:val="00190AEA"/>
    <w:rsid w:val="0019721D"/>
    <w:rsid w:val="001A5648"/>
    <w:rsid w:val="001B06A5"/>
    <w:rsid w:val="001B1835"/>
    <w:rsid w:val="001B4B04"/>
    <w:rsid w:val="001C6663"/>
    <w:rsid w:val="001C7895"/>
    <w:rsid w:val="001D26DF"/>
    <w:rsid w:val="001D6FCB"/>
    <w:rsid w:val="001E47FD"/>
    <w:rsid w:val="001F4F38"/>
    <w:rsid w:val="00207C4A"/>
    <w:rsid w:val="0021182B"/>
    <w:rsid w:val="00211E0B"/>
    <w:rsid w:val="002140AA"/>
    <w:rsid w:val="002405A7"/>
    <w:rsid w:val="0025322D"/>
    <w:rsid w:val="00257311"/>
    <w:rsid w:val="00257E45"/>
    <w:rsid w:val="00262488"/>
    <w:rsid w:val="0029312E"/>
    <w:rsid w:val="00296262"/>
    <w:rsid w:val="00296FA6"/>
    <w:rsid w:val="002D59D3"/>
    <w:rsid w:val="002F54DA"/>
    <w:rsid w:val="002F55F0"/>
    <w:rsid w:val="003107FA"/>
    <w:rsid w:val="003127A2"/>
    <w:rsid w:val="003229D8"/>
    <w:rsid w:val="0032550E"/>
    <w:rsid w:val="00334F5C"/>
    <w:rsid w:val="0033745A"/>
    <w:rsid w:val="003642AF"/>
    <w:rsid w:val="00366CA7"/>
    <w:rsid w:val="003767B1"/>
    <w:rsid w:val="0039277A"/>
    <w:rsid w:val="003957CE"/>
    <w:rsid w:val="003972E0"/>
    <w:rsid w:val="003A2C23"/>
    <w:rsid w:val="003B077A"/>
    <w:rsid w:val="003B3A99"/>
    <w:rsid w:val="003C2CC4"/>
    <w:rsid w:val="003C3936"/>
    <w:rsid w:val="003D4B23"/>
    <w:rsid w:val="003D64FD"/>
    <w:rsid w:val="003E0D0F"/>
    <w:rsid w:val="003F1ED3"/>
    <w:rsid w:val="003F3E21"/>
    <w:rsid w:val="00401E33"/>
    <w:rsid w:val="0040561F"/>
    <w:rsid w:val="0041449C"/>
    <w:rsid w:val="00421612"/>
    <w:rsid w:val="00426846"/>
    <w:rsid w:val="00430201"/>
    <w:rsid w:val="004325CB"/>
    <w:rsid w:val="00446DE4"/>
    <w:rsid w:val="00460076"/>
    <w:rsid w:val="00460DD9"/>
    <w:rsid w:val="00467F71"/>
    <w:rsid w:val="00470552"/>
    <w:rsid w:val="004A41CA"/>
    <w:rsid w:val="004A6A16"/>
    <w:rsid w:val="004B4153"/>
    <w:rsid w:val="004D78A5"/>
    <w:rsid w:val="004E0088"/>
    <w:rsid w:val="004E65DA"/>
    <w:rsid w:val="004E7ED6"/>
    <w:rsid w:val="00503228"/>
    <w:rsid w:val="00505384"/>
    <w:rsid w:val="00516D16"/>
    <w:rsid w:val="00532EF8"/>
    <w:rsid w:val="005420F2"/>
    <w:rsid w:val="0054718F"/>
    <w:rsid w:val="0057329D"/>
    <w:rsid w:val="00575A64"/>
    <w:rsid w:val="005B2C89"/>
    <w:rsid w:val="005B3DB3"/>
    <w:rsid w:val="005E08AE"/>
    <w:rsid w:val="005E22FE"/>
    <w:rsid w:val="005E7A9D"/>
    <w:rsid w:val="005F05E3"/>
    <w:rsid w:val="005F485F"/>
    <w:rsid w:val="00611FC4"/>
    <w:rsid w:val="006176FB"/>
    <w:rsid w:val="00627ED0"/>
    <w:rsid w:val="00634CEC"/>
    <w:rsid w:val="00640B26"/>
    <w:rsid w:val="006560F1"/>
    <w:rsid w:val="00665595"/>
    <w:rsid w:val="00691F20"/>
    <w:rsid w:val="00693543"/>
    <w:rsid w:val="006A7392"/>
    <w:rsid w:val="006A7757"/>
    <w:rsid w:val="006B42B3"/>
    <w:rsid w:val="006C34A9"/>
    <w:rsid w:val="006E564B"/>
    <w:rsid w:val="006F08AA"/>
    <w:rsid w:val="006F63CD"/>
    <w:rsid w:val="006F74AF"/>
    <w:rsid w:val="00701303"/>
    <w:rsid w:val="007123F0"/>
    <w:rsid w:val="0071349F"/>
    <w:rsid w:val="0071642C"/>
    <w:rsid w:val="00720DEB"/>
    <w:rsid w:val="00722217"/>
    <w:rsid w:val="007247EE"/>
    <w:rsid w:val="0072632A"/>
    <w:rsid w:val="00733AAE"/>
    <w:rsid w:val="00746124"/>
    <w:rsid w:val="00760020"/>
    <w:rsid w:val="00771FD5"/>
    <w:rsid w:val="00773204"/>
    <w:rsid w:val="00781A60"/>
    <w:rsid w:val="00795596"/>
    <w:rsid w:val="007A0B22"/>
    <w:rsid w:val="007A4655"/>
    <w:rsid w:val="007A5CE5"/>
    <w:rsid w:val="007B6BA5"/>
    <w:rsid w:val="007C3390"/>
    <w:rsid w:val="007C4F4B"/>
    <w:rsid w:val="007D5C89"/>
    <w:rsid w:val="007E716C"/>
    <w:rsid w:val="007E7A69"/>
    <w:rsid w:val="007F0B83"/>
    <w:rsid w:val="007F48EF"/>
    <w:rsid w:val="007F4FCD"/>
    <w:rsid w:val="007F6611"/>
    <w:rsid w:val="00813EB5"/>
    <w:rsid w:val="0081732C"/>
    <w:rsid w:val="008175E9"/>
    <w:rsid w:val="008242D7"/>
    <w:rsid w:val="00827E05"/>
    <w:rsid w:val="008311A3"/>
    <w:rsid w:val="00832698"/>
    <w:rsid w:val="00836AF7"/>
    <w:rsid w:val="00856199"/>
    <w:rsid w:val="00871FD5"/>
    <w:rsid w:val="00882A62"/>
    <w:rsid w:val="008979B1"/>
    <w:rsid w:val="008A3CC2"/>
    <w:rsid w:val="008A6B25"/>
    <w:rsid w:val="008A6C4F"/>
    <w:rsid w:val="008B02D1"/>
    <w:rsid w:val="008B1627"/>
    <w:rsid w:val="008B6E26"/>
    <w:rsid w:val="008D2F0C"/>
    <w:rsid w:val="008E0E46"/>
    <w:rsid w:val="008E340A"/>
    <w:rsid w:val="008E4C4C"/>
    <w:rsid w:val="008F6F29"/>
    <w:rsid w:val="00903170"/>
    <w:rsid w:val="00907AD2"/>
    <w:rsid w:val="00911047"/>
    <w:rsid w:val="00912DAB"/>
    <w:rsid w:val="00916C17"/>
    <w:rsid w:val="00932FE6"/>
    <w:rsid w:val="00935562"/>
    <w:rsid w:val="00940883"/>
    <w:rsid w:val="00950D13"/>
    <w:rsid w:val="00963CBA"/>
    <w:rsid w:val="009650E6"/>
    <w:rsid w:val="00965932"/>
    <w:rsid w:val="00974A8D"/>
    <w:rsid w:val="009751DE"/>
    <w:rsid w:val="00975FDA"/>
    <w:rsid w:val="0099001C"/>
    <w:rsid w:val="00991261"/>
    <w:rsid w:val="009A2668"/>
    <w:rsid w:val="009B7B41"/>
    <w:rsid w:val="009C1552"/>
    <w:rsid w:val="009C7690"/>
    <w:rsid w:val="009E40D6"/>
    <w:rsid w:val="009F3A17"/>
    <w:rsid w:val="009F3D53"/>
    <w:rsid w:val="00A071F3"/>
    <w:rsid w:val="00A1427D"/>
    <w:rsid w:val="00A426FB"/>
    <w:rsid w:val="00A53FBA"/>
    <w:rsid w:val="00A54ABA"/>
    <w:rsid w:val="00A55FB2"/>
    <w:rsid w:val="00A72F22"/>
    <w:rsid w:val="00A748A6"/>
    <w:rsid w:val="00A80459"/>
    <w:rsid w:val="00A805EB"/>
    <w:rsid w:val="00A8760B"/>
    <w:rsid w:val="00A879A4"/>
    <w:rsid w:val="00A87F4E"/>
    <w:rsid w:val="00A965E2"/>
    <w:rsid w:val="00AA496B"/>
    <w:rsid w:val="00AC39CB"/>
    <w:rsid w:val="00AD0C2D"/>
    <w:rsid w:val="00AD514D"/>
    <w:rsid w:val="00AE5C96"/>
    <w:rsid w:val="00AE71F3"/>
    <w:rsid w:val="00B00936"/>
    <w:rsid w:val="00B009EE"/>
    <w:rsid w:val="00B07933"/>
    <w:rsid w:val="00B30179"/>
    <w:rsid w:val="00B30E8F"/>
    <w:rsid w:val="00B33EC0"/>
    <w:rsid w:val="00B354F9"/>
    <w:rsid w:val="00B62A4D"/>
    <w:rsid w:val="00B72E1B"/>
    <w:rsid w:val="00B81E12"/>
    <w:rsid w:val="00B9364E"/>
    <w:rsid w:val="00B93A39"/>
    <w:rsid w:val="00B94D68"/>
    <w:rsid w:val="00B97D28"/>
    <w:rsid w:val="00BB21CC"/>
    <w:rsid w:val="00BB4DD4"/>
    <w:rsid w:val="00BC0685"/>
    <w:rsid w:val="00BC74E9"/>
    <w:rsid w:val="00BD130F"/>
    <w:rsid w:val="00BD2146"/>
    <w:rsid w:val="00BD595D"/>
    <w:rsid w:val="00BE0EC3"/>
    <w:rsid w:val="00BE4F74"/>
    <w:rsid w:val="00BE618E"/>
    <w:rsid w:val="00C11F08"/>
    <w:rsid w:val="00C17699"/>
    <w:rsid w:val="00C1778D"/>
    <w:rsid w:val="00C41A28"/>
    <w:rsid w:val="00C43AA9"/>
    <w:rsid w:val="00C463DD"/>
    <w:rsid w:val="00C6210B"/>
    <w:rsid w:val="00C745C3"/>
    <w:rsid w:val="00C759FD"/>
    <w:rsid w:val="00C834DB"/>
    <w:rsid w:val="00C914DB"/>
    <w:rsid w:val="00C945EB"/>
    <w:rsid w:val="00CC65B7"/>
    <w:rsid w:val="00CE4A8F"/>
    <w:rsid w:val="00CE6EC2"/>
    <w:rsid w:val="00CF7A90"/>
    <w:rsid w:val="00D055EB"/>
    <w:rsid w:val="00D1628D"/>
    <w:rsid w:val="00D2031B"/>
    <w:rsid w:val="00D214E9"/>
    <w:rsid w:val="00D25FE2"/>
    <w:rsid w:val="00D270D5"/>
    <w:rsid w:val="00D317BB"/>
    <w:rsid w:val="00D35D8F"/>
    <w:rsid w:val="00D43252"/>
    <w:rsid w:val="00D5400F"/>
    <w:rsid w:val="00D63881"/>
    <w:rsid w:val="00D63D79"/>
    <w:rsid w:val="00D7387D"/>
    <w:rsid w:val="00D86E4D"/>
    <w:rsid w:val="00D92635"/>
    <w:rsid w:val="00D978C6"/>
    <w:rsid w:val="00DA67AD"/>
    <w:rsid w:val="00DB5D0F"/>
    <w:rsid w:val="00DB6E94"/>
    <w:rsid w:val="00DC3242"/>
    <w:rsid w:val="00DD0CE1"/>
    <w:rsid w:val="00DE7F20"/>
    <w:rsid w:val="00DF12F7"/>
    <w:rsid w:val="00DF2C64"/>
    <w:rsid w:val="00DF76F0"/>
    <w:rsid w:val="00E00FA6"/>
    <w:rsid w:val="00E02C81"/>
    <w:rsid w:val="00E04A75"/>
    <w:rsid w:val="00E06EAB"/>
    <w:rsid w:val="00E119FB"/>
    <w:rsid w:val="00E12E5A"/>
    <w:rsid w:val="00E130AB"/>
    <w:rsid w:val="00E15151"/>
    <w:rsid w:val="00E15DEA"/>
    <w:rsid w:val="00E2056B"/>
    <w:rsid w:val="00E23E51"/>
    <w:rsid w:val="00E275CA"/>
    <w:rsid w:val="00E31C87"/>
    <w:rsid w:val="00E32536"/>
    <w:rsid w:val="00E677EC"/>
    <w:rsid w:val="00E70DF5"/>
    <w:rsid w:val="00E7260F"/>
    <w:rsid w:val="00E80F5F"/>
    <w:rsid w:val="00E87921"/>
    <w:rsid w:val="00E9098E"/>
    <w:rsid w:val="00E93723"/>
    <w:rsid w:val="00E96630"/>
    <w:rsid w:val="00EA1783"/>
    <w:rsid w:val="00EA264E"/>
    <w:rsid w:val="00EA3A41"/>
    <w:rsid w:val="00EC2939"/>
    <w:rsid w:val="00ED1541"/>
    <w:rsid w:val="00ED1CE0"/>
    <w:rsid w:val="00ED71D9"/>
    <w:rsid w:val="00ED7A2A"/>
    <w:rsid w:val="00EF1D7F"/>
    <w:rsid w:val="00EF358F"/>
    <w:rsid w:val="00F03A6B"/>
    <w:rsid w:val="00F124A0"/>
    <w:rsid w:val="00F26A7C"/>
    <w:rsid w:val="00F32379"/>
    <w:rsid w:val="00F53EDA"/>
    <w:rsid w:val="00F67D9B"/>
    <w:rsid w:val="00F73015"/>
    <w:rsid w:val="00F763A4"/>
    <w:rsid w:val="00F7753D"/>
    <w:rsid w:val="00F85F34"/>
    <w:rsid w:val="00FA06F7"/>
    <w:rsid w:val="00FB126D"/>
    <w:rsid w:val="00FB171A"/>
    <w:rsid w:val="00FC09B8"/>
    <w:rsid w:val="00FC26D7"/>
    <w:rsid w:val="00FC68B7"/>
    <w:rsid w:val="00FD0357"/>
    <w:rsid w:val="00FD33D3"/>
    <w:rsid w:val="00FD4F7E"/>
    <w:rsid w:val="00FD6FD0"/>
    <w:rsid w:val="00FD7BF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A94203F"/>
  <w15:docId w15:val="{45BD69D5-3250-4A0F-8996-EE20185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9"/>
    <w:rsid w:val="00126310"/>
    <w:rPr>
      <w:lang w:eastAsia="en-US"/>
    </w:rPr>
  </w:style>
  <w:style w:type="character" w:customStyle="1" w:styleId="Heading2Char">
    <w:name w:val="Heading 2 Char"/>
    <w:aliases w:val="GHS Chapter Heading Char"/>
    <w:link w:val="Heading2"/>
    <w:rsid w:val="00126310"/>
    <w:rPr>
      <w:lang w:eastAsia="en-US"/>
    </w:rPr>
  </w:style>
  <w:style w:type="character" w:customStyle="1" w:styleId="Heading3Char">
    <w:name w:val="Heading 3 Char"/>
    <w:link w:val="Heading3"/>
    <w:rsid w:val="00126310"/>
    <w:rPr>
      <w:lang w:eastAsia="en-US"/>
    </w:rPr>
  </w:style>
  <w:style w:type="character" w:customStyle="1" w:styleId="Heading6Char">
    <w:name w:val="Heading 6 Char"/>
    <w:link w:val="Heading6"/>
    <w:rsid w:val="00126310"/>
    <w:rPr>
      <w:lang w:eastAsia="en-US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126310"/>
    <w:rPr>
      <w:b/>
      <w:sz w:val="18"/>
      <w:lang w:eastAsia="en-US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126310"/>
    <w:rPr>
      <w:sz w:val="16"/>
      <w:lang w:eastAsia="en-US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0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26310"/>
    <w:pPr>
      <w:suppressAutoHyphens w:val="0"/>
      <w:autoSpaceDE w:val="0"/>
      <w:autoSpaceDN w:val="0"/>
      <w:adjustRightInd w:val="0"/>
      <w:spacing w:after="120" w:line="240" w:lineRule="auto"/>
    </w:pPr>
    <w:rPr>
      <w:sz w:val="22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126310"/>
    <w:rPr>
      <w:sz w:val="22"/>
      <w:lang w:val="fr-FR" w:eastAsia="fr-FR"/>
    </w:rPr>
  </w:style>
  <w:style w:type="paragraph" w:customStyle="1" w:styleId="Style1">
    <w:name w:val="Style1"/>
    <w:basedOn w:val="Normal"/>
    <w:rsid w:val="00126310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styleId="BodyText3">
    <w:name w:val="Body Text 3"/>
    <w:basedOn w:val="Normal"/>
    <w:link w:val="BodyText3Char"/>
    <w:rsid w:val="00126310"/>
    <w:pPr>
      <w:widowControl w:val="0"/>
      <w:tabs>
        <w:tab w:val="left" w:pos="900"/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autoSpaceDE w:val="0"/>
      <w:autoSpaceDN w:val="0"/>
      <w:adjustRightInd w:val="0"/>
      <w:spacing w:line="240" w:lineRule="auto"/>
      <w:jc w:val="both"/>
    </w:pPr>
    <w:rPr>
      <w:color w:val="000000"/>
      <w:sz w:val="22"/>
      <w:lang w:eastAsia="fr-FR"/>
    </w:rPr>
  </w:style>
  <w:style w:type="character" w:customStyle="1" w:styleId="BodyText3Char">
    <w:name w:val="Body Text 3 Char"/>
    <w:basedOn w:val="DefaultParagraphFont"/>
    <w:link w:val="BodyText3"/>
    <w:rsid w:val="00126310"/>
    <w:rPr>
      <w:color w:val="000000"/>
      <w:sz w:val="22"/>
      <w:lang w:eastAsia="fr-FR"/>
    </w:rPr>
  </w:style>
  <w:style w:type="paragraph" w:styleId="BodyTextIndent">
    <w:name w:val="Body Text Indent"/>
    <w:basedOn w:val="Normal"/>
    <w:link w:val="BodyTextIndentChar"/>
    <w:rsid w:val="00126310"/>
    <w:pPr>
      <w:tabs>
        <w:tab w:val="left" w:pos="-722"/>
        <w:tab w:val="left" w:pos="718"/>
        <w:tab w:val="left" w:pos="1438"/>
        <w:tab w:val="left" w:pos="2160"/>
        <w:tab w:val="left" w:pos="2719"/>
        <w:tab w:val="left" w:pos="2835"/>
        <w:tab w:val="left" w:pos="3402"/>
        <w:tab w:val="left" w:leader="dot" w:pos="8729"/>
        <w:tab w:val="center" w:pos="9409"/>
      </w:tabs>
      <w:suppressAutoHyphens w:val="0"/>
      <w:spacing w:before="120" w:line="240" w:lineRule="auto"/>
      <w:ind w:left="2155" w:hanging="1435"/>
    </w:pPr>
    <w:rPr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6310"/>
    <w:rPr>
      <w:color w:val="000000"/>
      <w:sz w:val="22"/>
      <w:szCs w:val="24"/>
      <w:lang w:eastAsia="en-US"/>
    </w:rPr>
  </w:style>
  <w:style w:type="paragraph" w:customStyle="1" w:styleId="Num-DocParagraph">
    <w:name w:val="Num-Doc Paragraph"/>
    <w:basedOn w:val="BodyText"/>
    <w:rsid w:val="00126310"/>
    <w:pPr>
      <w:tabs>
        <w:tab w:val="left" w:pos="851"/>
        <w:tab w:val="left" w:pos="1191"/>
        <w:tab w:val="left" w:pos="1531"/>
      </w:tabs>
      <w:autoSpaceDE/>
      <w:autoSpaceDN/>
      <w:adjustRightInd/>
      <w:spacing w:after="240"/>
      <w:jc w:val="both"/>
    </w:pPr>
    <w:rPr>
      <w:rFonts w:ascii="Times" w:hAnsi="Times"/>
      <w:lang w:val="en-GB" w:eastAsia="en-US"/>
    </w:rPr>
  </w:style>
  <w:style w:type="paragraph" w:customStyle="1" w:styleId="GHSHeading3">
    <w:name w:val="GHSHeading3"/>
    <w:basedOn w:val="Heading3"/>
    <w:rsid w:val="00126310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Heading4">
    <w:name w:val="GHSHeading4"/>
    <w:basedOn w:val="Normal"/>
    <w:rsid w:val="00126310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Style1"/>
    <w:rsid w:val="00126310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</w:pPr>
    <w:rPr>
      <w:color w:val="000000"/>
      <w:sz w:val="22"/>
      <w:szCs w:val="22"/>
      <w:lang w:val="en-GB"/>
    </w:rPr>
  </w:style>
  <w:style w:type="paragraph" w:customStyle="1" w:styleId="GHSBodyText">
    <w:name w:val="GHSBody Text"/>
    <w:basedOn w:val="BodyText"/>
    <w:link w:val="GHSBodyTextChar"/>
    <w:rsid w:val="00126310"/>
    <w:pPr>
      <w:tabs>
        <w:tab w:val="left" w:pos="1418"/>
        <w:tab w:val="left" w:pos="1985"/>
        <w:tab w:val="left" w:pos="2552"/>
        <w:tab w:val="left" w:pos="3119"/>
        <w:tab w:val="left" w:pos="3686"/>
      </w:tabs>
      <w:spacing w:after="240"/>
      <w:jc w:val="both"/>
    </w:pPr>
    <w:rPr>
      <w:lang w:val="en-GB" w:eastAsia="en-US"/>
    </w:rPr>
  </w:style>
  <w:style w:type="character" w:customStyle="1" w:styleId="GHSBodyTextChar">
    <w:name w:val="GHSBody Text Char"/>
    <w:link w:val="GHSBodyText"/>
    <w:rsid w:val="00126310"/>
    <w:rPr>
      <w:sz w:val="22"/>
      <w:lang w:eastAsia="en-US"/>
    </w:rPr>
  </w:style>
  <w:style w:type="paragraph" w:customStyle="1" w:styleId="StyleGHSHeading410pt">
    <w:name w:val="Style GHSHeading4 + 10 pt"/>
    <w:basedOn w:val="GHSHeading4"/>
    <w:rsid w:val="00126310"/>
    <w:pPr>
      <w:spacing w:after="240"/>
    </w:pPr>
    <w:rPr>
      <w:sz w:val="20"/>
    </w:rPr>
  </w:style>
  <w:style w:type="character" w:styleId="CommentReference">
    <w:name w:val="annotation reference"/>
    <w:uiPriority w:val="99"/>
    <w:semiHidden/>
    <w:unhideWhenUsed/>
    <w:rsid w:val="0012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10"/>
    <w:pPr>
      <w:suppressAutoHyphens w:val="0"/>
      <w:spacing w:line="240" w:lineRule="auto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1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10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10"/>
    <w:rPr>
      <w:b/>
      <w:bCs/>
    </w:rPr>
  </w:style>
  <w:style w:type="character" w:styleId="Strong">
    <w:name w:val="Strong"/>
    <w:uiPriority w:val="22"/>
    <w:qFormat/>
    <w:rsid w:val="00126310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26310"/>
    <w:pPr>
      <w:suppressAutoHyphens w:val="0"/>
      <w:spacing w:after="100" w:line="240" w:lineRule="auto"/>
      <w:ind w:left="220"/>
    </w:pPr>
    <w:rPr>
      <w:rFonts w:ascii="Calibri" w:eastAsia="Calibri" w:hAnsi="Calibri"/>
      <w:sz w:val="22"/>
      <w:szCs w:val="22"/>
      <w:lang w:val="nl-NL"/>
    </w:rPr>
  </w:style>
  <w:style w:type="character" w:styleId="LineNumber">
    <w:name w:val="line number"/>
    <w:uiPriority w:val="99"/>
    <w:semiHidden/>
    <w:unhideWhenUsed/>
    <w:rsid w:val="00126310"/>
  </w:style>
  <w:style w:type="paragraph" w:styleId="ListParagraph">
    <w:name w:val="List Paragraph"/>
    <w:basedOn w:val="Normal"/>
    <w:uiPriority w:val="34"/>
    <w:qFormat/>
    <w:rsid w:val="00126310"/>
    <w:pPr>
      <w:suppressAutoHyphens w:val="0"/>
      <w:spacing w:line="240" w:lineRule="auto"/>
      <w:ind w:left="720"/>
      <w:contextualSpacing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6928-1E8B-4320-ACFE-3D6D40D9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26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2019-11-29T15:58:00Z</cp:lastPrinted>
  <dcterms:created xsi:type="dcterms:W3CDTF">2019-11-29T14:27:00Z</dcterms:created>
  <dcterms:modified xsi:type="dcterms:W3CDTF">2019-11-29T16:03:00Z</dcterms:modified>
</cp:coreProperties>
</file>