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C65A9D" w14:paraId="10EF3027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34112618" w14:textId="77777777" w:rsidR="0099001C" w:rsidRPr="00C65A9D" w:rsidRDefault="0099001C" w:rsidP="0017192E">
            <w:pPr>
              <w:jc w:val="right"/>
              <w:rPr>
                <w:b/>
                <w:sz w:val="40"/>
                <w:szCs w:val="40"/>
              </w:rPr>
            </w:pPr>
            <w:r w:rsidRPr="00C65A9D">
              <w:rPr>
                <w:b/>
                <w:sz w:val="40"/>
                <w:szCs w:val="40"/>
              </w:rPr>
              <w:t>UN/SCEGHS/</w:t>
            </w:r>
            <w:r w:rsidR="00BC3467" w:rsidRPr="00C65A9D">
              <w:rPr>
                <w:b/>
                <w:sz w:val="40"/>
                <w:szCs w:val="40"/>
              </w:rPr>
              <w:t>3</w:t>
            </w:r>
            <w:r w:rsidR="00A77E59" w:rsidRPr="00C65A9D">
              <w:rPr>
                <w:b/>
                <w:sz w:val="40"/>
                <w:szCs w:val="40"/>
              </w:rPr>
              <w:t>7</w:t>
            </w:r>
            <w:r w:rsidRPr="00C65A9D">
              <w:rPr>
                <w:b/>
                <w:sz w:val="40"/>
                <w:szCs w:val="40"/>
              </w:rPr>
              <w:t>/INF.</w:t>
            </w:r>
            <w:r w:rsidR="00EA4FFB">
              <w:rPr>
                <w:b/>
                <w:sz w:val="40"/>
                <w:szCs w:val="40"/>
              </w:rPr>
              <w:t>12</w:t>
            </w:r>
          </w:p>
        </w:tc>
      </w:tr>
      <w:tr w:rsidR="0099001C" w:rsidRPr="00C65A9D" w14:paraId="5E3F3073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4316FBF2" w14:textId="77777777" w:rsidR="00965932" w:rsidRPr="00C65A9D" w:rsidRDefault="00965932" w:rsidP="00965932">
            <w:pPr>
              <w:spacing w:before="120"/>
              <w:rPr>
                <w:b/>
                <w:sz w:val="24"/>
                <w:szCs w:val="24"/>
              </w:rPr>
            </w:pPr>
            <w:r w:rsidRPr="00C65A9D">
              <w:rPr>
                <w:b/>
                <w:sz w:val="24"/>
                <w:szCs w:val="24"/>
              </w:rPr>
              <w:t>Committee of Experts on the Transport of Dangerous Goods</w:t>
            </w:r>
            <w:r w:rsidRPr="00C65A9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C65A9D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63CC3A18" w14:textId="77777777" w:rsidR="00965932" w:rsidRPr="00C65A9D" w:rsidRDefault="00965932" w:rsidP="003E62D9">
            <w:pPr>
              <w:tabs>
                <w:tab w:val="left" w:pos="7655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C65A9D">
              <w:rPr>
                <w:b/>
              </w:rPr>
              <w:t>Sub-Committee of Experts on the Globally Harmonized</w:t>
            </w:r>
            <w:r w:rsidRPr="00C65A9D">
              <w:rPr>
                <w:b/>
              </w:rPr>
              <w:br/>
              <w:t>System of Classification and Labelling of Chemicals</w:t>
            </w:r>
            <w:r w:rsidRPr="00C65A9D">
              <w:rPr>
                <w:b/>
              </w:rPr>
              <w:tab/>
            </w:r>
            <w:r w:rsidR="00311052" w:rsidRPr="00C65A9D">
              <w:rPr>
                <w:b/>
              </w:rPr>
              <w:t>1</w:t>
            </w:r>
            <w:r w:rsidR="003266AF">
              <w:rPr>
                <w:b/>
              </w:rPr>
              <w:t>9</w:t>
            </w:r>
            <w:bookmarkStart w:id="0" w:name="_GoBack"/>
            <w:bookmarkEnd w:id="0"/>
            <w:r w:rsidRPr="00C65A9D">
              <w:rPr>
                <w:b/>
              </w:rPr>
              <w:t xml:space="preserve"> November 2016</w:t>
            </w:r>
          </w:p>
          <w:p w14:paraId="2CDD99FD" w14:textId="77777777" w:rsidR="00965932" w:rsidRPr="00C65A9D" w:rsidRDefault="00965932" w:rsidP="00965932">
            <w:pPr>
              <w:jc w:val="both"/>
              <w:rPr>
                <w:b/>
              </w:rPr>
            </w:pPr>
          </w:p>
          <w:p w14:paraId="4C694EA2" w14:textId="77777777" w:rsidR="00BC3467" w:rsidRPr="00C65A9D" w:rsidRDefault="00BC3467" w:rsidP="00BC3467">
            <w:pPr>
              <w:jc w:val="both"/>
            </w:pPr>
            <w:r w:rsidRPr="00C65A9D">
              <w:rPr>
                <w:b/>
              </w:rPr>
              <w:t>Thirty-</w:t>
            </w:r>
            <w:r w:rsidR="00A77E59" w:rsidRPr="00C65A9D">
              <w:rPr>
                <w:b/>
              </w:rPr>
              <w:t>seventh</w:t>
            </w:r>
            <w:r w:rsidRPr="00C65A9D">
              <w:rPr>
                <w:b/>
              </w:rPr>
              <w:t xml:space="preserve"> session</w:t>
            </w:r>
            <w:r w:rsidRPr="00C65A9D">
              <w:t xml:space="preserve"> </w:t>
            </w:r>
          </w:p>
          <w:p w14:paraId="7EFA80E1" w14:textId="77777777" w:rsidR="00BC3467" w:rsidRPr="00C65A9D" w:rsidRDefault="00BC3467" w:rsidP="00BC3467">
            <w:pPr>
              <w:jc w:val="both"/>
            </w:pPr>
            <w:r w:rsidRPr="00C65A9D">
              <w:t xml:space="preserve">Geneva, </w:t>
            </w:r>
            <w:r w:rsidR="00A77E59" w:rsidRPr="00C65A9D">
              <w:t>8-10 July 2019</w:t>
            </w:r>
          </w:p>
          <w:p w14:paraId="6B2F2462" w14:textId="77777777" w:rsidR="00BC3467" w:rsidRPr="00EA4FFB" w:rsidRDefault="00BC3467" w:rsidP="00BC3467">
            <w:pPr>
              <w:spacing w:before="40"/>
            </w:pPr>
            <w:r w:rsidRPr="00EA4FFB">
              <w:t xml:space="preserve">Item </w:t>
            </w:r>
            <w:r w:rsidR="00CC2460" w:rsidRPr="00EA4FFB">
              <w:t>3 (b)</w:t>
            </w:r>
            <w:r w:rsidRPr="00EA4FFB">
              <w:t xml:space="preserve"> of the provisional agenda</w:t>
            </w:r>
          </w:p>
          <w:p w14:paraId="0A93AC21" w14:textId="77777777" w:rsidR="0099001C" w:rsidRPr="00C65A9D" w:rsidRDefault="00CC2460" w:rsidP="00BC3467">
            <w:pPr>
              <w:spacing w:line="240" w:lineRule="exact"/>
            </w:pPr>
            <w:r w:rsidRPr="00EA4FFB">
              <w:rPr>
                <w:b/>
              </w:rPr>
              <w:t xml:space="preserve">Hazard communication: </w:t>
            </w:r>
            <w:r w:rsidRPr="00EA4FFB">
              <w:rPr>
                <w:b/>
                <w:bCs/>
              </w:rPr>
              <w:t>i</w:t>
            </w:r>
            <w:r w:rsidRPr="00EA4FFB">
              <w:rPr>
                <w:b/>
              </w:rPr>
              <w:t xml:space="preserve">mprovement of annexes 1 to 3 </w:t>
            </w:r>
            <w:r w:rsidRPr="00EA4FFB">
              <w:rPr>
                <w:b/>
              </w:rPr>
              <w:br/>
              <w:t xml:space="preserve">and further rationalization of precautionary statements </w:t>
            </w:r>
          </w:p>
        </w:tc>
      </w:tr>
    </w:tbl>
    <w:p w14:paraId="39328A0A" w14:textId="77777777" w:rsidR="00965932" w:rsidRPr="00C65A9D" w:rsidRDefault="00965932" w:rsidP="00CC65B7">
      <w:pPr>
        <w:pStyle w:val="HChG"/>
      </w:pPr>
      <w:r w:rsidRPr="00C65A9D">
        <w:rPr>
          <w:rFonts w:eastAsia="MS Mincho"/>
          <w:lang w:eastAsia="ja-JP"/>
        </w:rPr>
        <w:tab/>
      </w:r>
      <w:r w:rsidRPr="00C65A9D">
        <w:rPr>
          <w:rFonts w:eastAsia="MS Mincho"/>
          <w:lang w:eastAsia="ja-JP"/>
        </w:rPr>
        <w:tab/>
      </w:r>
      <w:r w:rsidR="00A77E59" w:rsidRPr="00C65A9D">
        <w:rPr>
          <w:rFonts w:eastAsia="MS Mincho"/>
          <w:lang w:eastAsia="ja-JP"/>
        </w:rPr>
        <w:t>Propos</w:t>
      </w:r>
      <w:r w:rsidR="00997FA9">
        <w:rPr>
          <w:rFonts w:eastAsia="MS Mincho"/>
          <w:lang w:eastAsia="ja-JP"/>
        </w:rPr>
        <w:t>ed</w:t>
      </w:r>
      <w:r w:rsidR="00A77E59" w:rsidRPr="00C65A9D">
        <w:rPr>
          <w:rFonts w:eastAsia="MS Mincho"/>
          <w:lang w:eastAsia="ja-JP"/>
        </w:rPr>
        <w:t xml:space="preserve"> </w:t>
      </w:r>
      <w:r w:rsidR="00A77E59" w:rsidRPr="00C65A9D">
        <w:t>corrections</w:t>
      </w:r>
      <w:r w:rsidR="00BC3467" w:rsidRPr="00C65A9D">
        <w:t xml:space="preserve"> to </w:t>
      </w:r>
      <w:r w:rsidR="00997FA9">
        <w:t xml:space="preserve">the French version of </w:t>
      </w:r>
      <w:r w:rsidR="00997FA9" w:rsidRPr="00C65A9D">
        <w:rPr>
          <w:rFonts w:eastAsia="MS Mincho"/>
        </w:rPr>
        <w:t>H410, H411 and H412</w:t>
      </w:r>
      <w:r w:rsidR="00997FA9">
        <w:rPr>
          <w:rFonts w:eastAsia="MS Mincho"/>
        </w:rPr>
        <w:t xml:space="preserve"> </w:t>
      </w:r>
    </w:p>
    <w:p w14:paraId="62E66870" w14:textId="77777777" w:rsidR="00965932" w:rsidRDefault="00965932" w:rsidP="00965932">
      <w:pPr>
        <w:pStyle w:val="H1G"/>
        <w:rPr>
          <w:rFonts w:eastAsia="MS Mincho"/>
        </w:rPr>
      </w:pPr>
      <w:r w:rsidRPr="00C65A9D">
        <w:rPr>
          <w:rFonts w:eastAsia="MS Mincho"/>
        </w:rPr>
        <w:tab/>
      </w:r>
      <w:r w:rsidRPr="00C65A9D">
        <w:rPr>
          <w:rFonts w:eastAsia="MS Mincho"/>
        </w:rPr>
        <w:tab/>
      </w:r>
      <w:r w:rsidR="00BC3467" w:rsidRPr="00C65A9D">
        <w:rPr>
          <w:rFonts w:eastAsia="MS Mincho"/>
        </w:rPr>
        <w:t>Note by the secretariat</w:t>
      </w:r>
    </w:p>
    <w:p w14:paraId="3C41837A" w14:textId="77777777" w:rsidR="005D6BA3" w:rsidRPr="005D6BA3" w:rsidRDefault="005D6BA3" w:rsidP="005D6BA3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Background</w:t>
      </w:r>
    </w:p>
    <w:p w14:paraId="385DC3A6" w14:textId="77777777" w:rsidR="00C65A9D" w:rsidRDefault="00C65A9D" w:rsidP="00BC3467">
      <w:pPr>
        <w:pStyle w:val="SingleTxtG"/>
        <w:rPr>
          <w:rFonts w:eastAsia="MS Mincho"/>
        </w:rPr>
      </w:pPr>
      <w:r w:rsidRPr="00C65A9D">
        <w:rPr>
          <w:rFonts w:eastAsia="MS Mincho"/>
        </w:rPr>
        <w:t>1.</w:t>
      </w:r>
      <w:r w:rsidRPr="00C65A9D">
        <w:rPr>
          <w:rFonts w:eastAsia="MS Mincho"/>
        </w:rPr>
        <w:tab/>
      </w:r>
      <w:r w:rsidR="00EA4FFB">
        <w:rPr>
          <w:rFonts w:eastAsia="MS Mincho"/>
        </w:rPr>
        <w:t>There is an inconsistency between the English and French version</w:t>
      </w:r>
      <w:r w:rsidR="00997FA9">
        <w:rPr>
          <w:rFonts w:eastAsia="MS Mincho"/>
        </w:rPr>
        <w:t>s</w:t>
      </w:r>
      <w:r w:rsidR="00EA4FFB">
        <w:rPr>
          <w:rFonts w:eastAsia="MS Mincho"/>
        </w:rPr>
        <w:t xml:space="preserve"> of h</w:t>
      </w:r>
      <w:r w:rsidRPr="00C65A9D">
        <w:rPr>
          <w:rFonts w:eastAsia="MS Mincho"/>
        </w:rPr>
        <w:t>azard statement</w:t>
      </w:r>
      <w:r>
        <w:rPr>
          <w:rFonts w:eastAsia="MS Mincho"/>
        </w:rPr>
        <w:t xml:space="preserve">s </w:t>
      </w:r>
      <w:r w:rsidRPr="00C65A9D">
        <w:rPr>
          <w:rFonts w:eastAsia="MS Mincho"/>
        </w:rPr>
        <w:t xml:space="preserve">H410, H411 and H412. </w:t>
      </w:r>
      <w:r w:rsidR="00EA4FFB">
        <w:rPr>
          <w:rFonts w:eastAsia="MS Mincho"/>
        </w:rPr>
        <w:t xml:space="preserve">These </w:t>
      </w:r>
      <w:r w:rsidRPr="00C65A9D">
        <w:rPr>
          <w:rFonts w:eastAsia="MS Mincho"/>
        </w:rPr>
        <w:t>hazard statement</w:t>
      </w:r>
      <w:r>
        <w:rPr>
          <w:rFonts w:eastAsia="MS Mincho"/>
        </w:rPr>
        <w:t>s</w:t>
      </w:r>
      <w:r w:rsidRPr="00C65A9D">
        <w:rPr>
          <w:rFonts w:eastAsia="MS Mincho"/>
        </w:rPr>
        <w:t xml:space="preserve"> were introduced</w:t>
      </w:r>
      <w:r w:rsidR="00EA4FFB">
        <w:rPr>
          <w:rFonts w:eastAsia="MS Mincho"/>
        </w:rPr>
        <w:t xml:space="preserve"> for the first time in the second revised edition of the GHS following a proposal from CEFIC on behalf of the precautionary </w:t>
      </w:r>
      <w:proofErr w:type="gramStart"/>
      <w:r w:rsidR="00EA4FFB">
        <w:rPr>
          <w:rFonts w:eastAsia="MS Mincho"/>
        </w:rPr>
        <w:t>statements</w:t>
      </w:r>
      <w:proofErr w:type="gramEnd"/>
      <w:r w:rsidR="00EA4FFB">
        <w:rPr>
          <w:rFonts w:eastAsia="MS Mincho"/>
        </w:rPr>
        <w:t xml:space="preserve"> correspondence working group (see document </w:t>
      </w:r>
      <w:r w:rsidR="00EA4FFB" w:rsidRPr="00C65A9D">
        <w:t>ST/SG/AC.10/C.4/2006/8/Add.1</w:t>
      </w:r>
      <w:r w:rsidR="00EA4FFB">
        <w:t>)</w:t>
      </w:r>
      <w:r w:rsidR="00EA4FFB">
        <w:rPr>
          <w:rStyle w:val="FootnoteReference"/>
        </w:rPr>
        <w:footnoteReference w:id="2"/>
      </w:r>
      <w:r w:rsidRPr="00C65A9D">
        <w:rPr>
          <w:rFonts w:eastAsia="MS Mincho"/>
        </w:rPr>
        <w:t xml:space="preserve">. </w:t>
      </w:r>
    </w:p>
    <w:p w14:paraId="00279977" w14:textId="77777777" w:rsidR="00C65A9D" w:rsidRPr="00C65A9D" w:rsidRDefault="00C65A9D" w:rsidP="00E01520">
      <w:pPr>
        <w:pStyle w:val="SingleTxtG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="00997FA9">
        <w:rPr>
          <w:rFonts w:eastAsia="MS Mincho"/>
        </w:rPr>
        <w:t>The proposal was</w:t>
      </w:r>
      <w:r>
        <w:t xml:space="preserve"> originally submitted in English</w:t>
      </w:r>
      <w:r w:rsidR="00997FA9">
        <w:t xml:space="preserve"> and the phrase “long lasting effects” H410, H411 and H412, </w:t>
      </w:r>
      <w:r w:rsidR="005D6BA3">
        <w:t xml:space="preserve">was translated into </w:t>
      </w:r>
      <w:r w:rsidR="00E01520">
        <w:t xml:space="preserve">French </w:t>
      </w:r>
      <w:r w:rsidR="005D6BA3">
        <w:t>as</w:t>
      </w:r>
      <w:r w:rsidR="00E01520">
        <w:t xml:space="preserve"> “</w:t>
      </w:r>
      <w:proofErr w:type="spellStart"/>
      <w:r w:rsidR="00E01520">
        <w:t>effets</w:t>
      </w:r>
      <w:proofErr w:type="spellEnd"/>
      <w:r w:rsidR="00E01520">
        <w:t xml:space="preserve"> </w:t>
      </w:r>
      <w:proofErr w:type="spellStart"/>
      <w:r w:rsidR="00E01520">
        <w:t>néfastes</w:t>
      </w:r>
      <w:proofErr w:type="spellEnd"/>
      <w:r w:rsidR="00E01520">
        <w:t xml:space="preserve"> à long </w:t>
      </w:r>
      <w:proofErr w:type="spellStart"/>
      <w:r w:rsidR="00E01520">
        <w:t>terme</w:t>
      </w:r>
      <w:proofErr w:type="spellEnd"/>
      <w:r w:rsidR="00E01520">
        <w:t>” (</w:t>
      </w:r>
      <w:proofErr w:type="spellStart"/>
      <w:r w:rsidR="00997FA9">
        <w:t>i.e</w:t>
      </w:r>
      <w:proofErr w:type="spellEnd"/>
      <w:r w:rsidR="00997FA9">
        <w:t>:</w:t>
      </w:r>
      <w:r w:rsidR="00E01520">
        <w:t xml:space="preserve"> “long lasting harmful effects</w:t>
      </w:r>
      <w:r w:rsidR="009D4025">
        <w:t>”</w:t>
      </w:r>
      <w:r w:rsidR="00E01520">
        <w:t>).</w:t>
      </w:r>
    </w:p>
    <w:p w14:paraId="0A371BC3" w14:textId="77777777" w:rsidR="00997FA9" w:rsidRDefault="00C65A9D" w:rsidP="00EA4403">
      <w:pPr>
        <w:pStyle w:val="SingleTxtG"/>
        <w:rPr>
          <w:rFonts w:eastAsia="MS Mincho"/>
        </w:rPr>
      </w:pPr>
      <w:r>
        <w:rPr>
          <w:rFonts w:eastAsia="MS Mincho"/>
        </w:rPr>
        <w:t>3</w:t>
      </w:r>
      <w:r w:rsidRPr="00C65A9D">
        <w:rPr>
          <w:rFonts w:eastAsia="MS Mincho"/>
        </w:rPr>
        <w:t>.</w:t>
      </w:r>
      <w:r w:rsidRPr="00C65A9D">
        <w:rPr>
          <w:rFonts w:eastAsia="MS Mincho"/>
        </w:rPr>
        <w:tab/>
      </w:r>
      <w:r w:rsidR="00997FA9">
        <w:rPr>
          <w:rFonts w:eastAsia="MS Mincho"/>
        </w:rPr>
        <w:t xml:space="preserve">The secretariat believes that the current difference </w:t>
      </w:r>
      <w:r w:rsidR="005D6BA3">
        <w:rPr>
          <w:rFonts w:eastAsia="MS Mincho"/>
        </w:rPr>
        <w:t xml:space="preserve">between the two versions </w:t>
      </w:r>
      <w:r w:rsidR="00997FA9">
        <w:rPr>
          <w:rFonts w:eastAsia="MS Mincho"/>
        </w:rPr>
        <w:t xml:space="preserve">is due to a translation mistake. Should the Sub-Committee concur with this interpretation, the </w:t>
      </w:r>
      <w:r w:rsidR="00EA4403">
        <w:rPr>
          <w:rFonts w:eastAsia="MS Mincho"/>
        </w:rPr>
        <w:t xml:space="preserve">secretariat invites the Sub-Committee to consider the </w:t>
      </w:r>
      <w:r w:rsidR="00997FA9">
        <w:rPr>
          <w:rFonts w:eastAsia="MS Mincho"/>
        </w:rPr>
        <w:t xml:space="preserve">following corrections to the French version of </w:t>
      </w:r>
      <w:r w:rsidR="005D6BA3" w:rsidRPr="00C65A9D">
        <w:rPr>
          <w:rFonts w:eastAsia="MS Mincho"/>
        </w:rPr>
        <w:t>H410, H411 and H412</w:t>
      </w:r>
      <w:r w:rsidR="00997FA9">
        <w:rPr>
          <w:rFonts w:eastAsia="MS Mincho"/>
        </w:rPr>
        <w:t xml:space="preserve">. </w:t>
      </w:r>
    </w:p>
    <w:p w14:paraId="7F30BDC9" w14:textId="77777777" w:rsidR="00997FA9" w:rsidRDefault="005D6BA3" w:rsidP="005D6BA3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Corrections to the 8</w:t>
      </w:r>
      <w:r w:rsidRPr="005D6BA3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 revised edition of the GHS </w:t>
      </w:r>
    </w:p>
    <w:p w14:paraId="0BEDCE36" w14:textId="77777777" w:rsidR="00E01520" w:rsidRPr="00E01520" w:rsidRDefault="00E01520" w:rsidP="00E01520">
      <w:pPr>
        <w:pStyle w:val="H23G"/>
        <w:rPr>
          <w:lang w:val="fr-FR"/>
        </w:rPr>
      </w:pPr>
      <w:r w:rsidRPr="00E01520">
        <w:rPr>
          <w:lang w:val="fr-FR"/>
        </w:rPr>
        <w:tab/>
      </w:r>
      <w:r w:rsidR="00CC2460">
        <w:rPr>
          <w:lang w:val="fr-FR"/>
        </w:rPr>
        <w:t>1.</w:t>
      </w:r>
      <w:r w:rsidRPr="00E01520">
        <w:rPr>
          <w:lang w:val="fr-FR"/>
        </w:rPr>
        <w:tab/>
      </w:r>
      <w:r>
        <w:rPr>
          <w:lang w:val="fr-FR"/>
        </w:rPr>
        <w:t>1.4.10.5.3.3 a), b) et c)</w:t>
      </w:r>
    </w:p>
    <w:p w14:paraId="3D0C9E19" w14:textId="77777777" w:rsidR="00E01520" w:rsidRPr="00E01520" w:rsidRDefault="00E01520" w:rsidP="00E01520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2819EC91" w14:textId="77777777" w:rsidR="00BC3467" w:rsidRPr="00E01520" w:rsidRDefault="00BC3467" w:rsidP="00BC3467">
      <w:pPr>
        <w:pStyle w:val="H23G"/>
        <w:rPr>
          <w:lang w:val="fr-FR"/>
        </w:rPr>
      </w:pPr>
      <w:r w:rsidRPr="00E01520">
        <w:rPr>
          <w:lang w:val="fr-FR"/>
        </w:rPr>
        <w:tab/>
      </w:r>
      <w:r w:rsidR="00CC2460">
        <w:rPr>
          <w:lang w:val="fr-FR"/>
        </w:rPr>
        <w:t>2.</w:t>
      </w:r>
      <w:r w:rsidRPr="00E01520">
        <w:rPr>
          <w:lang w:val="fr-FR"/>
        </w:rPr>
        <w:tab/>
      </w:r>
      <w:r w:rsidR="00C65A9D" w:rsidRPr="00E01520">
        <w:rPr>
          <w:lang w:val="fr-FR"/>
        </w:rPr>
        <w:t>Annexe 1, A1.29</w:t>
      </w:r>
      <w:r w:rsidR="00E01520">
        <w:rPr>
          <w:lang w:val="fr-FR"/>
        </w:rPr>
        <w:t xml:space="preserve"> b)</w:t>
      </w:r>
      <w:r w:rsidR="00C65A9D" w:rsidRPr="00E01520">
        <w:rPr>
          <w:lang w:val="fr-FR"/>
        </w:rPr>
        <w:t xml:space="preserve">, dans le tableau, dans la colonne “mention de danger” pour </w:t>
      </w:r>
      <w:r w:rsidR="00E01520" w:rsidRPr="00E01520">
        <w:rPr>
          <w:lang w:val="fr-FR"/>
        </w:rPr>
        <w:t>les Codes des mentions de danger H410, H411</w:t>
      </w:r>
      <w:r w:rsidR="00E01520">
        <w:rPr>
          <w:lang w:val="fr-FR"/>
        </w:rPr>
        <w:t xml:space="preserve"> et</w:t>
      </w:r>
      <w:r w:rsidR="00E01520" w:rsidRPr="00E01520">
        <w:rPr>
          <w:lang w:val="fr-FR"/>
        </w:rPr>
        <w:t xml:space="preserve"> H412</w:t>
      </w:r>
    </w:p>
    <w:p w14:paraId="05953518" w14:textId="77777777" w:rsidR="00BC3467" w:rsidRDefault="00E01520" w:rsidP="00BC3467">
      <w:pPr>
        <w:pStyle w:val="SingleTxtG"/>
        <w:rPr>
          <w:lang w:val="fr-FR"/>
        </w:rPr>
      </w:pPr>
      <w:r w:rsidRPr="00E01520">
        <w:rPr>
          <w:i/>
          <w:lang w:val="fr-FR"/>
        </w:rPr>
        <w:t>Au lieu de</w:t>
      </w:r>
      <w:r w:rsidR="00BC3467" w:rsidRPr="00E01520">
        <w:rPr>
          <w:i/>
          <w:lang w:val="fr-FR"/>
        </w:rPr>
        <w:t xml:space="preserve"> </w:t>
      </w:r>
      <w:r w:rsidRPr="00E01520">
        <w:rPr>
          <w:lang w:val="fr-FR"/>
        </w:rPr>
        <w:t>effets néfastes à long terme</w:t>
      </w:r>
      <w:r w:rsidR="00BC3467" w:rsidRPr="00E01520">
        <w:rPr>
          <w:lang w:val="fr-FR"/>
        </w:rPr>
        <w:t xml:space="preserve"> </w:t>
      </w:r>
      <w:r w:rsidRPr="00E01520">
        <w:rPr>
          <w:i/>
          <w:lang w:val="fr-FR"/>
        </w:rPr>
        <w:t>lire</w:t>
      </w:r>
      <w:r w:rsidR="00BC3467" w:rsidRPr="00E01520">
        <w:rPr>
          <w:lang w:val="fr-FR"/>
        </w:rPr>
        <w:t xml:space="preserve"> </w:t>
      </w:r>
      <w:r w:rsidRPr="00E01520">
        <w:rPr>
          <w:lang w:val="fr-FR"/>
        </w:rPr>
        <w:t>effets à long terme</w:t>
      </w:r>
    </w:p>
    <w:p w14:paraId="482298F5" w14:textId="77777777" w:rsidR="00E01520" w:rsidRPr="00E01520" w:rsidRDefault="00E01520" w:rsidP="00E01520">
      <w:pPr>
        <w:pStyle w:val="H23G"/>
        <w:rPr>
          <w:lang w:val="fr-FR"/>
        </w:rPr>
      </w:pPr>
      <w:r w:rsidRPr="00E01520">
        <w:rPr>
          <w:lang w:val="fr-FR"/>
        </w:rPr>
        <w:lastRenderedPageBreak/>
        <w:tab/>
      </w:r>
      <w:r w:rsidR="00CC2460">
        <w:rPr>
          <w:lang w:val="fr-FR"/>
        </w:rPr>
        <w:t>3.</w:t>
      </w:r>
      <w:r w:rsidRPr="00E01520">
        <w:rPr>
          <w:lang w:val="fr-FR"/>
        </w:rPr>
        <w:tab/>
        <w:t xml:space="preserve">Annexe </w:t>
      </w:r>
      <w:r>
        <w:rPr>
          <w:lang w:val="fr-FR"/>
        </w:rPr>
        <w:t>3</w:t>
      </w:r>
      <w:r w:rsidRPr="00E01520">
        <w:rPr>
          <w:lang w:val="fr-FR"/>
        </w:rPr>
        <w:t xml:space="preserve">, </w:t>
      </w:r>
      <w:r>
        <w:rPr>
          <w:lang w:val="fr-FR"/>
        </w:rPr>
        <w:t>section 1, tableau A3.1.3, pour les Codes</w:t>
      </w:r>
      <w:r w:rsidRPr="00E01520">
        <w:rPr>
          <w:lang w:val="fr-FR"/>
        </w:rPr>
        <w:t xml:space="preserve"> H410, H411</w:t>
      </w:r>
      <w:r>
        <w:rPr>
          <w:lang w:val="fr-FR"/>
        </w:rPr>
        <w:t xml:space="preserve"> et</w:t>
      </w:r>
      <w:r w:rsidRPr="00E01520">
        <w:rPr>
          <w:lang w:val="fr-FR"/>
        </w:rPr>
        <w:t xml:space="preserve"> H412</w:t>
      </w:r>
      <w:r>
        <w:rPr>
          <w:lang w:val="fr-FR"/>
        </w:rPr>
        <w:t>, en colonne</w:t>
      </w:r>
      <w:r w:rsidR="005D6BA3">
        <w:rPr>
          <w:lang w:val="fr-FR"/>
        </w:rPr>
        <w:t> </w:t>
      </w:r>
      <w:r>
        <w:rPr>
          <w:lang w:val="fr-FR"/>
        </w:rPr>
        <w:t>(2)</w:t>
      </w:r>
    </w:p>
    <w:p w14:paraId="7252D487" w14:textId="77777777" w:rsidR="00E01520" w:rsidRPr="00E01520" w:rsidRDefault="00E01520" w:rsidP="00E01520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6EB043F7" w14:textId="77777777" w:rsidR="00CC2460" w:rsidRPr="00E01520" w:rsidRDefault="00CC2460" w:rsidP="00CC2460">
      <w:pPr>
        <w:pStyle w:val="H23G"/>
        <w:rPr>
          <w:lang w:val="fr-FR"/>
        </w:rPr>
      </w:pPr>
      <w:r w:rsidRPr="00E01520">
        <w:rPr>
          <w:lang w:val="fr-FR"/>
        </w:rPr>
        <w:tab/>
      </w:r>
      <w:r>
        <w:rPr>
          <w:lang w:val="fr-FR"/>
        </w:rPr>
        <w:t>4.</w:t>
      </w:r>
      <w:r w:rsidRPr="00E01520">
        <w:rPr>
          <w:lang w:val="fr-FR"/>
        </w:rPr>
        <w:tab/>
        <w:t xml:space="preserve">Annexe </w:t>
      </w:r>
      <w:r>
        <w:rPr>
          <w:lang w:val="fr-FR"/>
        </w:rPr>
        <w:t>3</w:t>
      </w:r>
      <w:r w:rsidRPr="00E01520">
        <w:rPr>
          <w:lang w:val="fr-FR"/>
        </w:rPr>
        <w:t xml:space="preserve">, </w:t>
      </w:r>
      <w:r>
        <w:rPr>
          <w:lang w:val="fr-FR"/>
        </w:rPr>
        <w:t>section 3, tableau des conseils de prudence pour « </w:t>
      </w:r>
      <w:r w:rsidRPr="00CC2460">
        <w:rPr>
          <w:lang w:val="fr-FR"/>
        </w:rPr>
        <w:t>DANGER POUR LE MILIEU AQUATIQUE − DANGER À LONG TERME (CHRONIQUE)</w:t>
      </w:r>
      <w:r>
        <w:rPr>
          <w:lang w:val="fr-FR"/>
        </w:rPr>
        <w:t xml:space="preserve"> </w:t>
      </w:r>
      <w:r w:rsidRPr="00CC2460">
        <w:rPr>
          <w:lang w:val="fr-FR"/>
        </w:rPr>
        <w:t>(CHAPITRE 4.1)</w:t>
      </w:r>
      <w:r>
        <w:rPr>
          <w:lang w:val="fr-FR"/>
        </w:rPr>
        <w:t> », Catégories de danger 1 et 2, pour les mentions de danger H410 et H411</w:t>
      </w:r>
    </w:p>
    <w:p w14:paraId="7B2C3D8F" w14:textId="77777777" w:rsidR="00CC2460" w:rsidRPr="00E01520" w:rsidRDefault="00CC2460" w:rsidP="00CC2460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6B428744" w14:textId="77777777" w:rsidR="00CC2460" w:rsidRPr="00E01520" w:rsidRDefault="00CC2460" w:rsidP="00CC2460">
      <w:pPr>
        <w:pStyle w:val="H23G"/>
        <w:rPr>
          <w:lang w:val="fr-FR"/>
        </w:rPr>
      </w:pPr>
      <w:r w:rsidRPr="00E01520">
        <w:rPr>
          <w:lang w:val="fr-FR"/>
        </w:rPr>
        <w:tab/>
      </w:r>
      <w:r>
        <w:rPr>
          <w:lang w:val="fr-FR"/>
        </w:rPr>
        <w:t>5.</w:t>
      </w:r>
      <w:r w:rsidRPr="00E01520">
        <w:rPr>
          <w:lang w:val="fr-FR"/>
        </w:rPr>
        <w:tab/>
        <w:t xml:space="preserve">Annexe </w:t>
      </w:r>
      <w:r>
        <w:rPr>
          <w:lang w:val="fr-FR"/>
        </w:rPr>
        <w:t>3</w:t>
      </w:r>
      <w:r w:rsidRPr="00E01520">
        <w:rPr>
          <w:lang w:val="fr-FR"/>
        </w:rPr>
        <w:t xml:space="preserve">, </w:t>
      </w:r>
      <w:r>
        <w:rPr>
          <w:lang w:val="fr-FR"/>
        </w:rPr>
        <w:t>section 3, tableau des conseils de prudence pour « </w:t>
      </w:r>
      <w:r w:rsidRPr="00CC2460">
        <w:rPr>
          <w:lang w:val="fr-FR"/>
        </w:rPr>
        <w:t>DANGER POUR LE MILIEU AQUATIQUE − DANGER À LONG TERME (CHRONIQUE)</w:t>
      </w:r>
      <w:r>
        <w:rPr>
          <w:lang w:val="fr-FR"/>
        </w:rPr>
        <w:t xml:space="preserve"> </w:t>
      </w:r>
      <w:r w:rsidRPr="00CC2460">
        <w:rPr>
          <w:lang w:val="fr-FR"/>
        </w:rPr>
        <w:t>(CHAPITRE 4.1)</w:t>
      </w:r>
      <w:r>
        <w:rPr>
          <w:lang w:val="fr-FR"/>
        </w:rPr>
        <w:t> », Catégories de danger 3 et 4, pour la mention de danger H412</w:t>
      </w:r>
    </w:p>
    <w:p w14:paraId="724C2054" w14:textId="77777777" w:rsidR="00CC2460" w:rsidRPr="00E01520" w:rsidRDefault="00CC2460" w:rsidP="00CC2460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6D81349E" w14:textId="77777777" w:rsidR="00BC3467" w:rsidRPr="00C65A9D" w:rsidRDefault="00BC3467" w:rsidP="00BC3467">
      <w:pPr>
        <w:pStyle w:val="SingleTxtG"/>
        <w:spacing w:before="240" w:after="0"/>
        <w:jc w:val="center"/>
        <w:rPr>
          <w:u w:val="single"/>
        </w:rPr>
      </w:pPr>
      <w:r w:rsidRPr="00C65A9D">
        <w:rPr>
          <w:i/>
          <w:u w:val="single"/>
        </w:rPr>
        <w:tab/>
      </w:r>
      <w:r w:rsidRPr="00C65A9D">
        <w:rPr>
          <w:i/>
          <w:u w:val="single"/>
        </w:rPr>
        <w:tab/>
      </w:r>
      <w:r w:rsidRPr="00C65A9D">
        <w:rPr>
          <w:i/>
          <w:u w:val="single"/>
        </w:rPr>
        <w:tab/>
      </w:r>
    </w:p>
    <w:sectPr w:rsidR="00BC3467" w:rsidRPr="00C65A9D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B8E2" w14:textId="77777777" w:rsidR="006E2F05" w:rsidRDefault="006E2F05"/>
  </w:endnote>
  <w:endnote w:type="continuationSeparator" w:id="0">
    <w:p w14:paraId="656E5A68" w14:textId="77777777" w:rsidR="006E2F05" w:rsidRDefault="006E2F05"/>
  </w:endnote>
  <w:endnote w:type="continuationNotice" w:id="1">
    <w:p w14:paraId="6F79BD63" w14:textId="77777777" w:rsidR="006E2F05" w:rsidRDefault="006E2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C2E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B6AF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A65A" w14:textId="77777777" w:rsidR="006E2F05" w:rsidRPr="000B175B" w:rsidRDefault="006E2F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D12EAE" w14:textId="77777777" w:rsidR="006E2F05" w:rsidRPr="00FC68B7" w:rsidRDefault="006E2F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40F62A" w14:textId="77777777" w:rsidR="006E2F05" w:rsidRDefault="006E2F05"/>
  </w:footnote>
  <w:footnote w:id="2">
    <w:p w14:paraId="55A1D1BF" w14:textId="77777777" w:rsidR="00EA4FFB" w:rsidRPr="00C65A9D" w:rsidRDefault="00EA4FFB" w:rsidP="00EA4FFB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  <w:t xml:space="preserve">See </w:t>
      </w:r>
      <w:r w:rsidRPr="00C65A9D">
        <w:t>http://www.unece.org/trans/areas-of-work/dangerous-goods/meetings-and-events/ecosoc-bodies/ghs-sub-committee/working-documents/2006.html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539C" w14:textId="77777777" w:rsidR="006A7757" w:rsidRPr="0099001C" w:rsidRDefault="006A7757" w:rsidP="00366CA7">
    <w:pPr>
      <w:pStyle w:val="Header"/>
    </w:pPr>
    <w:r w:rsidRPr="00CC65B7">
      <w:t>UN/SCEGHS/</w:t>
    </w:r>
    <w:r w:rsidR="00A8760B" w:rsidRPr="00CC65B7">
      <w:t>3</w:t>
    </w:r>
    <w:r w:rsidR="00CC2460">
      <w:t>7</w:t>
    </w:r>
    <w:r w:rsidRPr="00CC65B7">
      <w:t>/INF.</w:t>
    </w:r>
    <w:r w:rsidR="00EA4FFB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0AB4" w14:textId="77777777" w:rsidR="006A7757" w:rsidRPr="0099001C" w:rsidRDefault="006A7757" w:rsidP="0099001C">
    <w:pPr>
      <w:pStyle w:val="Header"/>
      <w:jc w:val="right"/>
    </w:pPr>
    <w:r>
      <w:t>UN/SCEGHS/</w:t>
    </w:r>
    <w:r w:rsidR="00CC65B7">
      <w:t>32</w:t>
    </w:r>
    <w:r>
      <w:t>/INF.</w:t>
    </w:r>
    <w:r w:rsidR="00CC65B7"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D10AA"/>
    <w:rsid w:val="000E0415"/>
    <w:rsid w:val="001220B8"/>
    <w:rsid w:val="00156F3C"/>
    <w:rsid w:val="00162BF7"/>
    <w:rsid w:val="0017192E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70C50"/>
    <w:rsid w:val="002D59D3"/>
    <w:rsid w:val="003107FA"/>
    <w:rsid w:val="00311052"/>
    <w:rsid w:val="003127A2"/>
    <w:rsid w:val="003229D8"/>
    <w:rsid w:val="0032550E"/>
    <w:rsid w:val="003266AF"/>
    <w:rsid w:val="0033745A"/>
    <w:rsid w:val="003642AF"/>
    <w:rsid w:val="00366CA7"/>
    <w:rsid w:val="0036715E"/>
    <w:rsid w:val="0039277A"/>
    <w:rsid w:val="003972E0"/>
    <w:rsid w:val="003A3197"/>
    <w:rsid w:val="003B3A99"/>
    <w:rsid w:val="003C2CC4"/>
    <w:rsid w:val="003C3936"/>
    <w:rsid w:val="003D4B23"/>
    <w:rsid w:val="003E62D9"/>
    <w:rsid w:val="003F1ED3"/>
    <w:rsid w:val="00421612"/>
    <w:rsid w:val="004325CB"/>
    <w:rsid w:val="00446DE4"/>
    <w:rsid w:val="00460DD9"/>
    <w:rsid w:val="00467F71"/>
    <w:rsid w:val="004A41CA"/>
    <w:rsid w:val="004E7ED6"/>
    <w:rsid w:val="00503228"/>
    <w:rsid w:val="00505384"/>
    <w:rsid w:val="00532EF8"/>
    <w:rsid w:val="005420F2"/>
    <w:rsid w:val="005B2C89"/>
    <w:rsid w:val="005B3DB3"/>
    <w:rsid w:val="005D6BA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2F05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53398"/>
    <w:rsid w:val="00963CBA"/>
    <w:rsid w:val="009650E6"/>
    <w:rsid w:val="00965932"/>
    <w:rsid w:val="00974A8D"/>
    <w:rsid w:val="0099001C"/>
    <w:rsid w:val="00991261"/>
    <w:rsid w:val="00997FA9"/>
    <w:rsid w:val="009D4025"/>
    <w:rsid w:val="009F3A17"/>
    <w:rsid w:val="009F3D53"/>
    <w:rsid w:val="00A1427D"/>
    <w:rsid w:val="00A426FB"/>
    <w:rsid w:val="00A55FB2"/>
    <w:rsid w:val="00A72F22"/>
    <w:rsid w:val="00A748A6"/>
    <w:rsid w:val="00A77E59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81E12"/>
    <w:rsid w:val="00B97D28"/>
    <w:rsid w:val="00BC3467"/>
    <w:rsid w:val="00BC74E9"/>
    <w:rsid w:val="00BD2146"/>
    <w:rsid w:val="00BE4F74"/>
    <w:rsid w:val="00BE618E"/>
    <w:rsid w:val="00C17699"/>
    <w:rsid w:val="00C1778D"/>
    <w:rsid w:val="00C41A28"/>
    <w:rsid w:val="00C463DD"/>
    <w:rsid w:val="00C6210B"/>
    <w:rsid w:val="00C65A9D"/>
    <w:rsid w:val="00C745C3"/>
    <w:rsid w:val="00C945EB"/>
    <w:rsid w:val="00CC2460"/>
    <w:rsid w:val="00CC65B7"/>
    <w:rsid w:val="00CE4A8F"/>
    <w:rsid w:val="00D055EB"/>
    <w:rsid w:val="00D2031B"/>
    <w:rsid w:val="00D25FE2"/>
    <w:rsid w:val="00D309FE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1520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5F9C"/>
    <w:rsid w:val="00E86E8C"/>
    <w:rsid w:val="00E87921"/>
    <w:rsid w:val="00E96630"/>
    <w:rsid w:val="00EA264E"/>
    <w:rsid w:val="00EA3A41"/>
    <w:rsid w:val="00EA4403"/>
    <w:rsid w:val="00EA4FFB"/>
    <w:rsid w:val="00ED1541"/>
    <w:rsid w:val="00ED71D9"/>
    <w:rsid w:val="00ED7A2A"/>
    <w:rsid w:val="00EF1D7F"/>
    <w:rsid w:val="00EF358F"/>
    <w:rsid w:val="00F124A0"/>
    <w:rsid w:val="00F53EDA"/>
    <w:rsid w:val="00F73015"/>
    <w:rsid w:val="00F7753D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1CE94"/>
  <w15:docId w15:val="{49521208-807E-4EFE-844D-5D2C304F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A4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F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BDD2-91BE-4B79-8DA5-57BBAAC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9</cp:revision>
  <cp:lastPrinted>2019-06-19T06:06:00Z</cp:lastPrinted>
  <dcterms:created xsi:type="dcterms:W3CDTF">2019-06-18T15:33:00Z</dcterms:created>
  <dcterms:modified xsi:type="dcterms:W3CDTF">2019-06-19T06:06:00Z</dcterms:modified>
</cp:coreProperties>
</file>