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8A23EEF" w14:textId="77777777" w:rsidTr="00F01738">
        <w:trPr>
          <w:trHeight w:hRule="exact" w:val="851"/>
        </w:trPr>
        <w:tc>
          <w:tcPr>
            <w:tcW w:w="1276" w:type="dxa"/>
            <w:tcBorders>
              <w:bottom w:val="single" w:sz="4" w:space="0" w:color="auto"/>
            </w:tcBorders>
          </w:tcPr>
          <w:p w14:paraId="037631DC" w14:textId="77777777" w:rsidR="00132EA9" w:rsidRPr="00DB58B5" w:rsidRDefault="00132EA9" w:rsidP="007E4BE5">
            <w:bookmarkStart w:id="0" w:name="_GoBack"/>
            <w:bookmarkEnd w:id="0"/>
          </w:p>
        </w:tc>
        <w:tc>
          <w:tcPr>
            <w:tcW w:w="2268" w:type="dxa"/>
            <w:tcBorders>
              <w:bottom w:val="single" w:sz="4" w:space="0" w:color="auto"/>
            </w:tcBorders>
            <w:vAlign w:val="bottom"/>
          </w:tcPr>
          <w:p w14:paraId="6863695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CCECB9" w14:textId="77777777" w:rsidR="00132EA9" w:rsidRPr="00DB58B5" w:rsidRDefault="007E4BE5" w:rsidP="007E4BE5">
            <w:pPr>
              <w:jc w:val="right"/>
            </w:pPr>
            <w:r w:rsidRPr="007E4BE5">
              <w:rPr>
                <w:sz w:val="40"/>
              </w:rPr>
              <w:t>ST</w:t>
            </w:r>
            <w:r>
              <w:t>/SG/AC.10/C.4/2019/14</w:t>
            </w:r>
          </w:p>
        </w:tc>
      </w:tr>
      <w:tr w:rsidR="00132EA9" w:rsidRPr="00DB58B5" w14:paraId="6BF84E2B" w14:textId="77777777" w:rsidTr="00F01738">
        <w:trPr>
          <w:trHeight w:hRule="exact" w:val="2835"/>
        </w:trPr>
        <w:tc>
          <w:tcPr>
            <w:tcW w:w="1276" w:type="dxa"/>
            <w:tcBorders>
              <w:top w:val="single" w:sz="4" w:space="0" w:color="auto"/>
              <w:bottom w:val="single" w:sz="12" w:space="0" w:color="auto"/>
            </w:tcBorders>
          </w:tcPr>
          <w:p w14:paraId="03554CD7" w14:textId="77777777" w:rsidR="00132EA9" w:rsidRPr="00DB58B5" w:rsidRDefault="00132EA9" w:rsidP="00F01738">
            <w:pPr>
              <w:spacing w:before="120"/>
              <w:jc w:val="center"/>
            </w:pPr>
            <w:r>
              <w:rPr>
                <w:noProof/>
                <w:lang w:eastAsia="fr-CH"/>
              </w:rPr>
              <w:drawing>
                <wp:inline distT="0" distB="0" distL="0" distR="0" wp14:anchorId="3A33166F" wp14:editId="54F06AC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718AE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0E9AB1C" w14:textId="77777777" w:rsidR="00132EA9" w:rsidRDefault="007E4BE5" w:rsidP="00F01738">
            <w:pPr>
              <w:spacing w:before="240"/>
            </w:pPr>
            <w:r>
              <w:t xml:space="preserve">Distr. </w:t>
            </w:r>
            <w:proofErr w:type="gramStart"/>
            <w:r>
              <w:t>générale</w:t>
            </w:r>
            <w:proofErr w:type="gramEnd"/>
          </w:p>
          <w:p w14:paraId="4F564C21" w14:textId="77777777" w:rsidR="007E4BE5" w:rsidRDefault="007E4BE5" w:rsidP="007E4BE5">
            <w:pPr>
              <w:spacing w:line="240" w:lineRule="exact"/>
            </w:pPr>
            <w:r>
              <w:t>24 septembre 2019</w:t>
            </w:r>
          </w:p>
          <w:p w14:paraId="3CB36AAD" w14:textId="77777777" w:rsidR="007E4BE5" w:rsidRDefault="007E4BE5" w:rsidP="007E4BE5">
            <w:pPr>
              <w:spacing w:line="240" w:lineRule="exact"/>
            </w:pPr>
            <w:r>
              <w:t>Français</w:t>
            </w:r>
          </w:p>
          <w:p w14:paraId="4A103CC6" w14:textId="77777777" w:rsidR="007E4BE5" w:rsidRPr="00DB58B5" w:rsidRDefault="007E4BE5" w:rsidP="007E4BE5">
            <w:pPr>
              <w:spacing w:line="240" w:lineRule="exact"/>
            </w:pPr>
            <w:r>
              <w:t>Original : anglais</w:t>
            </w:r>
          </w:p>
        </w:tc>
      </w:tr>
    </w:tbl>
    <w:p w14:paraId="2FDBCA72" w14:textId="77777777" w:rsidR="007E4BE5" w:rsidRPr="00C024FC" w:rsidRDefault="007E4BE5" w:rsidP="00C024FC">
      <w:pPr>
        <w:spacing w:before="120"/>
        <w:rPr>
          <w:b/>
          <w:sz w:val="24"/>
          <w:szCs w:val="24"/>
        </w:rPr>
      </w:pPr>
      <w:r w:rsidRPr="00C024FC">
        <w:rPr>
          <w:b/>
          <w:sz w:val="24"/>
          <w:szCs w:val="24"/>
          <w:lang w:val="fr-FR"/>
        </w:rPr>
        <w:t xml:space="preserve">Comité d’experts du transport des marchandises dangereuses </w:t>
      </w:r>
      <w:r w:rsidR="00C024FC">
        <w:rPr>
          <w:b/>
          <w:sz w:val="24"/>
          <w:szCs w:val="24"/>
          <w:lang w:val="fr-FR"/>
        </w:rPr>
        <w:br/>
      </w:r>
      <w:proofErr w:type="gramStart"/>
      <w:r w:rsidRPr="00C024FC">
        <w:rPr>
          <w:b/>
          <w:sz w:val="24"/>
          <w:szCs w:val="24"/>
          <w:lang w:val="fr-FR"/>
        </w:rPr>
        <w:t>et</w:t>
      </w:r>
      <w:proofErr w:type="gramEnd"/>
      <w:r w:rsidRPr="00C024FC">
        <w:rPr>
          <w:b/>
          <w:sz w:val="24"/>
          <w:szCs w:val="24"/>
          <w:lang w:val="fr-FR"/>
        </w:rPr>
        <w:t xml:space="preserve"> du Système général harmonisé de classification </w:t>
      </w:r>
      <w:r w:rsidR="00C024FC">
        <w:rPr>
          <w:b/>
          <w:sz w:val="24"/>
          <w:szCs w:val="24"/>
          <w:lang w:val="fr-FR"/>
        </w:rPr>
        <w:br/>
      </w:r>
      <w:r w:rsidRPr="00C024FC">
        <w:rPr>
          <w:b/>
          <w:sz w:val="24"/>
          <w:szCs w:val="24"/>
          <w:lang w:val="fr-FR"/>
        </w:rPr>
        <w:t>et d’étiquetage des produits chimiques</w:t>
      </w:r>
    </w:p>
    <w:p w14:paraId="1DF256F3" w14:textId="77777777" w:rsidR="007E4BE5" w:rsidRPr="00BC0AD2" w:rsidRDefault="007E4BE5" w:rsidP="00BC0AD2">
      <w:pPr>
        <w:spacing w:before="120"/>
        <w:rPr>
          <w:rFonts w:ascii="Helv" w:hAnsi="Helv" w:cs="Helv"/>
          <w:b/>
          <w:color w:val="000000"/>
        </w:rPr>
      </w:pPr>
      <w:r w:rsidRPr="00BC0AD2">
        <w:rPr>
          <w:b/>
          <w:lang w:val="fr-FR"/>
        </w:rPr>
        <w:t xml:space="preserve">Sous-Comité d’experts du Système général harmonisé de classification </w:t>
      </w:r>
      <w:r w:rsidR="00BC0AD2">
        <w:rPr>
          <w:b/>
          <w:lang w:val="fr-FR"/>
        </w:rPr>
        <w:br/>
      </w:r>
      <w:r w:rsidRPr="00BC0AD2">
        <w:rPr>
          <w:b/>
          <w:lang w:val="fr-FR"/>
        </w:rPr>
        <w:t>et d’étiquetage des produits chimiques</w:t>
      </w:r>
    </w:p>
    <w:p w14:paraId="74FE7274" w14:textId="77777777" w:rsidR="007E4BE5" w:rsidRPr="00BC0AD2" w:rsidRDefault="007E4BE5" w:rsidP="00BC0AD2">
      <w:pPr>
        <w:spacing w:before="120"/>
        <w:rPr>
          <w:b/>
        </w:rPr>
      </w:pPr>
      <w:r w:rsidRPr="00BC0AD2">
        <w:rPr>
          <w:b/>
          <w:lang w:val="fr-FR"/>
        </w:rPr>
        <w:t>Trente-huitième session</w:t>
      </w:r>
    </w:p>
    <w:p w14:paraId="6079C599" w14:textId="77777777" w:rsidR="007E4BE5" w:rsidRPr="00BC0AD2" w:rsidRDefault="007E4BE5" w:rsidP="007E4BE5">
      <w:r w:rsidRPr="00BC0AD2">
        <w:rPr>
          <w:lang w:val="fr-FR"/>
        </w:rPr>
        <w:t>Genève, 11-13</w:t>
      </w:r>
      <w:r w:rsidR="00BC0AD2">
        <w:rPr>
          <w:lang w:val="fr-FR"/>
        </w:rPr>
        <w:t> </w:t>
      </w:r>
      <w:r w:rsidRPr="00BC0AD2">
        <w:rPr>
          <w:lang w:val="fr-FR"/>
        </w:rPr>
        <w:t xml:space="preserve">décembre 2019 </w:t>
      </w:r>
    </w:p>
    <w:p w14:paraId="3A9E695B" w14:textId="77777777" w:rsidR="007E4BE5" w:rsidRPr="00BC0AD2" w:rsidRDefault="007E4BE5" w:rsidP="007E4BE5">
      <w:r w:rsidRPr="00BC0AD2">
        <w:rPr>
          <w:lang w:val="fr-FR"/>
        </w:rPr>
        <w:t>Point</w:t>
      </w:r>
      <w:r w:rsidR="00BC0AD2">
        <w:rPr>
          <w:lang w:val="fr-FR"/>
        </w:rPr>
        <w:t> </w:t>
      </w:r>
      <w:r w:rsidRPr="00BC0AD2">
        <w:rPr>
          <w:lang w:val="fr-FR"/>
        </w:rPr>
        <w:t>4</w:t>
      </w:r>
      <w:r w:rsidR="00BC0AD2">
        <w:rPr>
          <w:lang w:val="fr-FR"/>
        </w:rPr>
        <w:t> </w:t>
      </w:r>
      <w:r w:rsidRPr="00BC0AD2">
        <w:rPr>
          <w:lang w:val="fr-FR"/>
        </w:rPr>
        <w:t>c) de l’ordre du jour provisoire</w:t>
      </w:r>
    </w:p>
    <w:p w14:paraId="6A3C9BAD" w14:textId="77777777" w:rsidR="007E4BE5" w:rsidRPr="00BC0AD2" w:rsidRDefault="007E4BE5" w:rsidP="007E4BE5">
      <w:pPr>
        <w:rPr>
          <w:b/>
          <w:lang w:val="fr-FR"/>
        </w:rPr>
      </w:pPr>
      <w:r w:rsidRPr="00BC0AD2">
        <w:rPr>
          <w:b/>
          <w:lang w:val="fr-FR"/>
        </w:rPr>
        <w:t>Mise en œuvre du SGH</w:t>
      </w:r>
      <w:r w:rsidR="00BC0AD2">
        <w:rPr>
          <w:b/>
          <w:lang w:val="fr-FR"/>
        </w:rPr>
        <w:t> </w:t>
      </w:r>
      <w:r w:rsidRPr="00BC0AD2">
        <w:rPr>
          <w:b/>
          <w:lang w:val="fr-FR"/>
        </w:rPr>
        <w:t xml:space="preserve">: </w:t>
      </w:r>
      <w:r w:rsidR="00BC0AD2">
        <w:rPr>
          <w:b/>
          <w:lang w:val="fr-FR"/>
        </w:rPr>
        <w:br/>
      </w:r>
      <w:r w:rsidRPr="00BC0AD2">
        <w:rPr>
          <w:b/>
          <w:lang w:val="fr-FR"/>
        </w:rPr>
        <w:t>coopération avec d’autres organes ou organisations internationales</w:t>
      </w:r>
    </w:p>
    <w:p w14:paraId="322D30F6" w14:textId="77777777" w:rsidR="007E4BE5" w:rsidRPr="00BC0AD2" w:rsidRDefault="007E4BE5" w:rsidP="00BC0AD2">
      <w:pPr>
        <w:pStyle w:val="HChG"/>
      </w:pPr>
      <w:r w:rsidRPr="00BC0AD2">
        <w:rPr>
          <w:lang w:val="fr-FR"/>
        </w:rPr>
        <w:tab/>
      </w:r>
      <w:r w:rsidRPr="00BC0AD2">
        <w:rPr>
          <w:lang w:val="fr-FR"/>
        </w:rPr>
        <w:tab/>
        <w:t xml:space="preserve">Examen et mise à jour des références aux documents d’orientation et aux lignes directrices pour les essais </w:t>
      </w:r>
      <w:r w:rsidR="00BC0AD2">
        <w:rPr>
          <w:lang w:val="fr-FR"/>
        </w:rPr>
        <w:br/>
      </w:r>
      <w:r w:rsidRPr="00BC0AD2">
        <w:rPr>
          <w:lang w:val="fr-FR"/>
        </w:rPr>
        <w:t xml:space="preserve">de l’OCDE dans le SGH </w:t>
      </w:r>
      <w:bookmarkStart w:id="1" w:name="_Hlk19869045"/>
      <w:bookmarkEnd w:id="1"/>
    </w:p>
    <w:p w14:paraId="0ABC238A" w14:textId="77777777" w:rsidR="007E4BE5" w:rsidRPr="00E41283" w:rsidRDefault="007E4BE5" w:rsidP="00BC0AD2">
      <w:pPr>
        <w:pStyle w:val="H1G"/>
      </w:pPr>
      <w:r>
        <w:rPr>
          <w:lang w:val="fr-FR"/>
        </w:rPr>
        <w:tab/>
      </w:r>
      <w:r>
        <w:rPr>
          <w:lang w:val="fr-FR"/>
        </w:rPr>
        <w:tab/>
        <w:t>Communication de l’Organisation de coopération et de développement économiques (OCDE)</w:t>
      </w:r>
      <w:bookmarkStart w:id="2" w:name="_Hlk19869025"/>
      <w:bookmarkEnd w:id="2"/>
      <w:r w:rsidR="00BC0AD2" w:rsidRPr="00BC0AD2">
        <w:rPr>
          <w:rStyle w:val="FootnoteReference"/>
          <w:b w:val="0"/>
          <w:sz w:val="20"/>
          <w:vertAlign w:val="baseline"/>
        </w:rPr>
        <w:footnoteReference w:customMarkFollows="1" w:id="2"/>
        <w:t>*</w:t>
      </w:r>
    </w:p>
    <w:p w14:paraId="6EAC1443" w14:textId="77777777" w:rsidR="007E4BE5" w:rsidRDefault="007E4BE5" w:rsidP="00BC0AD2">
      <w:pPr>
        <w:pStyle w:val="HChG"/>
      </w:pPr>
      <w:r>
        <w:rPr>
          <w:lang w:val="fr-FR"/>
        </w:rPr>
        <w:tab/>
      </w:r>
      <w:r>
        <w:rPr>
          <w:lang w:val="fr-FR"/>
        </w:rPr>
        <w:tab/>
        <w:t>Contexte</w:t>
      </w:r>
    </w:p>
    <w:p w14:paraId="5A9231D8" w14:textId="77777777" w:rsidR="007E4BE5" w:rsidRDefault="007E4BE5" w:rsidP="00BC0AD2">
      <w:pPr>
        <w:pStyle w:val="SingleTxtG"/>
      </w:pPr>
      <w:r>
        <w:rPr>
          <w:lang w:val="fr-FR"/>
        </w:rPr>
        <w:t>1.</w:t>
      </w:r>
      <w:r>
        <w:rPr>
          <w:lang w:val="fr-FR"/>
        </w:rPr>
        <w:tab/>
        <w:t>À la trente-sixième session du Sous-Comité, le Président du Sous-Comité a demandé officieusement au secrétariat de l’OCDE d’envisager de mettre à jour les références relatives à l’OCDE dans le SGH.</w:t>
      </w:r>
    </w:p>
    <w:p w14:paraId="358F0DB3" w14:textId="77777777" w:rsidR="007E4BE5" w:rsidRDefault="007E4BE5" w:rsidP="00BC0AD2">
      <w:pPr>
        <w:pStyle w:val="SingleTxtG"/>
      </w:pPr>
      <w:r>
        <w:rPr>
          <w:lang w:val="fr-FR"/>
        </w:rPr>
        <w:t>2.</w:t>
      </w:r>
      <w:r>
        <w:rPr>
          <w:lang w:val="fr-FR"/>
        </w:rPr>
        <w:tab/>
        <w:t xml:space="preserve">À l’issue de la réunion, le secrétariat du SGH a suggéré que le secrétariat de l’OCDE envisage également d’actualiser toute référence aux documents de l’OCDE dans le Manuel d’épreuves et de critères. </w:t>
      </w:r>
      <w:bookmarkStart w:id="3" w:name="_Hlk19866754"/>
      <w:bookmarkEnd w:id="3"/>
    </w:p>
    <w:p w14:paraId="4C0D6AE3" w14:textId="77777777" w:rsidR="007E4BE5" w:rsidRDefault="007E4BE5" w:rsidP="00BC0AD2">
      <w:pPr>
        <w:pStyle w:val="SingleTxtG"/>
      </w:pPr>
      <w:r>
        <w:rPr>
          <w:lang w:val="fr-FR"/>
        </w:rPr>
        <w:t>3.</w:t>
      </w:r>
      <w:r>
        <w:rPr>
          <w:lang w:val="fr-FR"/>
        </w:rPr>
        <w:tab/>
        <w:t xml:space="preserve">Le présent document décrit le processus d’examen suivi par le secrétariat de l’OCDE pour mettre à jour les références aux documents de l’OCDE dans le SGH. Il contient également des propositions d’amendements relatives au SGH pour examen par le Sous-Comité. </w:t>
      </w:r>
    </w:p>
    <w:p w14:paraId="39CA5EA8" w14:textId="77777777" w:rsidR="007E4BE5" w:rsidRDefault="007E4BE5" w:rsidP="00BC0AD2">
      <w:pPr>
        <w:pStyle w:val="SingleTxtG"/>
      </w:pPr>
      <w:r>
        <w:rPr>
          <w:lang w:val="fr-FR"/>
        </w:rPr>
        <w:t>4.</w:t>
      </w:r>
      <w:r>
        <w:rPr>
          <w:lang w:val="fr-FR"/>
        </w:rPr>
        <w:tab/>
        <w:t>Des propositions visant à mettre à jour les références aux documents de l’OCDE dans le Manuel d’épreuves et de critères seront soumises ultérieurement au Sous-Comité SGH et au Sous-Comité d’experts du transport des marchandises dangereuses (TMD).</w:t>
      </w:r>
    </w:p>
    <w:p w14:paraId="239E24DB" w14:textId="77777777" w:rsidR="007E4BE5" w:rsidRPr="00662858" w:rsidRDefault="007E4BE5" w:rsidP="000B125E">
      <w:pPr>
        <w:pStyle w:val="HChG"/>
      </w:pPr>
      <w:r>
        <w:rPr>
          <w:lang w:val="fr-FR"/>
        </w:rPr>
        <w:lastRenderedPageBreak/>
        <w:tab/>
      </w:r>
      <w:r>
        <w:rPr>
          <w:lang w:val="fr-FR"/>
        </w:rPr>
        <w:tab/>
        <w:t>Processus d’examen</w:t>
      </w:r>
    </w:p>
    <w:p w14:paraId="04F8A686" w14:textId="77777777" w:rsidR="007E4BE5" w:rsidRDefault="007E4BE5" w:rsidP="000B125E">
      <w:pPr>
        <w:pStyle w:val="SingleTxtG"/>
        <w:keepNext/>
      </w:pPr>
      <w:r>
        <w:rPr>
          <w:lang w:val="fr-FR"/>
        </w:rPr>
        <w:t>5.</w:t>
      </w:r>
      <w:r>
        <w:rPr>
          <w:lang w:val="fr-FR"/>
        </w:rPr>
        <w:tab/>
        <w:t xml:space="preserve">Les principes suivants ont été appliqués lors de l’examen du SGH aux fins de la mise à jour </w:t>
      </w:r>
      <w:r w:rsidR="002909CE">
        <w:rPr>
          <w:lang w:val="fr-FR"/>
        </w:rPr>
        <w:t>d</w:t>
      </w:r>
      <w:r>
        <w:rPr>
          <w:lang w:val="fr-FR"/>
        </w:rPr>
        <w:t>es références faites aux documents de l’OCDE</w:t>
      </w:r>
      <w:r w:rsidR="000B125E">
        <w:rPr>
          <w:lang w:val="fr-FR"/>
        </w:rPr>
        <w:t> </w:t>
      </w:r>
      <w:r>
        <w:rPr>
          <w:lang w:val="fr-FR"/>
        </w:rPr>
        <w:t>:</w:t>
      </w:r>
    </w:p>
    <w:p w14:paraId="521928A9" w14:textId="77777777" w:rsidR="007E4BE5" w:rsidRDefault="007E4BE5" w:rsidP="000B125E">
      <w:pPr>
        <w:pStyle w:val="SingleTxtG"/>
        <w:keepNext/>
        <w:ind w:left="2268" w:hanging="567"/>
      </w:pPr>
      <w:r>
        <w:rPr>
          <w:lang w:val="fr-FR"/>
        </w:rPr>
        <w:t>a)</w:t>
      </w:r>
      <w:r>
        <w:rPr>
          <w:lang w:val="fr-FR"/>
        </w:rPr>
        <w:tab/>
        <w:t xml:space="preserve">Se concentrer uniquement sur la mise à jour des références </w:t>
      </w:r>
      <w:r w:rsidR="000B125E">
        <w:rPr>
          <w:lang w:val="fr-FR"/>
        </w:rPr>
        <w:t>« </w:t>
      </w:r>
      <w:r>
        <w:rPr>
          <w:lang w:val="fr-FR"/>
        </w:rPr>
        <w:t>obsolètes</w:t>
      </w:r>
      <w:r w:rsidR="000B125E">
        <w:rPr>
          <w:lang w:val="fr-FR"/>
        </w:rPr>
        <w:t> »</w:t>
      </w:r>
      <w:r>
        <w:rPr>
          <w:lang w:val="fr-FR"/>
        </w:rPr>
        <w:t xml:space="preserve"> aux documents de l’OCDE</w:t>
      </w:r>
      <w:r w:rsidR="000B125E">
        <w:rPr>
          <w:lang w:val="fr-FR"/>
        </w:rPr>
        <w:t> </w:t>
      </w:r>
      <w:r>
        <w:rPr>
          <w:lang w:val="fr-FR"/>
        </w:rPr>
        <w:t>:</w:t>
      </w:r>
    </w:p>
    <w:p w14:paraId="2A39CE43" w14:textId="77777777" w:rsidR="007E4BE5" w:rsidRDefault="007E4BE5" w:rsidP="000B125E">
      <w:pPr>
        <w:pStyle w:val="SingleTxtG"/>
        <w:ind w:left="2268"/>
      </w:pPr>
      <w:r>
        <w:rPr>
          <w:lang w:val="fr-FR"/>
        </w:rPr>
        <w:t xml:space="preserve">Signaler au Sous-Comité les textes qui pourraient être obsolètes, pour examen en vue d’une mise à jour future. </w:t>
      </w:r>
    </w:p>
    <w:p w14:paraId="06AAA547" w14:textId="77777777" w:rsidR="007E4BE5" w:rsidRDefault="007E4BE5" w:rsidP="000B125E">
      <w:pPr>
        <w:pStyle w:val="SingleTxtG"/>
        <w:keepNext/>
        <w:ind w:left="2268" w:hanging="567"/>
      </w:pPr>
      <w:r>
        <w:rPr>
          <w:lang w:val="fr-FR"/>
        </w:rPr>
        <w:t>b)</w:t>
      </w:r>
      <w:r>
        <w:rPr>
          <w:lang w:val="fr-FR"/>
        </w:rPr>
        <w:tab/>
        <w:t xml:space="preserve">Mettre à jour les références dans les listes des lignes directrices pour les essais de l’OCDE dans le SGH sur la base des lignes directrices actuelles de l’OCDE pour les essais de produits chimiques. </w:t>
      </w:r>
    </w:p>
    <w:p w14:paraId="5B934C77" w14:textId="77777777" w:rsidR="007E4BE5" w:rsidRDefault="007E4BE5" w:rsidP="000B125E">
      <w:pPr>
        <w:pStyle w:val="SingleTxtG"/>
        <w:keepNext/>
        <w:ind w:left="2268" w:hanging="567"/>
      </w:pPr>
      <w:r>
        <w:rPr>
          <w:lang w:val="fr-FR"/>
        </w:rPr>
        <w:t>c)</w:t>
      </w:r>
      <w:r>
        <w:rPr>
          <w:lang w:val="fr-FR"/>
        </w:rPr>
        <w:tab/>
        <w:t>Supprimer l’année de publication dans les références à une ligne directrice pour les essais, à moins qu’il ne s’agisse d’une citation expresse dans le corps du texte.</w:t>
      </w:r>
    </w:p>
    <w:p w14:paraId="3CE9497F" w14:textId="77777777" w:rsidR="007E4BE5" w:rsidRPr="00125337" w:rsidRDefault="007E4BE5" w:rsidP="000B125E">
      <w:pPr>
        <w:pStyle w:val="SingleTxtG"/>
        <w:ind w:left="2835" w:hanging="567"/>
      </w:pPr>
      <w:r>
        <w:rPr>
          <w:lang w:val="fr-FR"/>
        </w:rPr>
        <w:t>i)</w:t>
      </w:r>
      <w:r>
        <w:rPr>
          <w:lang w:val="fr-FR"/>
        </w:rPr>
        <w:tab/>
        <w:t>En effet, les lignes directrices pour les essais sont périodiquement mises à jour, de sorte que l’année de référence devient inévitablement obsolète dans le texte du SGH. Le numéro de la ligne directrice est conservé</w:t>
      </w:r>
      <w:r w:rsidR="000B125E">
        <w:rPr>
          <w:lang w:val="fr-FR"/>
        </w:rPr>
        <w:t>.</w:t>
      </w:r>
    </w:p>
    <w:p w14:paraId="5CB565ED" w14:textId="77777777" w:rsidR="007E4BE5" w:rsidRPr="00125337" w:rsidRDefault="007E4BE5" w:rsidP="000B125E">
      <w:pPr>
        <w:pStyle w:val="SingleTxtG"/>
        <w:ind w:left="2835" w:hanging="567"/>
      </w:pPr>
      <w:r>
        <w:rPr>
          <w:lang w:val="fr-FR"/>
        </w:rPr>
        <w:t>ii)</w:t>
      </w:r>
      <w:r>
        <w:rPr>
          <w:lang w:val="fr-FR"/>
        </w:rPr>
        <w:tab/>
        <w:t>Lorsqu’un passage spécifique du SGH reproduit un texte tiré d’un document d’orientation ou d’une ligne directrice de l’OCDE et que ce document d’orientation ou cette ligne directrice a été mis à jour, il est suggéré de conserver la référence la plus ancienne car c’est de là que le texte provient. Il est proposé d’ajouter une note de bas de page mentionnant l’existence d’une ligne directrice ou d’un document d’orientation plus récent. Il a été estimé que la présente initiative n’avait pas vocation à veiller à ce que les passages du SGH fondés sur une ligne directrice ou un document d’orientation de l’OCDE fassent également référence aux versions mises à jour des documents concernés.</w:t>
      </w:r>
    </w:p>
    <w:p w14:paraId="3614184E" w14:textId="77777777" w:rsidR="007E4BE5" w:rsidRDefault="007E4BE5" w:rsidP="000B125E">
      <w:pPr>
        <w:pStyle w:val="SingleTxtG"/>
        <w:keepNext/>
        <w:ind w:left="2268" w:hanging="567"/>
      </w:pPr>
      <w:r>
        <w:rPr>
          <w:lang w:val="fr-FR"/>
        </w:rPr>
        <w:t>d)</w:t>
      </w:r>
      <w:r>
        <w:rPr>
          <w:lang w:val="fr-FR"/>
        </w:rPr>
        <w:tab/>
        <w:t>Le chapitre</w:t>
      </w:r>
      <w:r w:rsidR="00272A04">
        <w:rPr>
          <w:lang w:val="fr-FR"/>
        </w:rPr>
        <w:t> </w:t>
      </w:r>
      <w:r>
        <w:rPr>
          <w:lang w:val="fr-FR"/>
        </w:rPr>
        <w:t xml:space="preserve">3.3 sur les lésions oculaires graves/l’irritation oculaire n’a pas été inclus dans l’examen effectué par le secrétariat de l’OCDE, car des travaux sont en cours au niveau du Sous-Comité sur ce chapitre. </w:t>
      </w:r>
    </w:p>
    <w:p w14:paraId="3BF52EB2" w14:textId="77777777" w:rsidR="007E4BE5" w:rsidRDefault="007E4BE5" w:rsidP="000B125E">
      <w:pPr>
        <w:pStyle w:val="HChG"/>
      </w:pPr>
      <w:r>
        <w:rPr>
          <w:lang w:val="fr-FR"/>
        </w:rPr>
        <w:tab/>
      </w:r>
      <w:r>
        <w:rPr>
          <w:lang w:val="fr-FR"/>
        </w:rPr>
        <w:tab/>
        <w:t>Propositions d’amendements au SGH</w:t>
      </w:r>
    </w:p>
    <w:p w14:paraId="480D2BA5" w14:textId="77777777" w:rsidR="007E4BE5" w:rsidRPr="0024251F" w:rsidRDefault="007E4BE5" w:rsidP="000B125E">
      <w:pPr>
        <w:pStyle w:val="SingleTxtG"/>
      </w:pPr>
      <w:r>
        <w:rPr>
          <w:lang w:val="fr-FR"/>
        </w:rPr>
        <w:t>6.</w:t>
      </w:r>
      <w:r>
        <w:rPr>
          <w:lang w:val="fr-FR"/>
        </w:rPr>
        <w:tab/>
        <w:t xml:space="preserve">La liste des amendements qu’il est proposé d’apporter au SGH en ce qui concerne les références aux documents de l’OCDE figure dans l’annexe du présent document pour examen par le Sous-Comité. Les modifications qu’il est proposé d’apporter au texte du SGH sont reproduites </w:t>
      </w:r>
      <w:r w:rsidRPr="00143121">
        <w:rPr>
          <w:lang w:val="fr-FR"/>
        </w:rPr>
        <w:t>en mode «</w:t>
      </w:r>
      <w:r w:rsidR="00272A04">
        <w:rPr>
          <w:lang w:val="fr-FR"/>
        </w:rPr>
        <w:t> </w:t>
      </w:r>
      <w:r w:rsidRPr="00143121">
        <w:rPr>
          <w:lang w:val="fr-FR"/>
        </w:rPr>
        <w:t>suivi des modifications</w:t>
      </w:r>
      <w:r w:rsidR="00272A04">
        <w:rPr>
          <w:lang w:val="fr-FR"/>
        </w:rPr>
        <w:t> </w:t>
      </w:r>
      <w:r w:rsidRPr="00143121">
        <w:rPr>
          <w:lang w:val="fr-FR"/>
        </w:rPr>
        <w:t>»</w:t>
      </w:r>
      <w:r>
        <w:rPr>
          <w:lang w:val="fr-FR"/>
        </w:rPr>
        <w:t xml:space="preserve"> dans le document informel INF.3.</w:t>
      </w:r>
    </w:p>
    <w:p w14:paraId="3C502FA2" w14:textId="77777777" w:rsidR="007E4BE5" w:rsidRPr="0024251F" w:rsidRDefault="007E4BE5" w:rsidP="000B125E">
      <w:pPr>
        <w:pStyle w:val="HChG"/>
      </w:pPr>
      <w:r>
        <w:rPr>
          <w:lang w:val="fr-FR"/>
        </w:rPr>
        <w:tab/>
      </w:r>
      <w:r>
        <w:rPr>
          <w:lang w:val="fr-FR"/>
        </w:rPr>
        <w:tab/>
        <w:t>Observations complémentaires</w:t>
      </w:r>
    </w:p>
    <w:p w14:paraId="6B4039C2" w14:textId="77777777" w:rsidR="007E4BE5" w:rsidRDefault="007E4BE5" w:rsidP="000B125E">
      <w:pPr>
        <w:pStyle w:val="SingleTxtG"/>
      </w:pPr>
      <w:r>
        <w:rPr>
          <w:lang w:val="fr-FR"/>
        </w:rPr>
        <w:t>7.</w:t>
      </w:r>
      <w:r>
        <w:rPr>
          <w:lang w:val="fr-FR"/>
        </w:rPr>
        <w:tab/>
        <w:t>Lors de l’examen du SGH aux fins de la mise à jour des références relatives à l’OCDE, le secrétariat de l’OCDE a noté les sections suivantes, que le Sous-Comité du SGH pourrait envisager d’actualiser à l’avenir. Il ne s’agit là que d’observations tirées des travaux de mise à jour des références et l’intégralité du texte n’a pas été examiné dans cette optique.</w:t>
      </w:r>
    </w:p>
    <w:p w14:paraId="19F4B480" w14:textId="77777777" w:rsidR="007E4BE5" w:rsidRDefault="007E4BE5" w:rsidP="000B125E">
      <w:pPr>
        <w:pStyle w:val="SingleTxtG"/>
        <w:keepNext/>
        <w:ind w:left="2268" w:hanging="567"/>
      </w:pPr>
      <w:r>
        <w:rPr>
          <w:lang w:val="fr-FR"/>
        </w:rPr>
        <w:t>a)</w:t>
      </w:r>
      <w:r>
        <w:rPr>
          <w:lang w:val="fr-FR"/>
        </w:rPr>
        <w:tab/>
        <w:t>Chapitre 3.5</w:t>
      </w:r>
      <w:r w:rsidR="000B125E">
        <w:rPr>
          <w:lang w:val="fr-FR"/>
        </w:rPr>
        <w:t> </w:t>
      </w:r>
      <w:r>
        <w:rPr>
          <w:lang w:val="fr-FR"/>
        </w:rPr>
        <w:t xml:space="preserve">: Mutagénicité sur les cellules germinales </w:t>
      </w:r>
    </w:p>
    <w:p w14:paraId="5BBD5110" w14:textId="77777777" w:rsidR="007E4BE5" w:rsidRDefault="007E4BE5" w:rsidP="000B125E">
      <w:pPr>
        <w:pStyle w:val="SingleTxtG"/>
        <w:ind w:left="2268"/>
      </w:pPr>
      <w:r>
        <w:rPr>
          <w:lang w:val="fr-FR"/>
        </w:rPr>
        <w:t>Dans le cadre de l’ajout éventuel de nouvelles lignes directrices de l’OCDE aux exemples d’essais présentés aux sections</w:t>
      </w:r>
      <w:r w:rsidR="000B125E">
        <w:rPr>
          <w:lang w:val="fr-FR"/>
        </w:rPr>
        <w:t> </w:t>
      </w:r>
      <w:r>
        <w:rPr>
          <w:lang w:val="fr-FR"/>
        </w:rPr>
        <w:t>3.5.2.5 à 3.5.2.9, il a été noté qu’il pourrait y avoir un certain chevauchement entre les sections. Les titres pourraient peut-être être libellés plus précisément en incluant les trois critères qui semblent être utilisés (comme dans les sections</w:t>
      </w:r>
      <w:r w:rsidR="000B125E">
        <w:rPr>
          <w:lang w:val="fr-FR"/>
        </w:rPr>
        <w:t> </w:t>
      </w:r>
      <w:r>
        <w:rPr>
          <w:lang w:val="fr-FR"/>
        </w:rPr>
        <w:t>3.5.2.5 et 3.5.2.6), c’est</w:t>
      </w:r>
      <w:r w:rsidR="000B125E">
        <w:rPr>
          <w:lang w:val="fr-FR"/>
        </w:rPr>
        <w:noBreakHyphen/>
      </w:r>
      <w:r>
        <w:rPr>
          <w:lang w:val="fr-FR"/>
        </w:rPr>
        <w:t>à</w:t>
      </w:r>
      <w:r w:rsidR="000B125E">
        <w:rPr>
          <w:lang w:val="fr-FR"/>
        </w:rPr>
        <w:noBreakHyphen/>
      </w:r>
      <w:r>
        <w:rPr>
          <w:lang w:val="fr-FR"/>
        </w:rPr>
        <w:t>dire</w:t>
      </w:r>
      <w:r w:rsidR="000B125E">
        <w:rPr>
          <w:lang w:val="fr-FR"/>
        </w:rPr>
        <w:t> </w:t>
      </w:r>
      <w:r>
        <w:rPr>
          <w:lang w:val="fr-FR"/>
        </w:rPr>
        <w:t>: in vitro/in vivo</w:t>
      </w:r>
      <w:r w:rsidR="000B125E">
        <w:rPr>
          <w:lang w:val="fr-FR"/>
        </w:rPr>
        <w:t> </w:t>
      </w:r>
      <w:r>
        <w:rPr>
          <w:lang w:val="fr-FR"/>
        </w:rPr>
        <w:t>; cellules germinales/cellules somatiques</w:t>
      </w:r>
      <w:r w:rsidR="000B125E">
        <w:rPr>
          <w:lang w:val="fr-FR"/>
        </w:rPr>
        <w:t> </w:t>
      </w:r>
      <w:r>
        <w:rPr>
          <w:lang w:val="fr-FR"/>
        </w:rPr>
        <w:t>; mutagénicité/génotoxicité (non mutagénicité)</w:t>
      </w:r>
      <w:r w:rsidR="000B125E">
        <w:rPr>
          <w:lang w:val="fr-FR"/>
        </w:rPr>
        <w:t>.</w:t>
      </w:r>
    </w:p>
    <w:p w14:paraId="08DBC65B" w14:textId="77777777" w:rsidR="007E4BE5" w:rsidRDefault="007E4BE5" w:rsidP="000B125E">
      <w:pPr>
        <w:pStyle w:val="SingleTxtG"/>
        <w:keepNext/>
        <w:ind w:left="2268" w:hanging="567"/>
      </w:pPr>
      <w:r>
        <w:rPr>
          <w:lang w:val="fr-FR"/>
        </w:rPr>
        <w:lastRenderedPageBreak/>
        <w:t>b)</w:t>
      </w:r>
      <w:r>
        <w:rPr>
          <w:lang w:val="fr-FR"/>
        </w:rPr>
        <w:tab/>
        <w:t>Chapitre 3.6</w:t>
      </w:r>
      <w:r w:rsidR="000B125E">
        <w:rPr>
          <w:lang w:val="fr-FR"/>
        </w:rPr>
        <w:t> </w:t>
      </w:r>
      <w:r>
        <w:rPr>
          <w:lang w:val="fr-FR"/>
        </w:rPr>
        <w:t xml:space="preserve">: Cancérogénicité </w:t>
      </w:r>
    </w:p>
    <w:p w14:paraId="725547FA" w14:textId="77777777" w:rsidR="007E4BE5" w:rsidRDefault="007E4BE5" w:rsidP="000B125E">
      <w:pPr>
        <w:pStyle w:val="SingleTxtG"/>
        <w:ind w:left="2835" w:hanging="567"/>
      </w:pPr>
      <w:r>
        <w:rPr>
          <w:lang w:val="fr-FR"/>
        </w:rPr>
        <w:t>i)</w:t>
      </w:r>
      <w:r>
        <w:rPr>
          <w:lang w:val="fr-FR"/>
        </w:rPr>
        <w:tab/>
        <w:t>Le paragraphe</w:t>
      </w:r>
      <w:r w:rsidR="000B125E">
        <w:rPr>
          <w:lang w:val="fr-FR"/>
        </w:rPr>
        <w:t> </w:t>
      </w:r>
      <w:r>
        <w:rPr>
          <w:lang w:val="fr-FR"/>
        </w:rPr>
        <w:t>3.6.2.7 renvoie aux actes d’un atelier de l’OMS/PISSC, qui a mis en évidence plusieurs questions scientifiques, et indique qu</w:t>
      </w:r>
      <w:proofErr w:type="gramStart"/>
      <w:r>
        <w:rPr>
          <w:lang w:val="fr-FR"/>
        </w:rPr>
        <w:t>’«</w:t>
      </w:r>
      <w:proofErr w:type="gramEnd"/>
      <w:r w:rsidR="000B125E">
        <w:rPr>
          <w:lang w:val="fr-FR"/>
        </w:rPr>
        <w:t> </w:t>
      </w:r>
      <w:r>
        <w:rPr>
          <w:lang w:val="fr-FR"/>
        </w:rPr>
        <w:t>il s’agit à présent d’articuler les principes nécessaires à la résolution de ces questions scientifiques qui ont donné lieu à des classifications divergentes dans le passé</w:t>
      </w:r>
      <w:r w:rsidR="000B125E">
        <w:rPr>
          <w:lang w:val="fr-FR"/>
        </w:rPr>
        <w:t> </w:t>
      </w:r>
      <w:r>
        <w:rPr>
          <w:lang w:val="fr-FR"/>
        </w:rPr>
        <w:t>». Une révision de ce passage pourrait s’avérer nécessaire en fonction des progrès réalisés depuis 1995 dans les travaux mentionnés dans le SGH.</w:t>
      </w:r>
    </w:p>
    <w:p w14:paraId="4CB7477E" w14:textId="77777777" w:rsidR="007E4BE5" w:rsidRDefault="007E4BE5" w:rsidP="000B125E">
      <w:pPr>
        <w:pStyle w:val="SingleTxtG"/>
        <w:tabs>
          <w:tab w:val="left" w:pos="3686"/>
        </w:tabs>
        <w:ind w:left="2835" w:hanging="567"/>
      </w:pPr>
      <w:r>
        <w:rPr>
          <w:lang w:val="fr-FR"/>
        </w:rPr>
        <w:t>ii)</w:t>
      </w:r>
      <w:r>
        <w:rPr>
          <w:lang w:val="fr-FR"/>
        </w:rPr>
        <w:tab/>
      </w:r>
      <w:r w:rsidRPr="001E15F2">
        <w:rPr>
          <w:lang w:val="fr-FR"/>
        </w:rPr>
        <w:t>3.6.5.3.1</w:t>
      </w:r>
      <w:r w:rsidR="000B125E">
        <w:rPr>
          <w:lang w:val="fr-FR"/>
        </w:rPr>
        <w:tab/>
      </w:r>
      <w:r>
        <w:rPr>
          <w:lang w:val="fr-FR"/>
        </w:rPr>
        <w:t>Les extraits reproduits sous le paragraphe</w:t>
      </w:r>
      <w:r w:rsidR="000B125E">
        <w:rPr>
          <w:lang w:val="fr-FR"/>
        </w:rPr>
        <w:t> </w:t>
      </w:r>
      <w:r w:rsidRPr="001E15F2">
        <w:rPr>
          <w:lang w:val="fr-FR"/>
        </w:rPr>
        <w:t>3.6.5.3.1</w:t>
      </w:r>
      <w:r w:rsidR="000B125E">
        <w:rPr>
          <w:lang w:val="fr-FR"/>
        </w:rPr>
        <w:t xml:space="preserve"> </w:t>
      </w:r>
      <w:r>
        <w:rPr>
          <w:lang w:val="fr-FR"/>
        </w:rPr>
        <w:t xml:space="preserve">proviennent du préambule des monographies du Centre international de recherche sur le cancer (CIRC) en date de 1991. Le document a été modifié en 2006 et </w:t>
      </w:r>
      <w:r w:rsidR="000B125E">
        <w:rPr>
          <w:lang w:val="fr-FR"/>
        </w:rPr>
        <w:t>complétement</w:t>
      </w:r>
      <w:r>
        <w:rPr>
          <w:lang w:val="fr-FR"/>
        </w:rPr>
        <w:t xml:space="preserve"> remanié en 2019</w:t>
      </w:r>
      <w:r w:rsidR="00272A04">
        <w:rPr>
          <w:rStyle w:val="FootnoteReference"/>
        </w:rPr>
        <w:footnoteReference w:id="3"/>
      </w:r>
      <w:r>
        <w:rPr>
          <w:lang w:val="fr-FR"/>
        </w:rPr>
        <w:t xml:space="preserve"> Le Sous-Comité pourrait envisager de mettre à jour cette section.</w:t>
      </w:r>
    </w:p>
    <w:p w14:paraId="2E3E886A" w14:textId="77777777" w:rsidR="007E4BE5" w:rsidRDefault="007E4BE5" w:rsidP="000B125E">
      <w:pPr>
        <w:pStyle w:val="SingleTxtG"/>
        <w:keepNext/>
        <w:ind w:left="2268" w:hanging="567"/>
      </w:pPr>
      <w:r>
        <w:rPr>
          <w:lang w:val="fr-FR"/>
        </w:rPr>
        <w:t>c)</w:t>
      </w:r>
      <w:r>
        <w:rPr>
          <w:lang w:val="fr-FR"/>
        </w:rPr>
        <w:tab/>
        <w:t>Annexe 9</w:t>
      </w:r>
      <w:r w:rsidR="000B125E">
        <w:rPr>
          <w:lang w:val="fr-FR"/>
        </w:rPr>
        <w:t> </w:t>
      </w:r>
      <w:r>
        <w:rPr>
          <w:lang w:val="fr-FR"/>
        </w:rPr>
        <w:t xml:space="preserve">: Document guide sur les dangers pour le milieu aquatique </w:t>
      </w:r>
    </w:p>
    <w:p w14:paraId="3004039B" w14:textId="77777777" w:rsidR="007E4BE5" w:rsidRPr="00386468" w:rsidRDefault="007E4BE5" w:rsidP="00272A04">
      <w:pPr>
        <w:pStyle w:val="SingleTxtG"/>
        <w:ind w:left="2268"/>
      </w:pPr>
      <w:r>
        <w:rPr>
          <w:lang w:val="fr-FR"/>
        </w:rPr>
        <w:t>Cette annexe est basée sur un document de l’OCDE de 2001 intitulé « </w:t>
      </w:r>
      <w:r w:rsidRPr="00791B9F">
        <w:rPr>
          <w:color w:val="333333"/>
          <w:szCs w:val="24"/>
          <w:shd w:val="clear" w:color="auto" w:fill="FFFFFF"/>
        </w:rPr>
        <w:t>Guidance Document on the Use of the Harmonised System for the Classification of Chemicals</w:t>
      </w:r>
      <w:r w:rsidR="00272A04">
        <w:rPr>
          <w:color w:val="333333"/>
          <w:szCs w:val="24"/>
          <w:shd w:val="clear" w:color="auto" w:fill="FFFFFF"/>
        </w:rPr>
        <w:t> </w:t>
      </w:r>
      <w:r>
        <w:rPr>
          <w:color w:val="333333"/>
          <w:szCs w:val="24"/>
          <w:shd w:val="clear" w:color="auto" w:fill="FFFFFF"/>
        </w:rPr>
        <w:t>» (</w:t>
      </w:r>
      <w:r>
        <w:rPr>
          <w:lang w:val="fr-FR"/>
        </w:rPr>
        <w:t>Document d’orientation sur l’utilisation du système harmonisé de classification des produits chimiques). Depuis lors, dix à quinze lignes directrices pour les essais de l’OCDE liées à cette annexe ont été mises à jour et cinq à dix nouvelles lignes directrices pour les essais ont été adoptées. De plus, de nouveaux documents d’orientation connexes (par</w:t>
      </w:r>
      <w:r w:rsidR="00272A04">
        <w:rPr>
          <w:lang w:val="fr-FR"/>
        </w:rPr>
        <w:t> </w:t>
      </w:r>
      <w:r>
        <w:rPr>
          <w:lang w:val="fr-FR"/>
        </w:rPr>
        <w:t>exemple, sur les substances difficiles à tester) ont été publiés. Le Sous</w:t>
      </w:r>
      <w:r w:rsidR="00272A04">
        <w:rPr>
          <w:lang w:val="fr-FR"/>
        </w:rPr>
        <w:noBreakHyphen/>
      </w:r>
      <w:r>
        <w:rPr>
          <w:lang w:val="fr-FR"/>
        </w:rPr>
        <w:t>Comité pourrait envisager de mettre à jour l’annexe</w:t>
      </w:r>
      <w:r w:rsidR="00272A04">
        <w:rPr>
          <w:lang w:val="fr-FR"/>
        </w:rPr>
        <w:t> </w:t>
      </w:r>
      <w:r>
        <w:rPr>
          <w:lang w:val="fr-FR"/>
        </w:rPr>
        <w:t xml:space="preserve">9 sur la base des derniers éléments disponibles sur ce sujet. </w:t>
      </w:r>
    </w:p>
    <w:p w14:paraId="250B1485" w14:textId="77777777" w:rsidR="007E4BE5" w:rsidRDefault="007E4BE5" w:rsidP="0039774E">
      <w:pPr>
        <w:pStyle w:val="HChG"/>
      </w:pPr>
      <w:r>
        <w:br w:type="page"/>
      </w:r>
      <w:r>
        <w:rPr>
          <w:lang w:val="fr-FR"/>
        </w:rPr>
        <w:lastRenderedPageBreak/>
        <w:t>Annexe</w:t>
      </w:r>
    </w:p>
    <w:p w14:paraId="351F0989" w14:textId="77777777" w:rsidR="007E4BE5" w:rsidRDefault="007E4BE5" w:rsidP="0039774E">
      <w:pPr>
        <w:pStyle w:val="HChG"/>
        <w:rPr>
          <w:lang w:val="fr-FR"/>
        </w:rPr>
      </w:pPr>
      <w:r>
        <w:rPr>
          <w:lang w:val="fr-FR"/>
        </w:rPr>
        <w:tab/>
      </w:r>
      <w:r>
        <w:rPr>
          <w:lang w:val="fr-FR"/>
        </w:rPr>
        <w:tab/>
        <w:t>Propositions d’amendements au SGH</w:t>
      </w:r>
    </w:p>
    <w:p w14:paraId="02BD90BC" w14:textId="77777777" w:rsidR="007E4BE5" w:rsidRDefault="007E4BE5" w:rsidP="0039774E">
      <w:pPr>
        <w:pStyle w:val="H1G"/>
      </w:pPr>
      <w:r>
        <w:rPr>
          <w:lang w:val="fr-FR"/>
        </w:rPr>
        <w:tab/>
      </w:r>
      <w:r>
        <w:rPr>
          <w:lang w:val="fr-FR"/>
        </w:rPr>
        <w:tab/>
        <w:t>Chapitre 3.2, tableau 3.2.6</w:t>
      </w:r>
    </w:p>
    <w:p w14:paraId="3D66261B" w14:textId="77777777" w:rsidR="007E4BE5" w:rsidRDefault="007E4BE5" w:rsidP="0039774E">
      <w:pPr>
        <w:pStyle w:val="SingleTxtG"/>
      </w:pPr>
      <w:r>
        <w:rPr>
          <w:lang w:val="fr-FR"/>
        </w:rPr>
        <w:t>Dans le titre de la troisième colonne, modifier la liste des méthodes comme suit</w:t>
      </w:r>
      <w:r w:rsidR="0039774E">
        <w:rPr>
          <w:lang w:val="fr-FR"/>
        </w:rPr>
        <w:t> </w:t>
      </w:r>
      <w:r>
        <w:rPr>
          <w:lang w:val="fr-FR"/>
        </w:rPr>
        <w:t xml:space="preserve">: </w:t>
      </w:r>
      <w:r w:rsidR="0039774E">
        <w:rPr>
          <w:lang w:val="fr-FR"/>
        </w:rPr>
        <w:t>« </w:t>
      </w:r>
      <w:r>
        <w:rPr>
          <w:lang w:val="fr-FR"/>
        </w:rPr>
        <w:t>...méthodes 1, 2, 3, 4 et 5</w:t>
      </w:r>
      <w:r w:rsidR="0039774E">
        <w:rPr>
          <w:lang w:val="fr-FR"/>
        </w:rPr>
        <w:t> »</w:t>
      </w:r>
      <w:r>
        <w:rPr>
          <w:lang w:val="fr-FR"/>
        </w:rPr>
        <w:t>.</w:t>
      </w:r>
    </w:p>
    <w:p w14:paraId="12D0C14A" w14:textId="77777777" w:rsidR="007E4BE5" w:rsidRDefault="007E4BE5" w:rsidP="0039774E">
      <w:pPr>
        <w:pStyle w:val="SingleTxtG"/>
      </w:pPr>
      <w:r>
        <w:rPr>
          <w:lang w:val="fr-FR"/>
        </w:rPr>
        <w:t xml:space="preserve">Dans la ligne pour la catégorie 1, à la troisième cellule du tableau, supprimer </w:t>
      </w:r>
      <w:r w:rsidR="0039774E">
        <w:rPr>
          <w:lang w:val="fr-FR"/>
        </w:rPr>
        <w:t>« </w:t>
      </w:r>
      <w:r>
        <w:rPr>
          <w:lang w:val="fr-FR"/>
        </w:rPr>
        <w:t>et</w:t>
      </w:r>
      <w:r w:rsidR="0039774E">
        <w:rPr>
          <w:lang w:val="fr-FR"/>
        </w:rPr>
        <w:t> »</w:t>
      </w:r>
      <w:r>
        <w:rPr>
          <w:lang w:val="fr-FR"/>
        </w:rPr>
        <w:t xml:space="preserve"> avant 4 et ajouter </w:t>
      </w:r>
      <w:r w:rsidR="0039774E">
        <w:rPr>
          <w:lang w:val="fr-FR"/>
        </w:rPr>
        <w:t>« </w:t>
      </w:r>
      <w:r>
        <w:rPr>
          <w:lang w:val="fr-FR"/>
        </w:rPr>
        <w:t>et 5</w:t>
      </w:r>
      <w:r w:rsidR="0039774E">
        <w:rPr>
          <w:lang w:val="fr-FR"/>
        </w:rPr>
        <w:t> »</w:t>
      </w:r>
      <w:r>
        <w:rPr>
          <w:lang w:val="fr-FR"/>
        </w:rPr>
        <w:t xml:space="preserve"> dans la liste des méthodes avant </w:t>
      </w:r>
      <w:r w:rsidR="0039774E">
        <w:rPr>
          <w:lang w:val="fr-FR"/>
        </w:rPr>
        <w:t>« </w:t>
      </w:r>
      <w:r>
        <w:rPr>
          <w:lang w:val="fr-FR"/>
        </w:rPr>
        <w:t>&lt; 50</w:t>
      </w:r>
      <w:r w:rsidR="0039774E">
        <w:rPr>
          <w:lang w:val="fr-FR"/>
        </w:rPr>
        <w:t> </w:t>
      </w:r>
      <w:r>
        <w:rPr>
          <w:lang w:val="fr-FR"/>
        </w:rPr>
        <w:t>%</w:t>
      </w:r>
      <w:r w:rsidR="0039774E">
        <w:rPr>
          <w:lang w:val="fr-FR"/>
        </w:rPr>
        <w:t> »</w:t>
      </w:r>
      <w:r>
        <w:rPr>
          <w:lang w:val="fr-FR"/>
        </w:rPr>
        <w:t>.</w:t>
      </w:r>
    </w:p>
    <w:p w14:paraId="6D93F871" w14:textId="77777777" w:rsidR="007E4BE5" w:rsidRDefault="007E4BE5" w:rsidP="0039774E">
      <w:pPr>
        <w:pStyle w:val="SingleTxtG"/>
      </w:pPr>
      <w:r>
        <w:rPr>
          <w:lang w:val="fr-FR"/>
        </w:rPr>
        <w:t xml:space="preserve">Dans la ligne pour la catégorie 1A, à la cinquième cellule du tableau, ajouter un </w:t>
      </w:r>
      <w:r w:rsidR="0039774E">
        <w:rPr>
          <w:lang w:val="fr-FR"/>
        </w:rPr>
        <w:t>« </w:t>
      </w:r>
      <w:r>
        <w:rPr>
          <w:lang w:val="fr-FR"/>
        </w:rPr>
        <w:t>s</w:t>
      </w:r>
      <w:r w:rsidR="0039774E">
        <w:rPr>
          <w:lang w:val="fr-FR"/>
        </w:rPr>
        <w:t> »</w:t>
      </w:r>
      <w:r>
        <w:rPr>
          <w:lang w:val="fr-FR"/>
        </w:rPr>
        <w:t xml:space="preserve"> à </w:t>
      </w:r>
      <w:r w:rsidR="0039774E">
        <w:rPr>
          <w:lang w:val="fr-FR"/>
        </w:rPr>
        <w:t>« </w:t>
      </w:r>
      <w:r>
        <w:rPr>
          <w:lang w:val="fr-FR"/>
        </w:rPr>
        <w:t>Méthode</w:t>
      </w:r>
      <w:r w:rsidR="0039774E">
        <w:rPr>
          <w:lang w:val="fr-FR"/>
        </w:rPr>
        <w:t> »</w:t>
      </w:r>
      <w:r>
        <w:rPr>
          <w:lang w:val="fr-FR"/>
        </w:rPr>
        <w:t xml:space="preserve"> et insérer </w:t>
      </w:r>
      <w:r w:rsidR="0039774E">
        <w:rPr>
          <w:lang w:val="fr-FR"/>
        </w:rPr>
        <w:t>« </w:t>
      </w:r>
      <w:r>
        <w:rPr>
          <w:lang w:val="fr-FR"/>
        </w:rPr>
        <w:t>et 5</w:t>
      </w:r>
      <w:r w:rsidR="0039774E">
        <w:rPr>
          <w:lang w:val="fr-FR"/>
        </w:rPr>
        <w:t> »</w:t>
      </w:r>
      <w:r>
        <w:rPr>
          <w:lang w:val="fr-FR"/>
        </w:rPr>
        <w:t xml:space="preserve"> dans la liste des méthodes avant </w:t>
      </w:r>
      <w:r w:rsidR="0039774E">
        <w:rPr>
          <w:lang w:val="fr-FR"/>
        </w:rPr>
        <w:t>« </w:t>
      </w:r>
      <w:r>
        <w:rPr>
          <w:lang w:val="fr-FR"/>
        </w:rPr>
        <w:t>&lt; 15</w:t>
      </w:r>
      <w:r w:rsidR="0039774E">
        <w:rPr>
          <w:lang w:val="fr-FR"/>
        </w:rPr>
        <w:t> </w:t>
      </w:r>
      <w:r>
        <w:rPr>
          <w:lang w:val="fr-FR"/>
        </w:rPr>
        <w:t>%</w:t>
      </w:r>
      <w:r w:rsidR="0039774E">
        <w:rPr>
          <w:lang w:val="fr-FR"/>
        </w:rPr>
        <w:t> »</w:t>
      </w:r>
      <w:r>
        <w:rPr>
          <w:lang w:val="fr-FR"/>
        </w:rPr>
        <w:t>.</w:t>
      </w:r>
    </w:p>
    <w:p w14:paraId="60AEE89B" w14:textId="77777777" w:rsidR="007E4BE5" w:rsidRDefault="007E4BE5" w:rsidP="0039774E">
      <w:pPr>
        <w:pStyle w:val="H1G"/>
      </w:pPr>
      <w:r>
        <w:rPr>
          <w:lang w:val="fr-FR"/>
        </w:rPr>
        <w:tab/>
      </w:r>
      <w:r>
        <w:rPr>
          <w:lang w:val="fr-FR"/>
        </w:rPr>
        <w:tab/>
        <w:t>Chapitre 3.5</w:t>
      </w:r>
    </w:p>
    <w:p w14:paraId="311E6F55" w14:textId="77777777" w:rsidR="007E4BE5" w:rsidRPr="00C26DFC" w:rsidRDefault="007E4BE5" w:rsidP="0039774E">
      <w:pPr>
        <w:pStyle w:val="SingleTxtG"/>
        <w:ind w:left="2268" w:hanging="1134"/>
      </w:pPr>
      <w:r>
        <w:rPr>
          <w:lang w:val="fr-FR"/>
        </w:rPr>
        <w:t>3.5.2.7</w:t>
      </w:r>
      <w:r w:rsidR="0039774E">
        <w:rPr>
          <w:lang w:val="fr-FR"/>
        </w:rPr>
        <w:t> </w:t>
      </w:r>
      <w:r>
        <w:rPr>
          <w:lang w:val="fr-FR"/>
        </w:rPr>
        <w:t>a)</w:t>
      </w:r>
      <w:r>
        <w:rPr>
          <w:lang w:val="fr-FR"/>
        </w:rPr>
        <w:tab/>
        <w:t>À la fin de la liste actuelle, ajouter</w:t>
      </w:r>
      <w:r w:rsidR="0039774E">
        <w:rPr>
          <w:lang w:val="fr-FR"/>
        </w:rPr>
        <w:t> </w:t>
      </w:r>
      <w:r>
        <w:rPr>
          <w:lang w:val="fr-FR"/>
        </w:rPr>
        <w:t>: «</w:t>
      </w:r>
      <w:r w:rsidR="0039774E">
        <w:rPr>
          <w:lang w:val="fr-FR"/>
        </w:rPr>
        <w:t> </w:t>
      </w:r>
      <w:r>
        <w:rPr>
          <w:lang w:val="fr-FR"/>
        </w:rPr>
        <w:t>Essais de mutations génétiques des cellules somatiques et germinales de rongeurs transgéniques (OCDE 488)</w:t>
      </w:r>
      <w:r w:rsidR="0039774E">
        <w:rPr>
          <w:lang w:val="fr-FR"/>
        </w:rPr>
        <w:t> </w:t>
      </w:r>
      <w:r>
        <w:rPr>
          <w:lang w:val="fr-FR"/>
        </w:rPr>
        <w:t>».</w:t>
      </w:r>
    </w:p>
    <w:p w14:paraId="77A1CE5E" w14:textId="77777777" w:rsidR="007E4BE5" w:rsidRDefault="007E4BE5" w:rsidP="0039774E">
      <w:pPr>
        <w:pStyle w:val="SingleTxtG"/>
        <w:keepNext/>
        <w:ind w:left="2268" w:hanging="1134"/>
      </w:pPr>
      <w:r>
        <w:rPr>
          <w:lang w:val="fr-FR"/>
        </w:rPr>
        <w:t>3.5.2.8</w:t>
      </w:r>
      <w:r>
        <w:rPr>
          <w:lang w:val="fr-FR"/>
        </w:rPr>
        <w:tab/>
        <w:t>Ajouter les références suivantes après la phrase introductive, avant les exemples actuels («</w:t>
      </w:r>
      <w:r w:rsidR="0039774E">
        <w:rPr>
          <w:lang w:val="fr-FR"/>
        </w:rPr>
        <w:t> </w:t>
      </w:r>
      <w:r>
        <w:rPr>
          <w:lang w:val="fr-FR"/>
        </w:rPr>
        <w:t>Essai de synthèse...</w:t>
      </w:r>
      <w:r w:rsidR="0039774E">
        <w:rPr>
          <w:lang w:val="fr-FR"/>
        </w:rPr>
        <w:t> </w:t>
      </w:r>
      <w:r>
        <w:rPr>
          <w:lang w:val="fr-FR"/>
        </w:rPr>
        <w:t>»)</w:t>
      </w:r>
      <w:r w:rsidR="0039774E">
        <w:rPr>
          <w:lang w:val="fr-FR"/>
        </w:rPr>
        <w:t> </w:t>
      </w:r>
      <w:r>
        <w:rPr>
          <w:lang w:val="fr-FR"/>
        </w:rPr>
        <w:t>:</w:t>
      </w:r>
    </w:p>
    <w:p w14:paraId="1576D8B9" w14:textId="77777777" w:rsidR="007E4BE5" w:rsidRPr="00307652" w:rsidRDefault="007E4BE5" w:rsidP="0039774E">
      <w:pPr>
        <w:pStyle w:val="SingleTxtG"/>
        <w:ind w:left="2268"/>
      </w:pPr>
      <w:r>
        <w:rPr>
          <w:lang w:val="fr-FR"/>
        </w:rPr>
        <w:tab/>
      </w:r>
      <w:r w:rsidR="0039774E">
        <w:rPr>
          <w:lang w:val="fr-FR"/>
        </w:rPr>
        <w:t>« </w:t>
      </w:r>
      <w:r>
        <w:rPr>
          <w:lang w:val="fr-FR"/>
        </w:rPr>
        <w:t>Test des comètes in vivo en conditions alcalines sur cellules de mammifères (OCDE 489)</w:t>
      </w:r>
    </w:p>
    <w:p w14:paraId="0B64EC54" w14:textId="77777777" w:rsidR="007E4BE5" w:rsidRDefault="007E4BE5" w:rsidP="0039774E">
      <w:pPr>
        <w:pStyle w:val="SingleTxtG"/>
        <w:ind w:left="2268"/>
      </w:pPr>
      <w:r>
        <w:rPr>
          <w:lang w:val="fr-FR"/>
        </w:rPr>
        <w:tab/>
        <w:t>Essais de mutations génétiques des cellules somatiques et germinales de rongeurs transgéniques (OCDE 488)</w:t>
      </w:r>
      <w:r w:rsidR="0039774E">
        <w:rPr>
          <w:lang w:val="fr-FR"/>
        </w:rPr>
        <w:t> »</w:t>
      </w:r>
      <w:r w:rsidR="004363EA">
        <w:rPr>
          <w:lang w:val="fr-FR"/>
        </w:rPr>
        <w:t>.</w:t>
      </w:r>
    </w:p>
    <w:p w14:paraId="39CB120E" w14:textId="77777777" w:rsidR="007E4BE5" w:rsidRDefault="007E4BE5" w:rsidP="0039774E">
      <w:pPr>
        <w:pStyle w:val="SingleTxtG"/>
        <w:ind w:left="2268" w:hanging="1134"/>
      </w:pPr>
      <w:r>
        <w:rPr>
          <w:lang w:val="fr-FR"/>
        </w:rPr>
        <w:t>3.5.2.9</w:t>
      </w:r>
      <w:r>
        <w:rPr>
          <w:lang w:val="fr-FR"/>
        </w:rPr>
        <w:tab/>
        <w:t>Modifier la fin du deuxième exemple comme suit</w:t>
      </w:r>
      <w:r w:rsidR="0039774E">
        <w:rPr>
          <w:lang w:val="fr-FR"/>
        </w:rPr>
        <w:t> </w:t>
      </w:r>
      <w:r>
        <w:rPr>
          <w:lang w:val="fr-FR"/>
        </w:rPr>
        <w:t xml:space="preserve">: </w:t>
      </w:r>
      <w:r w:rsidR="0039774E">
        <w:rPr>
          <w:lang w:val="fr-FR"/>
        </w:rPr>
        <w:t>« </w:t>
      </w:r>
      <w:r>
        <w:rPr>
          <w:lang w:val="fr-FR"/>
        </w:rPr>
        <w:t>OCDE 476 et 490)</w:t>
      </w:r>
      <w:r w:rsidR="0039774E">
        <w:rPr>
          <w:lang w:val="fr-FR"/>
        </w:rPr>
        <w:t> »</w:t>
      </w:r>
      <w:r>
        <w:rPr>
          <w:lang w:val="fr-FR"/>
        </w:rPr>
        <w:t>.</w:t>
      </w:r>
    </w:p>
    <w:p w14:paraId="3E807E20" w14:textId="77777777" w:rsidR="007E4BE5" w:rsidRDefault="007E4BE5" w:rsidP="0039774E">
      <w:pPr>
        <w:pStyle w:val="H1G"/>
      </w:pPr>
      <w:r>
        <w:rPr>
          <w:lang w:val="fr-FR"/>
        </w:rPr>
        <w:tab/>
      </w:r>
      <w:r>
        <w:rPr>
          <w:lang w:val="fr-FR"/>
        </w:rPr>
        <w:tab/>
        <w:t>Annexe 9</w:t>
      </w:r>
    </w:p>
    <w:p w14:paraId="62735FB3" w14:textId="77777777" w:rsidR="007E4BE5" w:rsidRDefault="007E4BE5" w:rsidP="0039774E">
      <w:pPr>
        <w:pStyle w:val="SingleTxtG"/>
        <w:keepNext/>
      </w:pPr>
      <w:r>
        <w:rPr>
          <w:lang w:val="fr-FR"/>
        </w:rPr>
        <w:t>Dans le titre, remplacer «</w:t>
      </w:r>
      <w:r w:rsidR="0039774E">
        <w:rPr>
          <w:lang w:val="fr-FR"/>
        </w:rPr>
        <w:t> </w:t>
      </w:r>
      <w:r>
        <w:rPr>
          <w:lang w:val="fr-FR"/>
        </w:rPr>
        <w:t>AQUATIQUE</w:t>
      </w:r>
      <w:r w:rsidRPr="0039774E">
        <w:rPr>
          <w:sz w:val="18"/>
          <w:szCs w:val="18"/>
          <w:vertAlign w:val="superscript"/>
          <w:lang w:val="fr-FR"/>
        </w:rPr>
        <w:t>1</w:t>
      </w:r>
      <w:r w:rsidR="0039774E" w:rsidRPr="0039774E">
        <w:rPr>
          <w:lang w:val="fr-FR"/>
        </w:rPr>
        <w:t> </w:t>
      </w:r>
      <w:r w:rsidRPr="00A12776">
        <w:rPr>
          <w:lang w:val="fr-FR"/>
        </w:rPr>
        <w:t>»</w:t>
      </w:r>
      <w:r>
        <w:rPr>
          <w:lang w:val="fr-FR"/>
        </w:rPr>
        <w:t xml:space="preserve"> par «</w:t>
      </w:r>
      <w:r w:rsidR="0039774E">
        <w:rPr>
          <w:lang w:val="fr-FR"/>
        </w:rPr>
        <w:t> </w:t>
      </w:r>
      <w:r>
        <w:rPr>
          <w:lang w:val="fr-FR"/>
        </w:rPr>
        <w:t>AQUATIQUE</w:t>
      </w:r>
      <w:r w:rsidRPr="0039774E">
        <w:rPr>
          <w:sz w:val="18"/>
          <w:szCs w:val="18"/>
          <w:vertAlign w:val="superscript"/>
          <w:lang w:val="fr-FR"/>
        </w:rPr>
        <w:t>1,</w:t>
      </w:r>
      <w:r w:rsidR="0039774E" w:rsidRPr="0039774E">
        <w:rPr>
          <w:sz w:val="18"/>
          <w:szCs w:val="18"/>
          <w:vertAlign w:val="superscript"/>
          <w:lang w:val="fr-FR"/>
        </w:rPr>
        <w:t xml:space="preserve"> </w:t>
      </w:r>
      <w:r w:rsidRPr="0039774E">
        <w:rPr>
          <w:sz w:val="18"/>
          <w:szCs w:val="18"/>
          <w:vertAlign w:val="superscript"/>
          <w:lang w:val="fr-FR"/>
        </w:rPr>
        <w:t>2</w:t>
      </w:r>
      <w:r w:rsidR="0039774E" w:rsidRPr="0039774E">
        <w:rPr>
          <w:sz w:val="18"/>
          <w:szCs w:val="18"/>
          <w:lang w:val="fr-FR"/>
        </w:rPr>
        <w:t> </w:t>
      </w:r>
      <w:r>
        <w:rPr>
          <w:lang w:val="fr-FR"/>
        </w:rPr>
        <w:t>» et ajouter la note de bas de page suivante</w:t>
      </w:r>
      <w:r w:rsidR="0039774E">
        <w:rPr>
          <w:lang w:val="fr-FR"/>
        </w:rPr>
        <w:t> </w:t>
      </w:r>
      <w:r>
        <w:rPr>
          <w:lang w:val="fr-FR"/>
        </w:rPr>
        <w:t>:</w:t>
      </w:r>
    </w:p>
    <w:p w14:paraId="7F2B3A34" w14:textId="77777777" w:rsidR="007E4BE5" w:rsidRDefault="007E4BE5" w:rsidP="0039774E">
      <w:pPr>
        <w:pStyle w:val="SingleTxtG"/>
        <w:ind w:left="2268"/>
      </w:pPr>
      <w:r>
        <w:rPr>
          <w:lang w:val="fr-FR"/>
        </w:rPr>
        <w:t>«</w:t>
      </w:r>
      <w:r w:rsidR="0039774E">
        <w:rPr>
          <w:lang w:val="fr-FR"/>
        </w:rPr>
        <w:t> </w:t>
      </w:r>
      <w:r w:rsidRPr="0039774E">
        <w:rPr>
          <w:sz w:val="18"/>
          <w:szCs w:val="18"/>
          <w:vertAlign w:val="superscript"/>
          <w:lang w:val="fr-FR"/>
        </w:rPr>
        <w:t>2</w:t>
      </w:r>
      <w:r w:rsidRPr="0039774E">
        <w:rPr>
          <w:sz w:val="18"/>
          <w:szCs w:val="18"/>
          <w:lang w:val="fr-FR"/>
        </w:rPr>
        <w:tab/>
      </w:r>
      <w:r w:rsidRPr="0039774E">
        <w:rPr>
          <w:i/>
          <w:iCs/>
          <w:sz w:val="18"/>
          <w:szCs w:val="18"/>
          <w:lang w:val="fr-FR"/>
        </w:rPr>
        <w:t>Depuis la publication de ce document en 2001, de nouvelles lignes directrices pour les essais ou documents d’orientation de l’OCDE ont été adoptés, qui constituent une source supplémentaire d’information.</w:t>
      </w:r>
      <w:r w:rsidRPr="0039774E">
        <w:rPr>
          <w:sz w:val="18"/>
          <w:szCs w:val="18"/>
          <w:lang w:val="fr-FR"/>
        </w:rPr>
        <w:t xml:space="preserve"> </w:t>
      </w:r>
      <w:r w:rsidRPr="0039774E">
        <w:rPr>
          <w:i/>
          <w:iCs/>
          <w:sz w:val="18"/>
          <w:szCs w:val="18"/>
          <w:lang w:val="fr-FR"/>
        </w:rPr>
        <w:t>Des notes de bas de page sont incluses dans la présente annexe à cet effet.</w:t>
      </w:r>
      <w:r w:rsidR="0039774E">
        <w:rPr>
          <w:i/>
          <w:iCs/>
          <w:sz w:val="18"/>
          <w:szCs w:val="18"/>
          <w:lang w:val="fr-FR"/>
        </w:rPr>
        <w:t> </w:t>
      </w:r>
      <w:r w:rsidRPr="0039774E">
        <w:rPr>
          <w:iCs/>
          <w:lang w:val="fr-FR"/>
        </w:rPr>
        <w:t>»</w:t>
      </w:r>
      <w:r w:rsidR="0039774E">
        <w:rPr>
          <w:iCs/>
          <w:lang w:val="fr-FR"/>
        </w:rPr>
        <w:t>.</w:t>
      </w:r>
    </w:p>
    <w:p w14:paraId="3864D779" w14:textId="77777777" w:rsidR="007E4BE5" w:rsidRDefault="007E4BE5" w:rsidP="0039774E">
      <w:pPr>
        <w:pStyle w:val="SingleTxtG"/>
        <w:keepNext/>
        <w:ind w:left="2268" w:hanging="1134"/>
      </w:pPr>
      <w:r>
        <w:rPr>
          <w:lang w:val="fr-FR"/>
        </w:rPr>
        <w:t>A9.3.2.2</w:t>
      </w:r>
      <w:r>
        <w:rPr>
          <w:lang w:val="fr-FR"/>
        </w:rPr>
        <w:tab/>
        <w:t>Remplacer «</w:t>
      </w:r>
      <w:r w:rsidR="0039774E">
        <w:rPr>
          <w:lang w:val="fr-FR"/>
        </w:rPr>
        <w:t> </w:t>
      </w:r>
      <w:r>
        <w:rPr>
          <w:lang w:val="fr-FR"/>
        </w:rPr>
        <w:t>(OCDE, 1998)</w:t>
      </w:r>
      <w:r w:rsidR="0039774E">
        <w:rPr>
          <w:lang w:val="fr-FR"/>
        </w:rPr>
        <w:t> </w:t>
      </w:r>
      <w:r>
        <w:rPr>
          <w:lang w:val="fr-FR"/>
        </w:rPr>
        <w:t>:</w:t>
      </w:r>
      <w:r w:rsidR="0039774E">
        <w:rPr>
          <w:lang w:val="fr-FR"/>
        </w:rPr>
        <w:t> </w:t>
      </w:r>
      <w:r>
        <w:rPr>
          <w:lang w:val="fr-FR"/>
        </w:rPr>
        <w:t>» par «</w:t>
      </w:r>
      <w:r w:rsidR="0039774E">
        <w:rPr>
          <w:lang w:val="fr-FR"/>
        </w:rPr>
        <w:t> </w:t>
      </w:r>
      <w:r>
        <w:rPr>
          <w:lang w:val="fr-FR"/>
        </w:rPr>
        <w:t>(OCDE, 1998)</w:t>
      </w:r>
      <w:r w:rsidRPr="0039774E">
        <w:rPr>
          <w:sz w:val="18"/>
          <w:szCs w:val="18"/>
          <w:vertAlign w:val="superscript"/>
          <w:lang w:val="fr-FR"/>
        </w:rPr>
        <w:t>3</w:t>
      </w:r>
      <w:r w:rsidR="0039774E">
        <w:rPr>
          <w:vertAlign w:val="superscript"/>
          <w:lang w:val="fr-FR"/>
        </w:rPr>
        <w:t> </w:t>
      </w:r>
      <w:r>
        <w:rPr>
          <w:lang w:val="fr-FR"/>
        </w:rPr>
        <w:t>:</w:t>
      </w:r>
      <w:r w:rsidR="0039774E">
        <w:rPr>
          <w:lang w:val="fr-FR"/>
        </w:rPr>
        <w:t> </w:t>
      </w:r>
      <w:r>
        <w:rPr>
          <w:lang w:val="fr-FR"/>
        </w:rPr>
        <w:t>» et ajouter la note de bas de page suivante</w:t>
      </w:r>
      <w:r w:rsidR="0039774E">
        <w:rPr>
          <w:lang w:val="fr-FR"/>
        </w:rPr>
        <w:t> </w:t>
      </w:r>
      <w:r>
        <w:rPr>
          <w:lang w:val="fr-FR"/>
        </w:rPr>
        <w:t xml:space="preserve">: </w:t>
      </w:r>
    </w:p>
    <w:p w14:paraId="0FAB1D18" w14:textId="77777777" w:rsidR="007E4BE5" w:rsidRPr="00512C82" w:rsidRDefault="007E4BE5" w:rsidP="0039774E">
      <w:pPr>
        <w:pStyle w:val="SingleTxtG"/>
        <w:ind w:left="2268"/>
        <w:rPr>
          <w:lang w:val="en-US"/>
        </w:rPr>
      </w:pPr>
      <w:r>
        <w:rPr>
          <w:lang w:val="fr-FR"/>
        </w:rPr>
        <w:tab/>
        <w:t>«</w:t>
      </w:r>
      <w:r w:rsidR="0039774E">
        <w:rPr>
          <w:lang w:val="fr-FR"/>
        </w:rPr>
        <w:t> </w:t>
      </w:r>
      <w:r w:rsidRPr="0039774E">
        <w:rPr>
          <w:sz w:val="18"/>
          <w:szCs w:val="18"/>
          <w:vertAlign w:val="superscript"/>
          <w:lang w:val="fr-FR"/>
        </w:rPr>
        <w:t>3</w:t>
      </w:r>
      <w:r w:rsidRPr="0039774E">
        <w:rPr>
          <w:sz w:val="18"/>
          <w:szCs w:val="18"/>
          <w:lang w:val="fr-FR"/>
        </w:rPr>
        <w:tab/>
      </w:r>
      <w:r w:rsidRPr="0039774E">
        <w:rPr>
          <w:i/>
          <w:iCs/>
          <w:sz w:val="18"/>
          <w:szCs w:val="18"/>
          <w:lang w:val="fr-FR"/>
        </w:rPr>
        <w:t>Référence mise à jour</w:t>
      </w:r>
      <w:r w:rsidR="0039774E">
        <w:rPr>
          <w:i/>
          <w:iCs/>
          <w:sz w:val="18"/>
          <w:szCs w:val="18"/>
          <w:lang w:val="fr-FR"/>
        </w:rPr>
        <w:t> </w:t>
      </w:r>
      <w:r w:rsidRPr="0039774E">
        <w:rPr>
          <w:i/>
          <w:iCs/>
          <w:sz w:val="18"/>
          <w:szCs w:val="18"/>
          <w:lang w:val="fr-FR"/>
        </w:rPr>
        <w:t>: OCDE (2001).</w:t>
      </w:r>
      <w:r w:rsidRPr="0039774E">
        <w:rPr>
          <w:sz w:val="18"/>
          <w:szCs w:val="18"/>
          <w:lang w:val="fr-FR"/>
        </w:rPr>
        <w:t xml:space="preserve"> </w:t>
      </w:r>
      <w:r w:rsidRPr="0039774E">
        <w:rPr>
          <w:i/>
          <w:iCs/>
          <w:sz w:val="18"/>
          <w:szCs w:val="18"/>
          <w:lang w:val="en-US"/>
        </w:rPr>
        <w:t>Harmonized integrated hazard classification system for human health and environmental effects of chemical substances and mixtures,</w:t>
      </w:r>
      <w:r w:rsidRPr="0039774E">
        <w:rPr>
          <w:sz w:val="18"/>
          <w:szCs w:val="18"/>
          <w:lang w:val="en-US"/>
        </w:rPr>
        <w:t xml:space="preserve"> </w:t>
      </w:r>
      <w:r w:rsidRPr="0039774E">
        <w:rPr>
          <w:i/>
          <w:iCs/>
          <w:sz w:val="18"/>
          <w:szCs w:val="18"/>
          <w:lang w:val="en-US"/>
        </w:rPr>
        <w:t>Série sur les essais et évaluations n</w:t>
      </w:r>
      <w:r w:rsidRPr="0039774E">
        <w:rPr>
          <w:i/>
          <w:iCs/>
          <w:sz w:val="18"/>
          <w:szCs w:val="18"/>
          <w:vertAlign w:val="superscript"/>
          <w:lang w:val="en-US"/>
        </w:rPr>
        <w:t>o</w:t>
      </w:r>
      <w:r w:rsidRPr="0039774E">
        <w:rPr>
          <w:i/>
          <w:iCs/>
          <w:sz w:val="18"/>
          <w:szCs w:val="18"/>
          <w:lang w:val="en-US"/>
        </w:rPr>
        <w:t> 33, OCDE, Paris.</w:t>
      </w:r>
      <w:r w:rsidR="0039774E">
        <w:rPr>
          <w:i/>
          <w:iCs/>
          <w:sz w:val="18"/>
          <w:szCs w:val="18"/>
          <w:lang w:val="en-US"/>
        </w:rPr>
        <w:t> </w:t>
      </w:r>
      <w:r w:rsidRPr="0039774E">
        <w:rPr>
          <w:iCs/>
          <w:lang w:val="en-US"/>
        </w:rPr>
        <w:t>».</w:t>
      </w:r>
    </w:p>
    <w:p w14:paraId="3287D6EB" w14:textId="77777777" w:rsidR="007E4BE5" w:rsidRDefault="007E4BE5" w:rsidP="0039774E">
      <w:pPr>
        <w:pStyle w:val="SingleTxtG"/>
        <w:keepNext/>
        <w:ind w:left="2268" w:hanging="1134"/>
      </w:pPr>
      <w:r>
        <w:rPr>
          <w:lang w:val="fr-FR"/>
        </w:rPr>
        <w:t>A9.3.2.7.2</w:t>
      </w:r>
      <w:r>
        <w:rPr>
          <w:lang w:val="fr-FR"/>
        </w:rPr>
        <w:tab/>
        <w:t xml:space="preserve">Remplacer </w:t>
      </w:r>
      <w:r w:rsidR="0039774E">
        <w:rPr>
          <w:lang w:val="fr-FR"/>
        </w:rPr>
        <w:t>« </w:t>
      </w:r>
      <w:r>
        <w:rPr>
          <w:lang w:val="fr-FR"/>
        </w:rPr>
        <w:t>(en préparation)</w:t>
      </w:r>
      <w:r w:rsidR="0039774E">
        <w:rPr>
          <w:lang w:val="fr-FR"/>
        </w:rPr>
        <w:t> »</w:t>
      </w:r>
      <w:r>
        <w:rPr>
          <w:lang w:val="fr-FR"/>
        </w:rPr>
        <w:t xml:space="preserve"> par </w:t>
      </w:r>
      <w:r w:rsidR="0039774E">
        <w:rPr>
          <w:lang w:val="fr-FR"/>
        </w:rPr>
        <w:t>« </w:t>
      </w:r>
      <w:r>
        <w:rPr>
          <w:lang w:val="fr-FR"/>
        </w:rPr>
        <w:t>(en préparation)</w:t>
      </w:r>
      <w:r w:rsidRPr="0039774E">
        <w:rPr>
          <w:sz w:val="18"/>
          <w:szCs w:val="18"/>
          <w:vertAlign w:val="superscript"/>
          <w:lang w:val="fr-FR"/>
        </w:rPr>
        <w:t>4</w:t>
      </w:r>
      <w:r w:rsidR="0039774E">
        <w:rPr>
          <w:lang w:val="fr-FR"/>
        </w:rPr>
        <w:t> »</w:t>
      </w:r>
      <w:r>
        <w:rPr>
          <w:lang w:val="fr-FR"/>
        </w:rPr>
        <w:t xml:space="preserve"> et ajouter la note de bas de page suivante</w:t>
      </w:r>
      <w:r w:rsidR="0039774E">
        <w:rPr>
          <w:lang w:val="fr-FR"/>
        </w:rPr>
        <w:t> </w:t>
      </w:r>
      <w:r>
        <w:rPr>
          <w:lang w:val="fr-FR"/>
        </w:rPr>
        <w:t>:</w:t>
      </w:r>
    </w:p>
    <w:p w14:paraId="204CCDDD" w14:textId="77777777" w:rsidR="007E4BE5" w:rsidRDefault="007E4BE5" w:rsidP="0039774E">
      <w:pPr>
        <w:pStyle w:val="SingleTxtG"/>
        <w:ind w:left="2268"/>
        <w:rPr>
          <w:rFonts w:asciiTheme="majorBidi" w:hAnsiTheme="majorBidi" w:cstheme="majorBidi"/>
          <w:i/>
        </w:rPr>
      </w:pPr>
      <w:r>
        <w:rPr>
          <w:lang w:val="fr-FR"/>
        </w:rPr>
        <w:t>«</w:t>
      </w:r>
      <w:r w:rsidR="0039774E">
        <w:rPr>
          <w:lang w:val="fr-FR"/>
        </w:rPr>
        <w:t> </w:t>
      </w:r>
      <w:r w:rsidRPr="0039774E">
        <w:rPr>
          <w:sz w:val="18"/>
          <w:szCs w:val="18"/>
          <w:vertAlign w:val="superscript"/>
          <w:lang w:val="fr-FR"/>
        </w:rPr>
        <w:t>4</w:t>
      </w:r>
      <w:r w:rsidRPr="0039774E">
        <w:rPr>
          <w:sz w:val="18"/>
          <w:szCs w:val="18"/>
          <w:lang w:val="fr-FR"/>
        </w:rPr>
        <w:tab/>
      </w:r>
      <w:r w:rsidRPr="0039774E">
        <w:rPr>
          <w:i/>
          <w:iCs/>
          <w:sz w:val="18"/>
          <w:szCs w:val="18"/>
          <w:lang w:val="fr-FR"/>
        </w:rPr>
        <w:t>Publiée.</w:t>
      </w:r>
      <w:r w:rsidRPr="0039774E">
        <w:rPr>
          <w:sz w:val="18"/>
          <w:szCs w:val="18"/>
          <w:lang w:val="fr-FR"/>
        </w:rPr>
        <w:t xml:space="preserve"> </w:t>
      </w:r>
      <w:r w:rsidRPr="0039774E">
        <w:rPr>
          <w:i/>
          <w:iCs/>
          <w:sz w:val="18"/>
          <w:szCs w:val="18"/>
          <w:lang w:val="fr-FR"/>
        </w:rPr>
        <w:t>Ligne directrice pour les essais de l’OCDE n</w:t>
      </w:r>
      <w:r w:rsidRPr="000B458C">
        <w:rPr>
          <w:i/>
          <w:iCs/>
          <w:sz w:val="18"/>
          <w:szCs w:val="18"/>
          <w:vertAlign w:val="superscript"/>
          <w:lang w:val="fr-FR"/>
        </w:rPr>
        <w:t>o</w:t>
      </w:r>
      <w:r w:rsidR="000B458C">
        <w:rPr>
          <w:i/>
          <w:iCs/>
          <w:sz w:val="18"/>
          <w:szCs w:val="18"/>
          <w:lang w:val="fr-FR"/>
        </w:rPr>
        <w:t> </w:t>
      </w:r>
      <w:r w:rsidRPr="0039774E">
        <w:rPr>
          <w:i/>
          <w:iCs/>
          <w:sz w:val="18"/>
          <w:szCs w:val="18"/>
          <w:lang w:val="fr-FR"/>
        </w:rPr>
        <w:t>221</w:t>
      </w:r>
      <w:r w:rsidR="000B458C">
        <w:rPr>
          <w:i/>
          <w:iCs/>
          <w:sz w:val="18"/>
          <w:szCs w:val="18"/>
          <w:lang w:val="fr-FR"/>
        </w:rPr>
        <w:t> </w:t>
      </w:r>
      <w:r w:rsidRPr="0039774E">
        <w:rPr>
          <w:i/>
          <w:iCs/>
          <w:sz w:val="18"/>
          <w:szCs w:val="18"/>
          <w:lang w:val="fr-FR"/>
        </w:rPr>
        <w:t>: Lemna sp.</w:t>
      </w:r>
      <w:r w:rsidRPr="0039774E">
        <w:rPr>
          <w:sz w:val="18"/>
          <w:szCs w:val="18"/>
          <w:lang w:val="fr-FR"/>
        </w:rPr>
        <w:t xml:space="preserve"> </w:t>
      </w:r>
      <w:r w:rsidRPr="0039774E">
        <w:rPr>
          <w:i/>
          <w:iCs/>
          <w:sz w:val="18"/>
          <w:szCs w:val="18"/>
          <w:lang w:val="fr-FR"/>
        </w:rPr>
        <w:t>Essais d’inhibition de la croissance</w:t>
      </w:r>
      <w:r w:rsidR="004363EA">
        <w:rPr>
          <w:i/>
          <w:iCs/>
          <w:sz w:val="18"/>
          <w:szCs w:val="18"/>
          <w:lang w:val="fr-FR"/>
        </w:rPr>
        <w:t>.</w:t>
      </w:r>
      <w:r w:rsidR="000B458C">
        <w:rPr>
          <w:i/>
          <w:iCs/>
          <w:sz w:val="18"/>
          <w:szCs w:val="18"/>
          <w:lang w:val="fr-FR"/>
        </w:rPr>
        <w:t> </w:t>
      </w:r>
      <w:r w:rsidRPr="000B458C">
        <w:rPr>
          <w:iCs/>
          <w:lang w:val="fr-FR"/>
        </w:rPr>
        <w:t>»</w:t>
      </w:r>
      <w:r>
        <w:rPr>
          <w:i/>
          <w:iCs/>
          <w:lang w:val="fr-FR"/>
        </w:rPr>
        <w:t>.</w:t>
      </w:r>
    </w:p>
    <w:p w14:paraId="3D825E9E" w14:textId="77777777" w:rsidR="007E4BE5" w:rsidRDefault="007E4BE5" w:rsidP="000B458C">
      <w:pPr>
        <w:pStyle w:val="SingleTxtG"/>
        <w:keepNext/>
        <w:ind w:left="2268" w:hanging="1134"/>
      </w:pPr>
      <w:r>
        <w:rPr>
          <w:lang w:val="fr-FR"/>
        </w:rPr>
        <w:t>A9.3.5.1</w:t>
      </w:r>
      <w:r>
        <w:rPr>
          <w:lang w:val="fr-FR"/>
        </w:rPr>
        <w:tab/>
        <w:t xml:space="preserve">Remplacer </w:t>
      </w:r>
      <w:r w:rsidR="000B458C">
        <w:rPr>
          <w:lang w:val="fr-FR"/>
        </w:rPr>
        <w:t>« </w:t>
      </w:r>
      <w:r>
        <w:rPr>
          <w:lang w:val="fr-FR"/>
        </w:rPr>
        <w:t>(OCDE, 2000)</w:t>
      </w:r>
      <w:r w:rsidR="000B458C">
        <w:rPr>
          <w:lang w:val="fr-FR"/>
        </w:rPr>
        <w:t> »</w:t>
      </w:r>
      <w:r>
        <w:rPr>
          <w:lang w:val="fr-FR"/>
        </w:rPr>
        <w:t xml:space="preserve"> par </w:t>
      </w:r>
      <w:r w:rsidR="000B458C">
        <w:rPr>
          <w:lang w:val="fr-FR"/>
        </w:rPr>
        <w:t>« </w:t>
      </w:r>
      <w:r>
        <w:rPr>
          <w:lang w:val="fr-FR"/>
        </w:rPr>
        <w:t>(OCDE, 2000)</w:t>
      </w:r>
      <w:r w:rsidRPr="000B458C">
        <w:rPr>
          <w:sz w:val="18"/>
          <w:szCs w:val="18"/>
          <w:vertAlign w:val="superscript"/>
          <w:lang w:val="fr-FR"/>
        </w:rPr>
        <w:t>5</w:t>
      </w:r>
      <w:r w:rsidR="000B458C">
        <w:rPr>
          <w:lang w:val="fr-FR"/>
        </w:rPr>
        <w:t> »</w:t>
      </w:r>
      <w:r>
        <w:rPr>
          <w:lang w:val="fr-FR"/>
        </w:rPr>
        <w:t xml:space="preserve"> et ajouter la note de bas de page suivante</w:t>
      </w:r>
      <w:r w:rsidR="000B458C">
        <w:rPr>
          <w:lang w:val="fr-FR"/>
        </w:rPr>
        <w:t> </w:t>
      </w:r>
      <w:r>
        <w:rPr>
          <w:lang w:val="fr-FR"/>
        </w:rPr>
        <w:t>:</w:t>
      </w:r>
    </w:p>
    <w:p w14:paraId="4D74AA3D" w14:textId="77777777" w:rsidR="007E4BE5" w:rsidRPr="00E87D07" w:rsidRDefault="007E4BE5" w:rsidP="000B458C">
      <w:pPr>
        <w:pStyle w:val="SingleTxtG"/>
        <w:ind w:left="2268"/>
        <w:rPr>
          <w:rFonts w:asciiTheme="majorBidi" w:hAnsiTheme="majorBidi" w:cstheme="majorBidi"/>
          <w:i/>
          <w:lang w:val="fr-FR"/>
        </w:rPr>
      </w:pPr>
      <w:r>
        <w:rPr>
          <w:lang w:val="fr-FR"/>
        </w:rPr>
        <w:tab/>
        <w:t>«</w:t>
      </w:r>
      <w:r w:rsidR="000B458C">
        <w:rPr>
          <w:lang w:val="fr-FR"/>
        </w:rPr>
        <w:t> </w:t>
      </w:r>
      <w:r w:rsidRPr="000B458C">
        <w:rPr>
          <w:sz w:val="18"/>
          <w:szCs w:val="18"/>
          <w:vertAlign w:val="superscript"/>
          <w:lang w:val="fr-FR"/>
        </w:rPr>
        <w:t>5</w:t>
      </w:r>
      <w:r w:rsidRPr="000B458C">
        <w:rPr>
          <w:sz w:val="18"/>
          <w:szCs w:val="18"/>
          <w:lang w:val="fr-FR"/>
        </w:rPr>
        <w:tab/>
      </w:r>
      <w:r w:rsidRPr="000B458C">
        <w:rPr>
          <w:i/>
          <w:iCs/>
          <w:sz w:val="18"/>
          <w:szCs w:val="18"/>
          <w:lang w:val="fr-FR"/>
        </w:rPr>
        <w:t>Document guide mis à jour</w:t>
      </w:r>
      <w:r w:rsidR="000B458C">
        <w:rPr>
          <w:i/>
          <w:iCs/>
          <w:sz w:val="18"/>
          <w:szCs w:val="18"/>
          <w:lang w:val="fr-FR"/>
        </w:rPr>
        <w:t> </w:t>
      </w:r>
      <w:r w:rsidRPr="000B458C">
        <w:rPr>
          <w:i/>
          <w:iCs/>
          <w:sz w:val="18"/>
          <w:szCs w:val="18"/>
          <w:lang w:val="fr-FR"/>
        </w:rPr>
        <w:t>: OCDE 2019.</w:t>
      </w:r>
      <w:r w:rsidRPr="000B458C">
        <w:rPr>
          <w:sz w:val="18"/>
          <w:szCs w:val="18"/>
          <w:lang w:val="fr-FR"/>
        </w:rPr>
        <w:t xml:space="preserve"> </w:t>
      </w:r>
      <w:r w:rsidRPr="000B458C">
        <w:rPr>
          <w:i/>
          <w:iCs/>
          <w:sz w:val="18"/>
          <w:szCs w:val="18"/>
          <w:lang w:val="fr-FR"/>
        </w:rPr>
        <w:t>Guidance Document on Aqueous-Phase Aquatic Toxicity Testing of Difficult Test Chemicals, Série sur les essais et évaluations</w:t>
      </w:r>
      <w:r w:rsidRPr="000B458C" w:rsidDel="00DE5E3A">
        <w:rPr>
          <w:i/>
          <w:iCs/>
          <w:sz w:val="18"/>
          <w:szCs w:val="18"/>
          <w:lang w:val="fr-FR"/>
        </w:rPr>
        <w:t xml:space="preserve"> </w:t>
      </w:r>
      <w:r w:rsidRPr="000B458C">
        <w:rPr>
          <w:i/>
          <w:iCs/>
          <w:sz w:val="18"/>
          <w:szCs w:val="18"/>
          <w:lang w:val="fr-FR"/>
        </w:rPr>
        <w:t>n</w:t>
      </w:r>
      <w:r w:rsidRPr="000B458C">
        <w:rPr>
          <w:i/>
          <w:iCs/>
          <w:sz w:val="18"/>
          <w:szCs w:val="18"/>
          <w:vertAlign w:val="superscript"/>
          <w:lang w:val="fr-FR"/>
        </w:rPr>
        <w:t>o</w:t>
      </w:r>
      <w:r w:rsidRPr="000B458C">
        <w:rPr>
          <w:i/>
          <w:iCs/>
          <w:sz w:val="18"/>
          <w:szCs w:val="18"/>
          <w:lang w:val="fr-FR"/>
        </w:rPr>
        <w:t xml:space="preserve"> 23(deuxième édition), </w:t>
      </w:r>
      <w:r w:rsidR="004363EA">
        <w:rPr>
          <w:i/>
          <w:iCs/>
          <w:sz w:val="18"/>
          <w:szCs w:val="18"/>
          <w:lang w:val="fr-FR"/>
        </w:rPr>
        <w:t>OCDE</w:t>
      </w:r>
      <w:r w:rsidRPr="000B458C">
        <w:rPr>
          <w:i/>
          <w:iCs/>
          <w:sz w:val="18"/>
          <w:szCs w:val="18"/>
          <w:lang w:val="fr-FR"/>
        </w:rPr>
        <w:t>, Paris</w:t>
      </w:r>
      <w:proofErr w:type="gramStart"/>
      <w:r w:rsidRPr="00E87D07">
        <w:rPr>
          <w:i/>
          <w:iCs/>
          <w:lang w:val="fr-FR"/>
        </w:rPr>
        <w:t>.</w:t>
      </w:r>
      <w:r w:rsidRPr="000B458C">
        <w:rPr>
          <w:iCs/>
          <w:lang w:val="fr-FR"/>
        </w:rPr>
        <w:t>»</w:t>
      </w:r>
      <w:proofErr w:type="gramEnd"/>
      <w:r w:rsidR="000B458C">
        <w:rPr>
          <w:iCs/>
          <w:lang w:val="fr-FR"/>
        </w:rPr>
        <w:t>.</w:t>
      </w:r>
    </w:p>
    <w:p w14:paraId="0FB3D402" w14:textId="77777777" w:rsidR="007E4BE5" w:rsidRDefault="007E4BE5" w:rsidP="00743423">
      <w:pPr>
        <w:pStyle w:val="SingleTxtG"/>
        <w:keepNext/>
        <w:ind w:left="2268" w:hanging="1134"/>
      </w:pPr>
      <w:r>
        <w:rPr>
          <w:lang w:val="fr-FR"/>
        </w:rPr>
        <w:lastRenderedPageBreak/>
        <w:t>A9.3.5.2</w:t>
      </w:r>
      <w:r>
        <w:rPr>
          <w:lang w:val="fr-FR"/>
        </w:rPr>
        <w:tab/>
        <w:t xml:space="preserve">Dans la dernière phrase du paragraphe introductif, remplacer </w:t>
      </w:r>
      <w:r w:rsidR="00263F0D">
        <w:rPr>
          <w:lang w:val="fr-FR"/>
        </w:rPr>
        <w:t>« </w:t>
      </w:r>
      <w:r>
        <w:rPr>
          <w:lang w:val="fr-FR"/>
        </w:rPr>
        <w:t>substances et mélanges difficiles</w:t>
      </w:r>
      <w:r w:rsidR="00263F0D">
        <w:rPr>
          <w:lang w:val="fr-FR"/>
        </w:rPr>
        <w:t> »</w:t>
      </w:r>
      <w:r>
        <w:rPr>
          <w:lang w:val="fr-FR"/>
        </w:rPr>
        <w:t xml:space="preserve"> par </w:t>
      </w:r>
      <w:r w:rsidR="00263F0D">
        <w:rPr>
          <w:lang w:val="fr-FR"/>
        </w:rPr>
        <w:t>« </w:t>
      </w:r>
      <w:r>
        <w:rPr>
          <w:lang w:val="fr-FR"/>
        </w:rPr>
        <w:t>substances et mélanges difficiles</w:t>
      </w:r>
      <w:r w:rsidRPr="00263F0D">
        <w:rPr>
          <w:sz w:val="18"/>
          <w:szCs w:val="18"/>
          <w:vertAlign w:val="superscript"/>
          <w:lang w:val="fr-FR"/>
        </w:rPr>
        <w:t>6</w:t>
      </w:r>
      <w:r w:rsidR="00263F0D">
        <w:rPr>
          <w:lang w:val="fr-FR"/>
        </w:rPr>
        <w:t> »</w:t>
      </w:r>
      <w:r>
        <w:rPr>
          <w:lang w:val="fr-FR"/>
        </w:rPr>
        <w:t xml:space="preserve"> et ajouter la note de bas de page suivante</w:t>
      </w:r>
      <w:r w:rsidR="00263F0D">
        <w:rPr>
          <w:lang w:val="fr-FR"/>
        </w:rPr>
        <w:t> </w:t>
      </w:r>
      <w:r>
        <w:rPr>
          <w:lang w:val="fr-FR"/>
        </w:rPr>
        <w:t>:</w:t>
      </w:r>
    </w:p>
    <w:p w14:paraId="00D90F25" w14:textId="77777777" w:rsidR="007E4BE5" w:rsidRPr="00972037" w:rsidRDefault="007E4BE5" w:rsidP="00743423">
      <w:pPr>
        <w:pStyle w:val="SingleTxtG"/>
        <w:ind w:left="2268"/>
        <w:rPr>
          <w:rFonts w:asciiTheme="majorBidi" w:hAnsiTheme="majorBidi" w:cstheme="majorBidi"/>
        </w:rPr>
      </w:pPr>
      <w:r>
        <w:rPr>
          <w:lang w:val="fr-FR"/>
        </w:rPr>
        <w:tab/>
        <w:t>«</w:t>
      </w:r>
      <w:r w:rsidR="00263F0D">
        <w:rPr>
          <w:lang w:val="fr-FR"/>
        </w:rPr>
        <w:t> </w:t>
      </w:r>
      <w:r w:rsidRPr="00263F0D">
        <w:rPr>
          <w:sz w:val="18"/>
          <w:szCs w:val="18"/>
          <w:vertAlign w:val="superscript"/>
          <w:lang w:val="fr-FR"/>
        </w:rPr>
        <w:t>6</w:t>
      </w:r>
      <w:r w:rsidRPr="00263F0D">
        <w:rPr>
          <w:sz w:val="18"/>
          <w:szCs w:val="18"/>
          <w:lang w:val="fr-FR"/>
        </w:rPr>
        <w:tab/>
      </w:r>
      <w:r w:rsidRPr="00263F0D">
        <w:rPr>
          <w:i/>
          <w:iCs/>
          <w:sz w:val="18"/>
          <w:szCs w:val="18"/>
          <w:lang w:val="fr-FR"/>
        </w:rPr>
        <w:t>Document guide mis à jour disponible dans OCDE 2019 ci-dessus.</w:t>
      </w:r>
      <w:r w:rsidR="00263F0D">
        <w:rPr>
          <w:i/>
          <w:iCs/>
          <w:sz w:val="18"/>
          <w:szCs w:val="18"/>
          <w:lang w:val="fr-FR"/>
        </w:rPr>
        <w:t> </w:t>
      </w:r>
      <w:r w:rsidRPr="00263F0D">
        <w:rPr>
          <w:iCs/>
          <w:lang w:val="fr-FR"/>
        </w:rPr>
        <w:t>»</w:t>
      </w:r>
      <w:r w:rsidR="00263F0D">
        <w:rPr>
          <w:iCs/>
          <w:lang w:val="fr-FR"/>
        </w:rPr>
        <w:t>.</w:t>
      </w:r>
    </w:p>
    <w:p w14:paraId="2226BDAF" w14:textId="77777777" w:rsidR="007E4BE5" w:rsidRDefault="007E4BE5" w:rsidP="00743423">
      <w:pPr>
        <w:pStyle w:val="SingleTxtG"/>
        <w:keepNext/>
        <w:ind w:left="2268" w:hanging="1134"/>
        <w:rPr>
          <w:rFonts w:asciiTheme="majorBidi" w:hAnsiTheme="majorBidi" w:cstheme="majorBidi"/>
        </w:rPr>
      </w:pPr>
      <w:r>
        <w:rPr>
          <w:lang w:val="fr-FR"/>
        </w:rPr>
        <w:t>A9.4.2.4.8</w:t>
      </w:r>
      <w:r>
        <w:rPr>
          <w:lang w:val="fr-FR"/>
        </w:rPr>
        <w:tab/>
      </w:r>
      <w:r>
        <w:rPr>
          <w:i/>
          <w:iCs/>
          <w:lang w:val="fr-FR"/>
        </w:rPr>
        <w:t>Amendement corollaire</w:t>
      </w:r>
      <w:r w:rsidR="008D05AF">
        <w:rPr>
          <w:i/>
          <w:iCs/>
          <w:lang w:val="fr-FR"/>
        </w:rPr>
        <w:t> </w:t>
      </w:r>
      <w:r>
        <w:rPr>
          <w:lang w:val="fr-FR"/>
        </w:rPr>
        <w:t xml:space="preserve">: La note de bas de page </w:t>
      </w:r>
      <w:r w:rsidR="00263F0D">
        <w:rPr>
          <w:lang w:val="fr-FR"/>
        </w:rPr>
        <w:t>« </w:t>
      </w:r>
      <w:r>
        <w:rPr>
          <w:lang w:val="fr-FR"/>
        </w:rPr>
        <w:t>2</w:t>
      </w:r>
      <w:r w:rsidR="00263F0D">
        <w:rPr>
          <w:lang w:val="fr-FR"/>
        </w:rPr>
        <w:t> »</w:t>
      </w:r>
      <w:r>
        <w:rPr>
          <w:lang w:val="fr-FR"/>
        </w:rPr>
        <w:t xml:space="preserve"> devient la note de bas de page </w:t>
      </w:r>
      <w:r w:rsidR="00263F0D">
        <w:rPr>
          <w:lang w:val="fr-FR"/>
        </w:rPr>
        <w:t>« </w:t>
      </w:r>
      <w:r>
        <w:rPr>
          <w:lang w:val="fr-FR"/>
        </w:rPr>
        <w:t>7</w:t>
      </w:r>
      <w:r w:rsidR="00263F0D">
        <w:rPr>
          <w:lang w:val="fr-FR"/>
        </w:rPr>
        <w:t> »</w:t>
      </w:r>
      <w:r>
        <w:rPr>
          <w:lang w:val="fr-FR"/>
        </w:rPr>
        <w:t>.</w:t>
      </w:r>
    </w:p>
    <w:p w14:paraId="4347A1BD" w14:textId="77777777" w:rsidR="007E4BE5" w:rsidRDefault="007E4BE5" w:rsidP="00743423">
      <w:pPr>
        <w:pStyle w:val="SingleTxtG"/>
        <w:keepNext/>
        <w:ind w:left="2268" w:hanging="1134"/>
      </w:pPr>
      <w:r>
        <w:rPr>
          <w:lang w:val="fr-FR"/>
        </w:rPr>
        <w:t>A9.4.2.4.9</w:t>
      </w:r>
      <w:r>
        <w:rPr>
          <w:lang w:val="fr-FR"/>
        </w:rPr>
        <w:tab/>
        <w:t xml:space="preserve">Remplacer </w:t>
      </w:r>
      <w:r w:rsidR="00263F0D">
        <w:rPr>
          <w:lang w:val="fr-FR"/>
        </w:rPr>
        <w:t>« </w:t>
      </w:r>
      <w:r>
        <w:rPr>
          <w:lang w:val="fr-FR"/>
        </w:rPr>
        <w:t>(...Ligne directrice 303 de l’OCDE)</w:t>
      </w:r>
      <w:r w:rsidR="00263F0D">
        <w:rPr>
          <w:lang w:val="fr-FR"/>
        </w:rPr>
        <w:t> »</w:t>
      </w:r>
      <w:r>
        <w:rPr>
          <w:lang w:val="fr-FR"/>
        </w:rPr>
        <w:t xml:space="preserve"> par </w:t>
      </w:r>
      <w:r w:rsidR="00263F0D">
        <w:rPr>
          <w:lang w:val="fr-FR"/>
        </w:rPr>
        <w:t>« </w:t>
      </w:r>
      <w:r>
        <w:rPr>
          <w:lang w:val="fr-FR"/>
        </w:rPr>
        <w:t>(... Ligne directrice 303 de l’OCDE)</w:t>
      </w:r>
      <w:r w:rsidRPr="00263F0D">
        <w:rPr>
          <w:sz w:val="18"/>
          <w:szCs w:val="18"/>
          <w:vertAlign w:val="superscript"/>
          <w:lang w:val="fr-FR"/>
        </w:rPr>
        <w:t>8</w:t>
      </w:r>
      <w:r w:rsidR="00263F0D">
        <w:rPr>
          <w:lang w:val="fr-FR"/>
        </w:rPr>
        <w:t> »</w:t>
      </w:r>
      <w:r>
        <w:rPr>
          <w:lang w:val="fr-FR"/>
        </w:rPr>
        <w:t xml:space="preserve"> et ajouter la note de bas de page suivante</w:t>
      </w:r>
      <w:r w:rsidR="00263F0D">
        <w:rPr>
          <w:lang w:val="fr-FR"/>
        </w:rPr>
        <w:t> </w:t>
      </w:r>
      <w:r>
        <w:rPr>
          <w:lang w:val="fr-FR"/>
        </w:rPr>
        <w:t>:</w:t>
      </w:r>
    </w:p>
    <w:p w14:paraId="2E14B9B9" w14:textId="77777777" w:rsidR="007E4BE5" w:rsidRPr="004363EA" w:rsidRDefault="007E4BE5" w:rsidP="00743423">
      <w:pPr>
        <w:pStyle w:val="SingleTxtG"/>
        <w:ind w:left="2268"/>
        <w:rPr>
          <w:rFonts w:asciiTheme="majorBidi" w:hAnsiTheme="majorBidi" w:cstheme="majorBidi"/>
        </w:rPr>
      </w:pPr>
      <w:r>
        <w:rPr>
          <w:lang w:val="fr-FR"/>
        </w:rPr>
        <w:tab/>
      </w:r>
      <w:r w:rsidR="00263F0D">
        <w:rPr>
          <w:lang w:val="fr-FR"/>
        </w:rPr>
        <w:t>« </w:t>
      </w:r>
      <w:r w:rsidRPr="00263F0D">
        <w:rPr>
          <w:sz w:val="18"/>
          <w:szCs w:val="18"/>
          <w:vertAlign w:val="superscript"/>
          <w:lang w:val="fr-FR"/>
        </w:rPr>
        <w:t>8</w:t>
      </w:r>
      <w:r w:rsidRPr="00263F0D">
        <w:rPr>
          <w:sz w:val="18"/>
          <w:szCs w:val="18"/>
          <w:lang w:val="fr-FR"/>
        </w:rPr>
        <w:tab/>
      </w:r>
      <w:r w:rsidRPr="00263F0D">
        <w:rPr>
          <w:i/>
          <w:iCs/>
          <w:sz w:val="18"/>
          <w:szCs w:val="18"/>
          <w:lang w:val="fr-FR"/>
        </w:rPr>
        <w:t>Les lignes directrices de l’OCDE n</w:t>
      </w:r>
      <w:r w:rsidRPr="00263F0D">
        <w:rPr>
          <w:i/>
          <w:iCs/>
          <w:sz w:val="18"/>
          <w:szCs w:val="18"/>
          <w:vertAlign w:val="superscript"/>
          <w:lang w:val="fr-FR"/>
        </w:rPr>
        <w:t>os</w:t>
      </w:r>
      <w:r w:rsidR="00263F0D">
        <w:rPr>
          <w:i/>
          <w:iCs/>
          <w:sz w:val="18"/>
          <w:szCs w:val="18"/>
          <w:lang w:val="fr-FR"/>
        </w:rPr>
        <w:t> </w:t>
      </w:r>
      <w:r w:rsidRPr="00263F0D">
        <w:rPr>
          <w:i/>
          <w:iCs/>
          <w:sz w:val="18"/>
          <w:szCs w:val="18"/>
          <w:lang w:val="fr-FR"/>
        </w:rPr>
        <w:t xml:space="preserve">311 </w:t>
      </w:r>
      <w:r w:rsidR="00263F0D" w:rsidRPr="00263F0D">
        <w:rPr>
          <w:i/>
          <w:iCs/>
          <w:sz w:val="18"/>
          <w:szCs w:val="18"/>
        </w:rPr>
        <w:t>“</w:t>
      </w:r>
      <w:r w:rsidRPr="00263F0D">
        <w:rPr>
          <w:i/>
          <w:iCs/>
          <w:sz w:val="18"/>
          <w:szCs w:val="18"/>
          <w:lang w:val="fr-FR"/>
        </w:rPr>
        <w:t>Essai de biodégradabilité anaérobie des composés organiques dans une boue digérée</w:t>
      </w:r>
      <w:r w:rsidR="004363EA">
        <w:rPr>
          <w:i/>
          <w:iCs/>
          <w:sz w:val="18"/>
          <w:szCs w:val="18"/>
          <w:lang w:val="fr-FR"/>
        </w:rPr>
        <w:t> </w:t>
      </w:r>
      <w:r w:rsidRPr="00263F0D">
        <w:rPr>
          <w:i/>
          <w:iCs/>
          <w:sz w:val="18"/>
          <w:szCs w:val="18"/>
          <w:lang w:val="fr-FR"/>
        </w:rPr>
        <w:t>: mesure du dégagement gazeux</w:t>
      </w:r>
      <w:r w:rsidR="00263F0D" w:rsidRPr="00263F0D">
        <w:rPr>
          <w:i/>
          <w:iCs/>
          <w:sz w:val="18"/>
          <w:szCs w:val="18"/>
        </w:rPr>
        <w:t>”</w:t>
      </w:r>
      <w:r w:rsidRPr="00263F0D">
        <w:rPr>
          <w:i/>
          <w:iCs/>
          <w:sz w:val="18"/>
          <w:szCs w:val="18"/>
          <w:lang w:val="fr-FR"/>
        </w:rPr>
        <w:t xml:space="preserve"> et 314 </w:t>
      </w:r>
      <w:r w:rsidR="00263F0D" w:rsidRPr="00263F0D">
        <w:rPr>
          <w:i/>
          <w:iCs/>
          <w:sz w:val="18"/>
          <w:szCs w:val="18"/>
          <w:lang w:val="fr-FR"/>
        </w:rPr>
        <w:t>“</w:t>
      </w:r>
      <w:r w:rsidRPr="00263F0D">
        <w:rPr>
          <w:i/>
          <w:iCs/>
          <w:sz w:val="18"/>
          <w:szCs w:val="18"/>
          <w:lang w:val="fr-FR"/>
        </w:rPr>
        <w:t>Essais de simulation pour évaluer la biodégradabilité de produits chimiques rejetés dans les eaux usées</w:t>
      </w:r>
      <w:r w:rsidR="00263F0D" w:rsidRPr="00263F0D">
        <w:rPr>
          <w:i/>
          <w:iCs/>
          <w:sz w:val="18"/>
          <w:szCs w:val="18"/>
          <w:lang w:val="fr-FR"/>
        </w:rPr>
        <w:t>”</w:t>
      </w:r>
      <w:r w:rsidRPr="00263F0D">
        <w:rPr>
          <w:i/>
          <w:iCs/>
          <w:sz w:val="18"/>
          <w:szCs w:val="18"/>
          <w:lang w:val="fr-FR"/>
        </w:rPr>
        <w:t xml:space="preserve"> sont également disponibles</w:t>
      </w:r>
      <w:r>
        <w:rPr>
          <w:i/>
          <w:iCs/>
          <w:lang w:val="fr-FR"/>
        </w:rPr>
        <w:t>.</w:t>
      </w:r>
      <w:r w:rsidR="004363EA">
        <w:rPr>
          <w:iCs/>
          <w:lang w:val="fr-FR"/>
        </w:rPr>
        <w:t> ».</w:t>
      </w:r>
    </w:p>
    <w:p w14:paraId="6C25B922" w14:textId="77777777" w:rsidR="007E4BE5" w:rsidRDefault="007E4BE5" w:rsidP="00743423">
      <w:pPr>
        <w:pStyle w:val="SingleTxtG"/>
        <w:keepNext/>
        <w:ind w:left="2268" w:hanging="1134"/>
        <w:rPr>
          <w:rFonts w:asciiTheme="majorBidi" w:hAnsiTheme="majorBidi" w:cstheme="majorBidi"/>
        </w:rPr>
      </w:pPr>
      <w:r>
        <w:rPr>
          <w:lang w:val="fr-FR"/>
        </w:rPr>
        <w:t>A9.4.4</w:t>
      </w:r>
      <w:r w:rsidR="00263F0D">
        <w:rPr>
          <w:lang w:val="fr-FR"/>
        </w:rPr>
        <w:t> </w:t>
      </w:r>
      <w:r>
        <w:rPr>
          <w:lang w:val="fr-FR"/>
        </w:rPr>
        <w:t>b)</w:t>
      </w:r>
      <w:r>
        <w:rPr>
          <w:lang w:val="fr-FR"/>
        </w:rPr>
        <w:tab/>
      </w:r>
      <w:r>
        <w:rPr>
          <w:i/>
          <w:iCs/>
          <w:lang w:val="fr-FR"/>
        </w:rPr>
        <w:t>Amendement corollaire</w:t>
      </w:r>
      <w:r w:rsidR="00263F0D">
        <w:rPr>
          <w:i/>
          <w:iCs/>
          <w:lang w:val="fr-FR"/>
        </w:rPr>
        <w:t> </w:t>
      </w:r>
      <w:r>
        <w:rPr>
          <w:lang w:val="fr-FR"/>
        </w:rPr>
        <w:t xml:space="preserve">: La note de bas de page </w:t>
      </w:r>
      <w:r w:rsidR="00263F0D">
        <w:rPr>
          <w:lang w:val="fr-FR"/>
        </w:rPr>
        <w:t>« </w:t>
      </w:r>
      <w:r>
        <w:rPr>
          <w:lang w:val="fr-FR"/>
        </w:rPr>
        <w:t>3</w:t>
      </w:r>
      <w:r w:rsidR="00263F0D">
        <w:rPr>
          <w:lang w:val="fr-FR"/>
        </w:rPr>
        <w:t> »</w:t>
      </w:r>
      <w:r>
        <w:rPr>
          <w:lang w:val="fr-FR"/>
        </w:rPr>
        <w:t xml:space="preserve"> devient la note de bas de page </w:t>
      </w:r>
      <w:r w:rsidR="00263F0D">
        <w:rPr>
          <w:lang w:val="fr-FR"/>
        </w:rPr>
        <w:t>« </w:t>
      </w:r>
      <w:r>
        <w:rPr>
          <w:lang w:val="fr-FR"/>
        </w:rPr>
        <w:t>9</w:t>
      </w:r>
      <w:r w:rsidR="00263F0D">
        <w:rPr>
          <w:lang w:val="fr-FR"/>
        </w:rPr>
        <w:t> »</w:t>
      </w:r>
      <w:r>
        <w:rPr>
          <w:lang w:val="fr-FR"/>
        </w:rPr>
        <w:t>.</w:t>
      </w:r>
    </w:p>
    <w:p w14:paraId="7E3C3FC3" w14:textId="77777777" w:rsidR="007E4BE5" w:rsidRDefault="007E4BE5" w:rsidP="00743423">
      <w:pPr>
        <w:pStyle w:val="SingleTxtG"/>
        <w:keepNext/>
        <w:ind w:left="2268" w:hanging="1134"/>
      </w:pPr>
      <w:r>
        <w:rPr>
          <w:lang w:val="fr-FR"/>
        </w:rPr>
        <w:t>A9.5.1.1</w:t>
      </w:r>
      <w:r>
        <w:rPr>
          <w:lang w:val="fr-FR"/>
        </w:rPr>
        <w:tab/>
        <w:t xml:space="preserve">Remplacer </w:t>
      </w:r>
      <w:r w:rsidR="00263F0D">
        <w:rPr>
          <w:lang w:val="fr-FR"/>
        </w:rPr>
        <w:t>« </w:t>
      </w:r>
      <w:r>
        <w:rPr>
          <w:lang w:val="fr-FR"/>
        </w:rPr>
        <w:t>(OCDE, 1998)</w:t>
      </w:r>
      <w:r w:rsidR="00263F0D">
        <w:rPr>
          <w:lang w:val="fr-FR"/>
        </w:rPr>
        <w:t> »</w:t>
      </w:r>
      <w:r>
        <w:rPr>
          <w:lang w:val="fr-FR"/>
        </w:rPr>
        <w:t xml:space="preserve"> par </w:t>
      </w:r>
      <w:r w:rsidR="00263F0D">
        <w:rPr>
          <w:lang w:val="fr-FR"/>
        </w:rPr>
        <w:t>« </w:t>
      </w:r>
      <w:r>
        <w:rPr>
          <w:lang w:val="fr-FR"/>
        </w:rPr>
        <w:t>(OCDE, 1998)</w:t>
      </w:r>
      <w:r w:rsidRPr="00263F0D">
        <w:rPr>
          <w:sz w:val="18"/>
          <w:szCs w:val="18"/>
          <w:vertAlign w:val="superscript"/>
          <w:lang w:val="fr-FR"/>
        </w:rPr>
        <w:t>10</w:t>
      </w:r>
      <w:r w:rsidR="00263F0D">
        <w:rPr>
          <w:lang w:val="fr-FR"/>
        </w:rPr>
        <w:t> »</w:t>
      </w:r>
      <w:r>
        <w:rPr>
          <w:lang w:val="fr-FR"/>
        </w:rPr>
        <w:t xml:space="preserve"> et ajouter la note de bas de page suivante</w:t>
      </w:r>
      <w:r w:rsidR="00263F0D">
        <w:rPr>
          <w:lang w:val="fr-FR"/>
        </w:rPr>
        <w:t> </w:t>
      </w:r>
      <w:r>
        <w:rPr>
          <w:lang w:val="fr-FR"/>
        </w:rPr>
        <w:t>:</w:t>
      </w:r>
    </w:p>
    <w:p w14:paraId="68672A20" w14:textId="77777777" w:rsidR="007E4BE5" w:rsidRPr="00512C82" w:rsidRDefault="00263F0D" w:rsidP="00743423">
      <w:pPr>
        <w:pStyle w:val="SingleTxtG"/>
        <w:ind w:left="2268"/>
        <w:rPr>
          <w:i/>
          <w:iCs/>
          <w:lang w:val="en-US"/>
        </w:rPr>
      </w:pPr>
      <w:r w:rsidRPr="00263F0D">
        <w:rPr>
          <w:iCs/>
          <w:lang w:val="fr-FR"/>
        </w:rPr>
        <w:t>« </w:t>
      </w:r>
      <w:r w:rsidR="007E4BE5" w:rsidRPr="00ED44FC">
        <w:rPr>
          <w:iCs/>
          <w:sz w:val="18"/>
          <w:szCs w:val="18"/>
          <w:vertAlign w:val="superscript"/>
          <w:lang w:val="fr-FR"/>
        </w:rPr>
        <w:t>10</w:t>
      </w:r>
      <w:r w:rsidR="007E4BE5" w:rsidRPr="00263F0D">
        <w:rPr>
          <w:sz w:val="18"/>
          <w:szCs w:val="18"/>
          <w:lang w:val="fr-FR"/>
        </w:rPr>
        <w:tab/>
      </w:r>
      <w:r w:rsidR="007E4BE5" w:rsidRPr="00263F0D">
        <w:rPr>
          <w:i/>
          <w:iCs/>
          <w:sz w:val="18"/>
          <w:szCs w:val="18"/>
          <w:lang w:val="fr-FR"/>
        </w:rPr>
        <w:t>Référence mise à jour</w:t>
      </w:r>
      <w:r>
        <w:rPr>
          <w:i/>
          <w:iCs/>
          <w:sz w:val="18"/>
          <w:szCs w:val="18"/>
          <w:lang w:val="fr-FR"/>
        </w:rPr>
        <w:t> </w:t>
      </w:r>
      <w:r w:rsidR="007E4BE5" w:rsidRPr="00263F0D">
        <w:rPr>
          <w:i/>
          <w:iCs/>
          <w:sz w:val="18"/>
          <w:szCs w:val="18"/>
          <w:lang w:val="fr-FR"/>
        </w:rPr>
        <w:t>: OCDE (2001).</w:t>
      </w:r>
      <w:r w:rsidR="007E4BE5" w:rsidRPr="00263F0D">
        <w:rPr>
          <w:sz w:val="18"/>
          <w:szCs w:val="18"/>
          <w:lang w:val="fr-FR"/>
        </w:rPr>
        <w:t xml:space="preserve"> </w:t>
      </w:r>
      <w:r w:rsidR="007E4BE5" w:rsidRPr="00263F0D">
        <w:rPr>
          <w:i/>
          <w:iCs/>
          <w:sz w:val="18"/>
          <w:szCs w:val="18"/>
          <w:lang w:val="en-US"/>
        </w:rPr>
        <w:t>Harmonized integrated hazard classification system for human health and environmental effects of chemical substances and mixtures,</w:t>
      </w:r>
      <w:r w:rsidR="007E4BE5" w:rsidRPr="00263F0D">
        <w:rPr>
          <w:sz w:val="18"/>
          <w:szCs w:val="18"/>
          <w:lang w:val="en-US"/>
        </w:rPr>
        <w:t xml:space="preserve"> </w:t>
      </w:r>
      <w:r w:rsidR="007E4BE5" w:rsidRPr="00263F0D">
        <w:rPr>
          <w:i/>
          <w:iCs/>
          <w:sz w:val="18"/>
          <w:szCs w:val="18"/>
          <w:lang w:val="en-US"/>
        </w:rPr>
        <w:t>Série sur les essais et évaluations n</w:t>
      </w:r>
      <w:r w:rsidR="007E4BE5" w:rsidRPr="00263F0D">
        <w:rPr>
          <w:i/>
          <w:iCs/>
          <w:sz w:val="18"/>
          <w:szCs w:val="18"/>
          <w:vertAlign w:val="superscript"/>
          <w:lang w:val="en-US"/>
        </w:rPr>
        <w:t>o</w:t>
      </w:r>
      <w:r w:rsidR="007E4BE5" w:rsidRPr="00263F0D">
        <w:rPr>
          <w:i/>
          <w:iCs/>
          <w:sz w:val="18"/>
          <w:szCs w:val="18"/>
          <w:lang w:val="en-US"/>
        </w:rPr>
        <w:t> 33, OCDE, Paris</w:t>
      </w:r>
      <w:r w:rsidR="007E4BE5" w:rsidRPr="00512C82">
        <w:rPr>
          <w:i/>
          <w:iCs/>
          <w:lang w:val="en-US"/>
        </w:rPr>
        <w:t>.</w:t>
      </w:r>
      <w:r w:rsidRPr="00263F0D">
        <w:rPr>
          <w:iCs/>
          <w:lang w:val="en-US"/>
        </w:rPr>
        <w:t> »</w:t>
      </w:r>
      <w:r>
        <w:rPr>
          <w:iCs/>
          <w:lang w:val="en-US"/>
        </w:rPr>
        <w:t>.</w:t>
      </w:r>
    </w:p>
    <w:p w14:paraId="58C80B6E" w14:textId="77777777" w:rsidR="007E4BE5" w:rsidRPr="00307652" w:rsidRDefault="007E4BE5" w:rsidP="00743423">
      <w:pPr>
        <w:pStyle w:val="SingleTxtG"/>
        <w:keepNext/>
        <w:ind w:left="2268" w:hanging="1134"/>
        <w:rPr>
          <w:rFonts w:asciiTheme="majorBidi" w:hAnsiTheme="majorBidi" w:cstheme="majorBidi"/>
        </w:rPr>
      </w:pPr>
      <w:r>
        <w:rPr>
          <w:lang w:val="fr-FR"/>
        </w:rPr>
        <w:t>A9.5.2.2</w:t>
      </w:r>
      <w:r>
        <w:rPr>
          <w:lang w:val="fr-FR"/>
        </w:rPr>
        <w:tab/>
        <w:t xml:space="preserve">Remplacer </w:t>
      </w:r>
      <w:r w:rsidR="00263F0D">
        <w:rPr>
          <w:lang w:val="fr-FR"/>
        </w:rPr>
        <w:t>« </w:t>
      </w:r>
      <w:r>
        <w:rPr>
          <w:lang w:val="fr-FR"/>
        </w:rPr>
        <w:t>(OCDE, 1996)</w:t>
      </w:r>
      <w:r w:rsidR="00263F0D">
        <w:rPr>
          <w:lang w:val="fr-FR"/>
        </w:rPr>
        <w:t> »</w:t>
      </w:r>
      <w:r>
        <w:rPr>
          <w:lang w:val="fr-FR"/>
        </w:rPr>
        <w:t xml:space="preserve"> par </w:t>
      </w:r>
      <w:r w:rsidR="00263F0D">
        <w:rPr>
          <w:lang w:val="fr-FR"/>
        </w:rPr>
        <w:t>« </w:t>
      </w:r>
      <w:r>
        <w:rPr>
          <w:lang w:val="fr-FR"/>
        </w:rPr>
        <w:t>(OCDE, 1996)</w:t>
      </w:r>
      <w:r w:rsidRPr="00263F0D">
        <w:rPr>
          <w:sz w:val="18"/>
          <w:szCs w:val="18"/>
          <w:vertAlign w:val="superscript"/>
          <w:lang w:val="fr-FR"/>
        </w:rPr>
        <w:t>11</w:t>
      </w:r>
      <w:r w:rsidR="00263F0D">
        <w:rPr>
          <w:lang w:val="fr-FR"/>
        </w:rPr>
        <w:t> »</w:t>
      </w:r>
      <w:r>
        <w:rPr>
          <w:lang w:val="fr-FR"/>
        </w:rPr>
        <w:t xml:space="preserve"> et ajouter la note de bas de page suivante</w:t>
      </w:r>
      <w:r w:rsidR="00263F0D">
        <w:rPr>
          <w:lang w:val="fr-FR"/>
        </w:rPr>
        <w:t> </w:t>
      </w:r>
      <w:r>
        <w:rPr>
          <w:lang w:val="fr-FR"/>
        </w:rPr>
        <w:t>:</w:t>
      </w:r>
    </w:p>
    <w:p w14:paraId="0D6B53D4" w14:textId="77777777" w:rsidR="007E4BE5" w:rsidRDefault="007E4BE5" w:rsidP="00743423">
      <w:pPr>
        <w:pStyle w:val="SingleTxtG"/>
        <w:ind w:left="2268"/>
        <w:rPr>
          <w:rFonts w:asciiTheme="majorBidi" w:hAnsiTheme="majorBidi" w:cstheme="majorBidi"/>
          <w:i/>
        </w:rPr>
      </w:pPr>
      <w:r>
        <w:rPr>
          <w:lang w:val="fr-FR"/>
        </w:rPr>
        <w:tab/>
      </w:r>
      <w:r w:rsidR="00263F0D">
        <w:rPr>
          <w:lang w:val="fr-FR"/>
        </w:rPr>
        <w:t>« </w:t>
      </w:r>
      <w:r w:rsidRPr="00263F0D">
        <w:rPr>
          <w:sz w:val="18"/>
          <w:szCs w:val="18"/>
          <w:vertAlign w:val="superscript"/>
          <w:lang w:val="fr-FR"/>
        </w:rPr>
        <w:t>11</w:t>
      </w:r>
      <w:r w:rsidRPr="00263F0D">
        <w:rPr>
          <w:sz w:val="18"/>
          <w:szCs w:val="18"/>
          <w:lang w:val="fr-FR"/>
        </w:rPr>
        <w:tab/>
      </w:r>
      <w:r w:rsidRPr="00263F0D">
        <w:rPr>
          <w:i/>
          <w:iCs/>
          <w:sz w:val="18"/>
          <w:szCs w:val="18"/>
          <w:lang w:val="fr-FR"/>
        </w:rPr>
        <w:t>La ligne directrice 305 de l’OCDE a été mise à jour en 2012.</w:t>
      </w:r>
      <w:r w:rsidR="00263F0D">
        <w:rPr>
          <w:i/>
          <w:iCs/>
          <w:lang w:val="fr-FR"/>
        </w:rPr>
        <w:t> </w:t>
      </w:r>
      <w:r w:rsidR="00263F0D" w:rsidRPr="00263F0D">
        <w:rPr>
          <w:iCs/>
          <w:lang w:val="fr-FR"/>
        </w:rPr>
        <w:t>».</w:t>
      </w:r>
    </w:p>
    <w:p w14:paraId="697BAFD3" w14:textId="77777777" w:rsidR="007E4BE5" w:rsidRPr="00972037" w:rsidRDefault="007E4BE5" w:rsidP="00743423">
      <w:pPr>
        <w:pStyle w:val="SingleTxtG"/>
        <w:keepNext/>
        <w:ind w:left="2268" w:hanging="1134"/>
        <w:rPr>
          <w:rFonts w:asciiTheme="majorBidi" w:hAnsiTheme="majorBidi" w:cstheme="majorBidi"/>
        </w:rPr>
      </w:pPr>
      <w:r>
        <w:rPr>
          <w:lang w:val="fr-FR"/>
        </w:rPr>
        <w:t>A9.5.2.3.2</w:t>
      </w:r>
      <w:r>
        <w:rPr>
          <w:lang w:val="fr-FR"/>
        </w:rPr>
        <w:tab/>
        <w:t xml:space="preserve">Remplacer </w:t>
      </w:r>
      <w:r w:rsidR="00263F0D">
        <w:rPr>
          <w:lang w:val="fr-FR"/>
        </w:rPr>
        <w:t>« </w:t>
      </w:r>
      <w:r>
        <w:rPr>
          <w:lang w:val="fr-FR"/>
        </w:rPr>
        <w:t>(OCDE, 1996)</w:t>
      </w:r>
      <w:r w:rsidR="00263F0D">
        <w:rPr>
          <w:lang w:val="fr-FR"/>
        </w:rPr>
        <w:t> »</w:t>
      </w:r>
      <w:r>
        <w:rPr>
          <w:lang w:val="fr-FR"/>
        </w:rPr>
        <w:t xml:space="preserve"> par </w:t>
      </w:r>
      <w:r w:rsidR="00263F0D">
        <w:rPr>
          <w:lang w:val="fr-FR"/>
        </w:rPr>
        <w:t>« </w:t>
      </w:r>
      <w:r>
        <w:rPr>
          <w:lang w:val="fr-FR"/>
        </w:rPr>
        <w:t>(OCDE, 1996)</w:t>
      </w:r>
      <w:r w:rsidRPr="00263F0D">
        <w:rPr>
          <w:sz w:val="18"/>
          <w:szCs w:val="18"/>
          <w:vertAlign w:val="superscript"/>
          <w:lang w:val="fr-FR"/>
        </w:rPr>
        <w:t>11</w:t>
      </w:r>
      <w:r w:rsidR="00263F0D">
        <w:rPr>
          <w:lang w:val="fr-FR"/>
        </w:rPr>
        <w:t> »</w:t>
      </w:r>
      <w:r>
        <w:rPr>
          <w:lang w:val="fr-FR"/>
        </w:rPr>
        <w:t xml:space="preserve"> et ajouter la note de bas de page suivante</w:t>
      </w:r>
      <w:r w:rsidR="00E128FB">
        <w:rPr>
          <w:lang w:val="fr-FR"/>
        </w:rPr>
        <w:t> </w:t>
      </w:r>
      <w:r>
        <w:rPr>
          <w:lang w:val="fr-FR"/>
        </w:rPr>
        <w:t>:</w:t>
      </w:r>
    </w:p>
    <w:p w14:paraId="49151A41" w14:textId="77777777" w:rsidR="007E4BE5" w:rsidRDefault="00263F0D" w:rsidP="00743423">
      <w:pPr>
        <w:pStyle w:val="SingleTxtG"/>
        <w:ind w:left="2268"/>
        <w:rPr>
          <w:rFonts w:asciiTheme="majorBidi" w:hAnsiTheme="majorBidi" w:cstheme="majorBidi"/>
          <w:i/>
        </w:rPr>
      </w:pPr>
      <w:r>
        <w:rPr>
          <w:lang w:val="fr-FR"/>
        </w:rPr>
        <w:t>« </w:t>
      </w:r>
      <w:r w:rsidR="007E4BE5" w:rsidRPr="00122563">
        <w:rPr>
          <w:sz w:val="18"/>
          <w:szCs w:val="18"/>
          <w:vertAlign w:val="superscript"/>
          <w:lang w:val="fr-FR"/>
        </w:rPr>
        <w:t>11</w:t>
      </w:r>
      <w:r w:rsidR="007E4BE5" w:rsidRPr="00122563">
        <w:rPr>
          <w:sz w:val="18"/>
          <w:szCs w:val="18"/>
          <w:lang w:val="fr-FR"/>
        </w:rPr>
        <w:tab/>
      </w:r>
      <w:r w:rsidR="007E4BE5" w:rsidRPr="00122563">
        <w:rPr>
          <w:i/>
          <w:iCs/>
          <w:sz w:val="18"/>
          <w:szCs w:val="18"/>
          <w:lang w:val="fr-FR"/>
        </w:rPr>
        <w:t>La ligne directrice 305 de l’OCDE a été mise à jour en 2012.</w:t>
      </w:r>
      <w:r w:rsidR="00122563">
        <w:rPr>
          <w:iCs/>
          <w:lang w:val="fr-FR"/>
        </w:rPr>
        <w:t> ».</w:t>
      </w:r>
    </w:p>
    <w:p w14:paraId="499CF8F8" w14:textId="77777777" w:rsidR="007E4BE5" w:rsidRPr="00972037" w:rsidRDefault="007E4BE5" w:rsidP="00743423">
      <w:pPr>
        <w:pStyle w:val="SingleTxtG"/>
        <w:keepNext/>
        <w:ind w:left="2268" w:hanging="1134"/>
        <w:rPr>
          <w:rFonts w:asciiTheme="majorBidi" w:hAnsiTheme="majorBidi" w:cstheme="majorBidi"/>
        </w:rPr>
      </w:pPr>
      <w:r>
        <w:rPr>
          <w:lang w:val="fr-FR"/>
        </w:rPr>
        <w:t>A9.5.2.3.5</w:t>
      </w:r>
      <w:r>
        <w:rPr>
          <w:lang w:val="fr-FR"/>
        </w:rPr>
        <w:tab/>
        <w:t xml:space="preserve">Remplacer </w:t>
      </w:r>
      <w:r w:rsidR="00122563">
        <w:rPr>
          <w:lang w:val="fr-FR"/>
        </w:rPr>
        <w:t>« </w:t>
      </w:r>
      <w:r>
        <w:rPr>
          <w:lang w:val="fr-FR"/>
        </w:rPr>
        <w:t>(…OCDE, 1996, ...)</w:t>
      </w:r>
      <w:r w:rsidR="00122563">
        <w:rPr>
          <w:lang w:val="fr-FR"/>
        </w:rPr>
        <w:t> »</w:t>
      </w:r>
      <w:r>
        <w:rPr>
          <w:lang w:val="fr-FR"/>
        </w:rPr>
        <w:t xml:space="preserve"> par </w:t>
      </w:r>
      <w:r w:rsidR="00122563">
        <w:rPr>
          <w:lang w:val="fr-FR"/>
        </w:rPr>
        <w:t>« </w:t>
      </w:r>
      <w:r>
        <w:rPr>
          <w:lang w:val="fr-FR"/>
        </w:rPr>
        <w:t>(…OCDE, 1992, ...)</w:t>
      </w:r>
      <w:r w:rsidR="00122563">
        <w:rPr>
          <w:lang w:val="fr-FR"/>
        </w:rPr>
        <w:t> »</w:t>
      </w:r>
      <w:r>
        <w:rPr>
          <w:lang w:val="fr-FR"/>
        </w:rPr>
        <w:t>.</w:t>
      </w:r>
    </w:p>
    <w:p w14:paraId="26081544" w14:textId="77777777" w:rsidR="007E4BE5" w:rsidRPr="00972037" w:rsidRDefault="007E4BE5" w:rsidP="00743423">
      <w:pPr>
        <w:pStyle w:val="SingleTxtG"/>
        <w:keepNext/>
        <w:ind w:left="2268" w:hanging="1134"/>
        <w:rPr>
          <w:rFonts w:asciiTheme="majorBidi" w:hAnsiTheme="majorBidi" w:cstheme="majorBidi"/>
        </w:rPr>
      </w:pPr>
      <w:r>
        <w:rPr>
          <w:lang w:val="fr-FR"/>
        </w:rPr>
        <w:t>A9.5.2.3.8.2</w:t>
      </w:r>
      <w:r>
        <w:rPr>
          <w:lang w:val="fr-FR"/>
        </w:rPr>
        <w:tab/>
        <w:t xml:space="preserve">Dans la dernière phrase du paragraphe, remplacer </w:t>
      </w:r>
      <w:r w:rsidR="00122563">
        <w:rPr>
          <w:lang w:val="fr-FR"/>
        </w:rPr>
        <w:t>« </w:t>
      </w:r>
      <w:r>
        <w:rPr>
          <w:lang w:val="fr-FR"/>
        </w:rPr>
        <w:t>OCDE (1996)</w:t>
      </w:r>
      <w:r w:rsidR="00122563">
        <w:rPr>
          <w:lang w:val="fr-FR"/>
        </w:rPr>
        <w:t> »</w:t>
      </w:r>
      <w:r>
        <w:rPr>
          <w:lang w:val="fr-FR"/>
        </w:rPr>
        <w:t xml:space="preserve"> par </w:t>
      </w:r>
      <w:r w:rsidR="00122563">
        <w:rPr>
          <w:lang w:val="fr-FR"/>
        </w:rPr>
        <w:t>« </w:t>
      </w:r>
      <w:r>
        <w:rPr>
          <w:lang w:val="fr-FR"/>
        </w:rPr>
        <w:t>OCDE (1996)</w:t>
      </w:r>
      <w:r w:rsidRPr="00122563">
        <w:rPr>
          <w:sz w:val="18"/>
          <w:szCs w:val="18"/>
          <w:vertAlign w:val="superscript"/>
          <w:lang w:val="fr-FR"/>
        </w:rPr>
        <w:t>11</w:t>
      </w:r>
      <w:r w:rsidR="00122563">
        <w:rPr>
          <w:lang w:val="fr-FR"/>
        </w:rPr>
        <w:t> »</w:t>
      </w:r>
      <w:r>
        <w:rPr>
          <w:lang w:val="fr-FR"/>
        </w:rPr>
        <w:t xml:space="preserve"> et ajouter la note de bas de page suivante</w:t>
      </w:r>
      <w:r w:rsidR="00122563">
        <w:rPr>
          <w:lang w:val="fr-FR"/>
        </w:rPr>
        <w:t> </w:t>
      </w:r>
      <w:r>
        <w:rPr>
          <w:lang w:val="fr-FR"/>
        </w:rPr>
        <w:t>:</w:t>
      </w:r>
    </w:p>
    <w:p w14:paraId="1F249D02" w14:textId="77777777" w:rsidR="007E4BE5" w:rsidRDefault="007E4BE5" w:rsidP="00743423">
      <w:pPr>
        <w:pStyle w:val="SingleTxtG"/>
        <w:ind w:left="2268"/>
        <w:rPr>
          <w:rFonts w:asciiTheme="majorBidi" w:hAnsiTheme="majorBidi" w:cstheme="majorBidi"/>
          <w:i/>
        </w:rPr>
      </w:pPr>
      <w:r>
        <w:rPr>
          <w:lang w:val="fr-FR"/>
        </w:rPr>
        <w:tab/>
      </w:r>
      <w:r w:rsidR="00122563">
        <w:rPr>
          <w:lang w:val="fr-FR"/>
        </w:rPr>
        <w:t>« </w:t>
      </w:r>
      <w:r w:rsidRPr="00122563">
        <w:rPr>
          <w:sz w:val="18"/>
          <w:szCs w:val="18"/>
          <w:vertAlign w:val="superscript"/>
          <w:lang w:val="fr-FR"/>
        </w:rPr>
        <w:t>11</w:t>
      </w:r>
      <w:r w:rsidRPr="00122563">
        <w:rPr>
          <w:sz w:val="18"/>
          <w:szCs w:val="18"/>
          <w:lang w:val="fr-FR"/>
        </w:rPr>
        <w:tab/>
      </w:r>
      <w:r w:rsidRPr="00122563">
        <w:rPr>
          <w:i/>
          <w:iCs/>
          <w:sz w:val="18"/>
          <w:szCs w:val="18"/>
          <w:lang w:val="fr-FR"/>
        </w:rPr>
        <w:t>La ligne directrice 305 de l’OCDE a été mise à jour en 2012.</w:t>
      </w:r>
      <w:r w:rsidR="00122563">
        <w:rPr>
          <w:i/>
          <w:iCs/>
          <w:lang w:val="fr-FR"/>
        </w:rPr>
        <w:t> </w:t>
      </w:r>
      <w:r w:rsidR="00122563" w:rsidRPr="00122563">
        <w:rPr>
          <w:iCs/>
          <w:lang w:val="fr-FR"/>
        </w:rPr>
        <w:t>»</w:t>
      </w:r>
      <w:r w:rsidR="00122563">
        <w:rPr>
          <w:iCs/>
          <w:lang w:val="fr-FR"/>
        </w:rPr>
        <w:t>.</w:t>
      </w:r>
    </w:p>
    <w:p w14:paraId="5AA81E41" w14:textId="77777777" w:rsidR="007E4BE5" w:rsidRPr="00972037" w:rsidRDefault="007E4BE5" w:rsidP="00743423">
      <w:pPr>
        <w:pStyle w:val="SingleTxtG"/>
        <w:keepNext/>
        <w:ind w:left="2268" w:hanging="1134"/>
        <w:rPr>
          <w:rFonts w:asciiTheme="majorBidi" w:hAnsiTheme="majorBidi" w:cstheme="majorBidi"/>
        </w:rPr>
      </w:pPr>
      <w:r>
        <w:rPr>
          <w:lang w:val="fr-FR"/>
        </w:rPr>
        <w:t>A9.5.2.4.1</w:t>
      </w:r>
      <w:r>
        <w:rPr>
          <w:lang w:val="fr-FR"/>
        </w:rPr>
        <w:tab/>
        <w:t xml:space="preserve">Remplacer </w:t>
      </w:r>
      <w:r w:rsidR="00122563">
        <w:rPr>
          <w:lang w:val="fr-FR"/>
        </w:rPr>
        <w:t>« </w:t>
      </w:r>
      <w:r>
        <w:rPr>
          <w:lang w:val="fr-FR"/>
        </w:rPr>
        <w:t>(…OCDE, 1989)</w:t>
      </w:r>
      <w:r w:rsidR="00122563">
        <w:rPr>
          <w:lang w:val="fr-FR"/>
        </w:rPr>
        <w:t> »</w:t>
      </w:r>
      <w:r>
        <w:rPr>
          <w:lang w:val="fr-FR"/>
        </w:rPr>
        <w:t xml:space="preserve"> par </w:t>
      </w:r>
      <w:r w:rsidR="00122563">
        <w:rPr>
          <w:lang w:val="fr-FR"/>
        </w:rPr>
        <w:t>« </w:t>
      </w:r>
      <w:r>
        <w:rPr>
          <w:lang w:val="fr-FR"/>
        </w:rPr>
        <w:t>(…OCDE, 1989)</w:t>
      </w:r>
      <w:r w:rsidRPr="00122563">
        <w:rPr>
          <w:sz w:val="18"/>
          <w:szCs w:val="18"/>
          <w:vertAlign w:val="superscript"/>
          <w:lang w:val="fr-FR"/>
        </w:rPr>
        <w:t>12</w:t>
      </w:r>
      <w:r w:rsidR="00122563">
        <w:rPr>
          <w:lang w:val="fr-FR"/>
        </w:rPr>
        <w:t> »</w:t>
      </w:r>
      <w:r>
        <w:rPr>
          <w:lang w:val="fr-FR"/>
        </w:rPr>
        <w:t xml:space="preserve"> et ajouter la note de bas de page suivante</w:t>
      </w:r>
      <w:r w:rsidR="00122563">
        <w:rPr>
          <w:lang w:val="fr-FR"/>
        </w:rPr>
        <w:t> </w:t>
      </w:r>
      <w:r>
        <w:rPr>
          <w:lang w:val="fr-FR"/>
        </w:rPr>
        <w:t>:</w:t>
      </w:r>
    </w:p>
    <w:p w14:paraId="7E9D9D38" w14:textId="77777777" w:rsidR="007E4BE5" w:rsidRDefault="007E4BE5" w:rsidP="00743423">
      <w:pPr>
        <w:pStyle w:val="SingleTxtG"/>
        <w:ind w:left="2268"/>
        <w:rPr>
          <w:rFonts w:asciiTheme="majorBidi" w:hAnsiTheme="majorBidi" w:cstheme="majorBidi"/>
          <w:i/>
        </w:rPr>
      </w:pPr>
      <w:r>
        <w:rPr>
          <w:lang w:val="fr-FR"/>
        </w:rPr>
        <w:tab/>
      </w:r>
      <w:r w:rsidR="00122563">
        <w:rPr>
          <w:lang w:val="fr-FR"/>
        </w:rPr>
        <w:t>« </w:t>
      </w:r>
      <w:r w:rsidRPr="00122563">
        <w:rPr>
          <w:sz w:val="18"/>
          <w:szCs w:val="18"/>
          <w:vertAlign w:val="superscript"/>
          <w:lang w:val="fr-FR"/>
        </w:rPr>
        <w:t>12</w:t>
      </w:r>
      <w:r w:rsidRPr="00122563">
        <w:rPr>
          <w:sz w:val="18"/>
          <w:szCs w:val="18"/>
          <w:lang w:val="fr-FR"/>
        </w:rPr>
        <w:tab/>
      </w:r>
      <w:r w:rsidRPr="00122563">
        <w:rPr>
          <w:i/>
          <w:iCs/>
          <w:sz w:val="18"/>
          <w:szCs w:val="18"/>
          <w:lang w:val="fr-FR"/>
        </w:rPr>
        <w:t>La ligne directrice 117 de l’OCDE a été mise à jour en 2004.</w:t>
      </w:r>
      <w:r w:rsidR="00122563" w:rsidRPr="00122563">
        <w:rPr>
          <w:iCs/>
          <w:lang w:val="fr-FR"/>
        </w:rPr>
        <w:t> »</w:t>
      </w:r>
      <w:r w:rsidR="00122563">
        <w:rPr>
          <w:iCs/>
          <w:lang w:val="fr-FR"/>
        </w:rPr>
        <w:t>.</w:t>
      </w:r>
    </w:p>
    <w:p w14:paraId="7FA565FA" w14:textId="77777777" w:rsidR="007E4BE5" w:rsidRPr="00972037" w:rsidRDefault="007E4BE5" w:rsidP="00743423">
      <w:pPr>
        <w:pStyle w:val="SingleTxtG"/>
        <w:keepNext/>
        <w:ind w:left="2268" w:hanging="1134"/>
        <w:rPr>
          <w:rFonts w:asciiTheme="majorBidi" w:hAnsiTheme="majorBidi" w:cstheme="majorBidi"/>
        </w:rPr>
      </w:pPr>
      <w:r>
        <w:rPr>
          <w:lang w:val="fr-FR"/>
        </w:rPr>
        <w:t>A9.5.3.2.1</w:t>
      </w:r>
      <w:r>
        <w:rPr>
          <w:lang w:val="fr-FR"/>
        </w:rPr>
        <w:tab/>
        <w:t xml:space="preserve">Remplacer </w:t>
      </w:r>
      <w:r w:rsidR="00122563">
        <w:rPr>
          <w:lang w:val="fr-FR"/>
        </w:rPr>
        <w:t>« </w:t>
      </w:r>
      <w:r>
        <w:rPr>
          <w:lang w:val="fr-FR"/>
        </w:rPr>
        <w:t>(OCDE, 2000)</w:t>
      </w:r>
      <w:r w:rsidR="00122563">
        <w:rPr>
          <w:lang w:val="fr-FR"/>
        </w:rPr>
        <w:t> »</w:t>
      </w:r>
      <w:r>
        <w:rPr>
          <w:lang w:val="fr-FR"/>
        </w:rPr>
        <w:t xml:space="preserve"> par </w:t>
      </w:r>
      <w:r w:rsidR="00122563">
        <w:rPr>
          <w:lang w:val="fr-FR"/>
        </w:rPr>
        <w:t>« </w:t>
      </w:r>
      <w:r>
        <w:rPr>
          <w:lang w:val="fr-FR"/>
        </w:rPr>
        <w:t>(OCDE, 2000)</w:t>
      </w:r>
      <w:r w:rsidRPr="00122563">
        <w:rPr>
          <w:sz w:val="18"/>
          <w:szCs w:val="18"/>
          <w:vertAlign w:val="superscript"/>
          <w:lang w:val="fr-FR"/>
        </w:rPr>
        <w:t>13</w:t>
      </w:r>
      <w:r w:rsidR="00122563">
        <w:rPr>
          <w:lang w:val="fr-FR"/>
        </w:rPr>
        <w:t> »</w:t>
      </w:r>
      <w:r>
        <w:rPr>
          <w:lang w:val="fr-FR"/>
        </w:rPr>
        <w:t xml:space="preserve"> et ajouter la note de bas de page suivante</w:t>
      </w:r>
      <w:r w:rsidR="00122563">
        <w:rPr>
          <w:lang w:val="fr-FR"/>
        </w:rPr>
        <w:t> </w:t>
      </w:r>
      <w:r>
        <w:rPr>
          <w:lang w:val="fr-FR"/>
        </w:rPr>
        <w:t>:</w:t>
      </w:r>
    </w:p>
    <w:p w14:paraId="074612BF" w14:textId="77777777" w:rsidR="007E4BE5" w:rsidRPr="00E87D07" w:rsidRDefault="00122563" w:rsidP="00743423">
      <w:pPr>
        <w:pStyle w:val="SingleTxtG"/>
        <w:ind w:left="2268"/>
        <w:rPr>
          <w:rFonts w:asciiTheme="majorBidi" w:hAnsiTheme="majorBidi" w:cstheme="majorBidi"/>
          <w:i/>
          <w:lang w:val="fr-FR"/>
        </w:rPr>
      </w:pPr>
      <w:r>
        <w:rPr>
          <w:lang w:val="fr-FR"/>
        </w:rPr>
        <w:t>« </w:t>
      </w:r>
      <w:r w:rsidR="007E4BE5" w:rsidRPr="00122563">
        <w:rPr>
          <w:sz w:val="18"/>
          <w:szCs w:val="18"/>
          <w:vertAlign w:val="superscript"/>
          <w:lang w:val="fr-FR"/>
        </w:rPr>
        <w:t>13</w:t>
      </w:r>
      <w:r w:rsidR="007E4BE5" w:rsidRPr="00122563">
        <w:rPr>
          <w:sz w:val="18"/>
          <w:szCs w:val="18"/>
          <w:lang w:val="fr-FR"/>
        </w:rPr>
        <w:tab/>
      </w:r>
      <w:r w:rsidR="007E4BE5" w:rsidRPr="00122563">
        <w:rPr>
          <w:i/>
          <w:iCs/>
          <w:sz w:val="18"/>
          <w:szCs w:val="18"/>
          <w:lang w:val="fr-FR"/>
        </w:rPr>
        <w:t>Document guide mis à jour</w:t>
      </w:r>
      <w:r>
        <w:rPr>
          <w:i/>
          <w:iCs/>
          <w:sz w:val="18"/>
          <w:szCs w:val="18"/>
          <w:lang w:val="fr-FR"/>
        </w:rPr>
        <w:t> </w:t>
      </w:r>
      <w:r w:rsidR="007E4BE5" w:rsidRPr="00122563">
        <w:rPr>
          <w:i/>
          <w:iCs/>
          <w:sz w:val="18"/>
          <w:szCs w:val="18"/>
          <w:lang w:val="fr-FR"/>
        </w:rPr>
        <w:t>: OCDE 2019.</w:t>
      </w:r>
      <w:r w:rsidR="007E4BE5" w:rsidRPr="00122563">
        <w:rPr>
          <w:sz w:val="18"/>
          <w:szCs w:val="18"/>
          <w:lang w:val="fr-FR"/>
        </w:rPr>
        <w:t xml:space="preserve"> </w:t>
      </w:r>
      <w:r w:rsidR="007E4BE5" w:rsidRPr="00122563">
        <w:rPr>
          <w:i/>
          <w:iCs/>
          <w:sz w:val="18"/>
          <w:szCs w:val="18"/>
          <w:lang w:val="fr-FR"/>
        </w:rPr>
        <w:t>Guidance Document on Aqueous-Phase Aquatic Toxicity Testing of Difficult Test Chemicals, Série sur les essais et évaluations</w:t>
      </w:r>
      <w:r w:rsidR="007E4BE5" w:rsidRPr="00122563" w:rsidDel="00DE5E3A">
        <w:rPr>
          <w:i/>
          <w:iCs/>
          <w:sz w:val="18"/>
          <w:szCs w:val="18"/>
          <w:lang w:val="fr-FR"/>
        </w:rPr>
        <w:t xml:space="preserve"> </w:t>
      </w:r>
      <w:r w:rsidR="007E4BE5" w:rsidRPr="00122563">
        <w:rPr>
          <w:i/>
          <w:iCs/>
          <w:sz w:val="18"/>
          <w:szCs w:val="18"/>
          <w:lang w:val="fr-FR"/>
        </w:rPr>
        <w:t>n</w:t>
      </w:r>
      <w:r w:rsidR="007E4BE5" w:rsidRPr="00122563">
        <w:rPr>
          <w:i/>
          <w:iCs/>
          <w:sz w:val="18"/>
          <w:szCs w:val="18"/>
          <w:vertAlign w:val="superscript"/>
          <w:lang w:val="fr-FR"/>
        </w:rPr>
        <w:t>o</w:t>
      </w:r>
      <w:r w:rsidR="007E4BE5" w:rsidRPr="00122563">
        <w:rPr>
          <w:i/>
          <w:iCs/>
          <w:sz w:val="18"/>
          <w:szCs w:val="18"/>
          <w:lang w:val="fr-FR"/>
        </w:rPr>
        <w:t> 23 (deuxième édition),</w:t>
      </w:r>
      <w:r w:rsidR="007E4BE5" w:rsidRPr="00122563">
        <w:rPr>
          <w:sz w:val="18"/>
          <w:szCs w:val="18"/>
          <w:lang w:val="fr-FR"/>
        </w:rPr>
        <w:t xml:space="preserve"> </w:t>
      </w:r>
      <w:r w:rsidR="004363EA" w:rsidRPr="004363EA">
        <w:rPr>
          <w:i/>
          <w:iCs/>
          <w:sz w:val="18"/>
          <w:szCs w:val="18"/>
          <w:lang w:val="fr-FR"/>
        </w:rPr>
        <w:t>OCDE</w:t>
      </w:r>
      <w:r w:rsidR="007E4BE5" w:rsidRPr="00122563">
        <w:rPr>
          <w:i/>
          <w:iCs/>
          <w:sz w:val="18"/>
          <w:szCs w:val="18"/>
          <w:lang w:val="fr-FR"/>
        </w:rPr>
        <w:t>, Paris.</w:t>
      </w:r>
      <w:r>
        <w:rPr>
          <w:iCs/>
          <w:lang w:val="fr-FR"/>
        </w:rPr>
        <w:t> ».</w:t>
      </w:r>
    </w:p>
    <w:p w14:paraId="2649E4A8" w14:textId="77777777" w:rsidR="007E4BE5" w:rsidRPr="00972037" w:rsidRDefault="007E4BE5" w:rsidP="00743423">
      <w:pPr>
        <w:pStyle w:val="SingleTxtG"/>
        <w:keepNext/>
        <w:ind w:left="2268" w:hanging="1134"/>
        <w:rPr>
          <w:rFonts w:asciiTheme="majorBidi" w:hAnsiTheme="majorBidi" w:cstheme="majorBidi"/>
        </w:rPr>
      </w:pPr>
      <w:r>
        <w:rPr>
          <w:lang w:val="fr-FR"/>
        </w:rPr>
        <w:t>A9.7.1.1</w:t>
      </w:r>
      <w:r>
        <w:rPr>
          <w:lang w:val="fr-FR"/>
        </w:rPr>
        <w:tab/>
        <w:t xml:space="preserve">Remplacer </w:t>
      </w:r>
      <w:r w:rsidR="00122563">
        <w:rPr>
          <w:lang w:val="fr-FR"/>
        </w:rPr>
        <w:t>« </w:t>
      </w:r>
      <w:r>
        <w:rPr>
          <w:lang w:val="fr-FR"/>
        </w:rPr>
        <w:t>(OCDE, 1998)</w:t>
      </w:r>
      <w:r w:rsidR="00122563">
        <w:rPr>
          <w:lang w:val="fr-FR"/>
        </w:rPr>
        <w:t> »</w:t>
      </w:r>
      <w:r>
        <w:rPr>
          <w:lang w:val="fr-FR"/>
        </w:rPr>
        <w:t xml:space="preserve"> par </w:t>
      </w:r>
      <w:r w:rsidR="00122563">
        <w:rPr>
          <w:lang w:val="fr-FR"/>
        </w:rPr>
        <w:t>« </w:t>
      </w:r>
      <w:r>
        <w:rPr>
          <w:lang w:val="fr-FR"/>
        </w:rPr>
        <w:t>(OCDE, 1998)</w:t>
      </w:r>
      <w:r w:rsidRPr="00122563">
        <w:rPr>
          <w:sz w:val="18"/>
          <w:szCs w:val="18"/>
          <w:vertAlign w:val="superscript"/>
          <w:lang w:val="fr-FR"/>
        </w:rPr>
        <w:t>14</w:t>
      </w:r>
      <w:r w:rsidR="00122563">
        <w:rPr>
          <w:lang w:val="fr-FR"/>
        </w:rPr>
        <w:t> »</w:t>
      </w:r>
      <w:r>
        <w:rPr>
          <w:lang w:val="fr-FR"/>
        </w:rPr>
        <w:t xml:space="preserve"> et ajouter la note de bas de page suivante</w:t>
      </w:r>
      <w:r w:rsidR="00122563">
        <w:rPr>
          <w:lang w:val="fr-FR"/>
        </w:rPr>
        <w:t> </w:t>
      </w:r>
      <w:r>
        <w:rPr>
          <w:lang w:val="fr-FR"/>
        </w:rPr>
        <w:t>:</w:t>
      </w:r>
    </w:p>
    <w:p w14:paraId="7BD5CE81" w14:textId="77777777" w:rsidR="007E4BE5" w:rsidRPr="00512C82" w:rsidRDefault="00122563" w:rsidP="00743423">
      <w:pPr>
        <w:pStyle w:val="SingleTxtG"/>
        <w:ind w:left="2268"/>
        <w:rPr>
          <w:rFonts w:asciiTheme="majorBidi" w:hAnsiTheme="majorBidi" w:cstheme="majorBidi"/>
          <w:i/>
          <w:lang w:val="en-US"/>
        </w:rPr>
      </w:pPr>
      <w:r>
        <w:rPr>
          <w:lang w:val="fr-FR"/>
        </w:rPr>
        <w:t>« </w:t>
      </w:r>
      <w:r w:rsidR="007E4BE5" w:rsidRPr="00122563">
        <w:rPr>
          <w:sz w:val="18"/>
          <w:szCs w:val="18"/>
          <w:vertAlign w:val="superscript"/>
          <w:lang w:val="fr-FR"/>
        </w:rPr>
        <w:t>14</w:t>
      </w:r>
      <w:r w:rsidR="007E4BE5" w:rsidRPr="00122563">
        <w:rPr>
          <w:sz w:val="18"/>
          <w:szCs w:val="18"/>
          <w:lang w:val="fr-FR"/>
        </w:rPr>
        <w:tab/>
      </w:r>
      <w:r w:rsidR="007E4BE5" w:rsidRPr="00122563">
        <w:rPr>
          <w:i/>
          <w:iCs/>
          <w:sz w:val="18"/>
          <w:szCs w:val="18"/>
          <w:lang w:val="fr-FR"/>
        </w:rPr>
        <w:t>Référence mise à jour</w:t>
      </w:r>
      <w:r w:rsidRPr="00122563">
        <w:rPr>
          <w:i/>
          <w:iCs/>
          <w:sz w:val="18"/>
          <w:szCs w:val="18"/>
          <w:lang w:val="fr-FR"/>
        </w:rPr>
        <w:t> </w:t>
      </w:r>
      <w:r w:rsidR="007E4BE5" w:rsidRPr="00122563">
        <w:rPr>
          <w:i/>
          <w:iCs/>
          <w:sz w:val="18"/>
          <w:szCs w:val="18"/>
          <w:lang w:val="fr-FR"/>
        </w:rPr>
        <w:t>: OCDE (2001).</w:t>
      </w:r>
      <w:r w:rsidR="007E4BE5" w:rsidRPr="00122563">
        <w:rPr>
          <w:sz w:val="18"/>
          <w:szCs w:val="18"/>
          <w:lang w:val="fr-FR"/>
        </w:rPr>
        <w:t xml:space="preserve"> </w:t>
      </w:r>
      <w:r w:rsidR="007E4BE5" w:rsidRPr="00122563">
        <w:rPr>
          <w:i/>
          <w:iCs/>
          <w:sz w:val="18"/>
          <w:szCs w:val="18"/>
          <w:lang w:val="en-US"/>
        </w:rPr>
        <w:t>Harmonized integrated hazard classification system for human health and environmental effects of chemical substances and mixtures,</w:t>
      </w:r>
      <w:r w:rsidR="007E4BE5" w:rsidRPr="00122563">
        <w:rPr>
          <w:sz w:val="18"/>
          <w:szCs w:val="18"/>
          <w:lang w:val="en-US"/>
        </w:rPr>
        <w:t xml:space="preserve"> </w:t>
      </w:r>
      <w:r w:rsidR="007E4BE5" w:rsidRPr="00122563">
        <w:rPr>
          <w:i/>
          <w:iCs/>
          <w:sz w:val="18"/>
          <w:szCs w:val="18"/>
          <w:lang w:val="en-US"/>
        </w:rPr>
        <w:t>Série sur les essais et évaluations n</w:t>
      </w:r>
      <w:r w:rsidR="007E4BE5" w:rsidRPr="00122563">
        <w:rPr>
          <w:i/>
          <w:iCs/>
          <w:sz w:val="18"/>
          <w:szCs w:val="18"/>
          <w:vertAlign w:val="superscript"/>
          <w:lang w:val="en-US"/>
        </w:rPr>
        <w:t>o</w:t>
      </w:r>
      <w:r w:rsidR="007E4BE5" w:rsidRPr="00122563">
        <w:rPr>
          <w:i/>
          <w:iCs/>
          <w:sz w:val="18"/>
          <w:szCs w:val="18"/>
          <w:lang w:val="en-US"/>
        </w:rPr>
        <w:t> 33, OCDE, Paris.</w:t>
      </w:r>
      <w:r w:rsidRPr="00122563">
        <w:rPr>
          <w:iCs/>
          <w:lang w:val="en-US"/>
        </w:rPr>
        <w:t> »</w:t>
      </w:r>
      <w:r>
        <w:rPr>
          <w:iCs/>
          <w:lang w:val="en-US"/>
        </w:rPr>
        <w:t>.</w:t>
      </w:r>
    </w:p>
    <w:p w14:paraId="54602405" w14:textId="77777777" w:rsidR="007E4BE5" w:rsidRDefault="007E4BE5" w:rsidP="00993EB8">
      <w:pPr>
        <w:pStyle w:val="H1G"/>
      </w:pPr>
      <w:r w:rsidRPr="00512C82">
        <w:rPr>
          <w:lang w:val="en-US"/>
        </w:rPr>
        <w:tab/>
      </w:r>
      <w:r w:rsidRPr="00512C82">
        <w:rPr>
          <w:lang w:val="en-US"/>
        </w:rPr>
        <w:tab/>
      </w:r>
      <w:r>
        <w:rPr>
          <w:lang w:val="fr-FR"/>
        </w:rPr>
        <w:t>Annexe 9, Appendice III</w:t>
      </w:r>
    </w:p>
    <w:p w14:paraId="0752C915" w14:textId="77777777" w:rsidR="007E4BE5" w:rsidRPr="00972037" w:rsidRDefault="007E4BE5" w:rsidP="00993EB8">
      <w:pPr>
        <w:pStyle w:val="SingleTxtG"/>
        <w:keepNext/>
        <w:ind w:left="2268" w:hanging="1134"/>
        <w:rPr>
          <w:rFonts w:asciiTheme="majorBidi" w:hAnsiTheme="majorBidi" w:cstheme="majorBidi"/>
        </w:rPr>
      </w:pPr>
      <w:r>
        <w:rPr>
          <w:lang w:val="fr-FR"/>
        </w:rPr>
        <w:t>1.2.1</w:t>
      </w:r>
      <w:r>
        <w:rPr>
          <w:lang w:val="fr-FR"/>
        </w:rPr>
        <w:tab/>
        <w:t xml:space="preserve">Remplacer </w:t>
      </w:r>
      <w:r w:rsidR="00993EB8">
        <w:rPr>
          <w:lang w:val="fr-FR"/>
        </w:rPr>
        <w:t>« </w:t>
      </w:r>
      <w:r>
        <w:rPr>
          <w:lang w:val="fr-FR"/>
        </w:rPr>
        <w:t>(OCDE 305, 1996)</w:t>
      </w:r>
      <w:r w:rsidR="00993EB8">
        <w:rPr>
          <w:lang w:val="fr-FR"/>
        </w:rPr>
        <w:t> »</w:t>
      </w:r>
      <w:r>
        <w:rPr>
          <w:lang w:val="fr-FR"/>
        </w:rPr>
        <w:t xml:space="preserve"> par </w:t>
      </w:r>
      <w:r w:rsidR="00993EB8">
        <w:rPr>
          <w:lang w:val="fr-FR"/>
        </w:rPr>
        <w:t>« </w:t>
      </w:r>
      <w:r>
        <w:rPr>
          <w:lang w:val="fr-FR"/>
        </w:rPr>
        <w:t>(OCDE 305, 1996)</w:t>
      </w:r>
      <w:r w:rsidRPr="00993EB8">
        <w:rPr>
          <w:sz w:val="18"/>
          <w:szCs w:val="18"/>
          <w:vertAlign w:val="superscript"/>
          <w:lang w:val="fr-FR"/>
        </w:rPr>
        <w:t>1</w:t>
      </w:r>
      <w:r w:rsidR="00993EB8">
        <w:rPr>
          <w:lang w:val="fr-FR"/>
        </w:rPr>
        <w:t> »</w:t>
      </w:r>
      <w:r>
        <w:rPr>
          <w:lang w:val="fr-FR"/>
        </w:rPr>
        <w:t xml:space="preserve"> et ajouter la note de bas de page suivante</w:t>
      </w:r>
      <w:r w:rsidR="00993EB8">
        <w:rPr>
          <w:lang w:val="fr-FR"/>
        </w:rPr>
        <w:t> </w:t>
      </w:r>
      <w:r>
        <w:rPr>
          <w:lang w:val="fr-FR"/>
        </w:rPr>
        <w:t>:</w:t>
      </w:r>
    </w:p>
    <w:p w14:paraId="0DF8E860" w14:textId="77777777" w:rsidR="007E4BE5" w:rsidRPr="00972037" w:rsidRDefault="00993EB8" w:rsidP="00993EB8">
      <w:pPr>
        <w:pStyle w:val="SingleTxtG"/>
        <w:ind w:left="2268"/>
        <w:rPr>
          <w:rFonts w:asciiTheme="majorBidi" w:hAnsiTheme="majorBidi" w:cstheme="majorBidi"/>
          <w:i/>
        </w:rPr>
      </w:pPr>
      <w:r>
        <w:rPr>
          <w:lang w:val="fr-FR"/>
        </w:rPr>
        <w:t>« </w:t>
      </w:r>
      <w:r w:rsidR="007E4BE5" w:rsidRPr="00993EB8">
        <w:rPr>
          <w:sz w:val="18"/>
          <w:szCs w:val="18"/>
          <w:vertAlign w:val="superscript"/>
          <w:lang w:val="fr-FR"/>
        </w:rPr>
        <w:t>1</w:t>
      </w:r>
      <w:r w:rsidR="007E4BE5" w:rsidRPr="00993EB8">
        <w:rPr>
          <w:sz w:val="18"/>
          <w:szCs w:val="18"/>
          <w:lang w:val="fr-FR"/>
        </w:rPr>
        <w:tab/>
      </w:r>
      <w:r w:rsidR="007E4BE5" w:rsidRPr="00993EB8">
        <w:rPr>
          <w:i/>
          <w:iCs/>
          <w:sz w:val="18"/>
          <w:szCs w:val="18"/>
          <w:lang w:val="fr-FR"/>
        </w:rPr>
        <w:t>La ligne directrice 305 de l’OCDE a été mise à jour en 2012.</w:t>
      </w:r>
      <w:r w:rsidRPr="00993EB8">
        <w:rPr>
          <w:iCs/>
          <w:sz w:val="18"/>
          <w:szCs w:val="18"/>
          <w:lang w:val="fr-FR"/>
        </w:rPr>
        <w:t> </w:t>
      </w:r>
      <w:r>
        <w:rPr>
          <w:iCs/>
          <w:lang w:val="fr-FR"/>
        </w:rPr>
        <w:t>».</w:t>
      </w:r>
    </w:p>
    <w:p w14:paraId="20F751C4" w14:textId="77777777" w:rsidR="007E4BE5" w:rsidRPr="00972037" w:rsidRDefault="007E4BE5" w:rsidP="00993EB8">
      <w:pPr>
        <w:pStyle w:val="SingleTxtG"/>
        <w:keepNext/>
        <w:ind w:left="2268" w:hanging="1134"/>
        <w:rPr>
          <w:rFonts w:asciiTheme="majorBidi" w:hAnsiTheme="majorBidi" w:cstheme="majorBidi"/>
        </w:rPr>
      </w:pPr>
      <w:r>
        <w:rPr>
          <w:lang w:val="fr-FR"/>
        </w:rPr>
        <w:lastRenderedPageBreak/>
        <w:t>2.2.1</w:t>
      </w:r>
      <w:r>
        <w:rPr>
          <w:lang w:val="fr-FR"/>
        </w:rPr>
        <w:tab/>
        <w:t xml:space="preserve">Remplacer </w:t>
      </w:r>
      <w:r w:rsidR="00993EB8">
        <w:rPr>
          <w:lang w:val="fr-FR"/>
        </w:rPr>
        <w:t>« </w:t>
      </w:r>
      <w:r>
        <w:rPr>
          <w:lang w:val="fr-FR"/>
        </w:rPr>
        <w:t>OCDE (1983)</w:t>
      </w:r>
      <w:r w:rsidR="00993EB8">
        <w:rPr>
          <w:lang w:val="fr-FR"/>
        </w:rPr>
        <w:t> »</w:t>
      </w:r>
      <w:r>
        <w:rPr>
          <w:lang w:val="fr-FR"/>
        </w:rPr>
        <w:t xml:space="preserve"> par </w:t>
      </w:r>
      <w:r w:rsidR="00993EB8">
        <w:rPr>
          <w:lang w:val="fr-FR"/>
        </w:rPr>
        <w:t>« </w:t>
      </w:r>
      <w:r>
        <w:rPr>
          <w:lang w:val="fr-FR"/>
        </w:rPr>
        <w:t>OCDE (1983)</w:t>
      </w:r>
      <w:r w:rsidRPr="00993EB8">
        <w:rPr>
          <w:sz w:val="18"/>
          <w:szCs w:val="18"/>
          <w:vertAlign w:val="superscript"/>
          <w:lang w:val="fr-FR"/>
        </w:rPr>
        <w:t>2</w:t>
      </w:r>
      <w:r w:rsidR="00993EB8">
        <w:rPr>
          <w:lang w:val="fr-FR"/>
        </w:rPr>
        <w:t> »</w:t>
      </w:r>
      <w:r>
        <w:rPr>
          <w:lang w:val="fr-FR"/>
        </w:rPr>
        <w:t xml:space="preserve"> et ajouter la note de bas de page suivante</w:t>
      </w:r>
      <w:r w:rsidR="00993EB8">
        <w:rPr>
          <w:lang w:val="fr-FR"/>
        </w:rPr>
        <w:t> </w:t>
      </w:r>
      <w:r>
        <w:rPr>
          <w:lang w:val="fr-FR"/>
        </w:rPr>
        <w:t>:</w:t>
      </w:r>
    </w:p>
    <w:p w14:paraId="4B088A18" w14:textId="77777777" w:rsidR="007E4BE5" w:rsidRPr="00307652" w:rsidRDefault="00993EB8" w:rsidP="00993EB8">
      <w:pPr>
        <w:pStyle w:val="SingleTxtG"/>
        <w:ind w:left="2268"/>
        <w:rPr>
          <w:rFonts w:asciiTheme="majorBidi" w:hAnsiTheme="majorBidi" w:cstheme="majorBidi"/>
          <w:i/>
        </w:rPr>
      </w:pPr>
      <w:r>
        <w:rPr>
          <w:lang w:val="fr-FR"/>
        </w:rPr>
        <w:t>« </w:t>
      </w:r>
      <w:r w:rsidR="007E4BE5" w:rsidRPr="00993EB8">
        <w:rPr>
          <w:sz w:val="18"/>
          <w:szCs w:val="18"/>
          <w:vertAlign w:val="superscript"/>
          <w:lang w:val="fr-FR"/>
        </w:rPr>
        <w:t>2</w:t>
      </w:r>
      <w:r w:rsidR="007E4BE5" w:rsidRPr="00993EB8">
        <w:rPr>
          <w:sz w:val="18"/>
          <w:szCs w:val="18"/>
          <w:lang w:val="fr-FR"/>
        </w:rPr>
        <w:tab/>
      </w:r>
      <w:r w:rsidR="007E4BE5" w:rsidRPr="00993EB8">
        <w:rPr>
          <w:i/>
          <w:iCs/>
          <w:sz w:val="18"/>
          <w:szCs w:val="18"/>
          <w:lang w:val="fr-FR"/>
        </w:rPr>
        <w:t>La ligne directrice 117 de l’OCDE a été mise à jour en 2004.</w:t>
      </w:r>
      <w:r>
        <w:rPr>
          <w:i/>
          <w:iCs/>
          <w:lang w:val="fr-FR"/>
        </w:rPr>
        <w:t> </w:t>
      </w:r>
      <w:r w:rsidRPr="00993EB8">
        <w:rPr>
          <w:iCs/>
          <w:lang w:val="fr-FR"/>
        </w:rPr>
        <w:t>».</w:t>
      </w:r>
    </w:p>
    <w:p w14:paraId="21A695E9" w14:textId="77777777" w:rsidR="007E4BE5" w:rsidRDefault="007E4BE5" w:rsidP="00993EB8">
      <w:pPr>
        <w:pStyle w:val="H1G"/>
      </w:pPr>
      <w:r>
        <w:rPr>
          <w:lang w:val="fr-FR"/>
        </w:rPr>
        <w:tab/>
      </w:r>
      <w:r>
        <w:rPr>
          <w:lang w:val="fr-FR"/>
        </w:rPr>
        <w:tab/>
        <w:t>Annexe 9, Appendice V</w:t>
      </w:r>
    </w:p>
    <w:p w14:paraId="0ED1C14C" w14:textId="77777777" w:rsidR="007E4BE5" w:rsidRDefault="007E4BE5" w:rsidP="00993EB8">
      <w:pPr>
        <w:pStyle w:val="SingleTxtG"/>
        <w:keepNext/>
        <w:ind w:left="2268" w:hanging="1134"/>
        <w:rPr>
          <w:i/>
        </w:rPr>
      </w:pPr>
      <w:r>
        <w:rPr>
          <w:lang w:val="fr-FR"/>
        </w:rPr>
        <w:t>1</w:t>
      </w:r>
      <w:r w:rsidR="00993EB8">
        <w:rPr>
          <w:lang w:val="fr-FR"/>
        </w:rPr>
        <w:t> </w:t>
      </w:r>
      <w:r>
        <w:rPr>
          <w:lang w:val="fr-FR"/>
        </w:rPr>
        <w:t>c)</w:t>
      </w:r>
      <w:r>
        <w:rPr>
          <w:lang w:val="fr-FR"/>
        </w:rPr>
        <w:tab/>
        <w:t xml:space="preserve">Remplacer </w:t>
      </w:r>
      <w:r w:rsidR="00993EB8">
        <w:rPr>
          <w:lang w:val="fr-FR"/>
        </w:rPr>
        <w:t>« </w:t>
      </w:r>
      <w:r>
        <w:rPr>
          <w:lang w:val="fr-FR"/>
        </w:rPr>
        <w:t>http://www.oecd.org/env/testguidelines)</w:t>
      </w:r>
      <w:r w:rsidR="00993EB8">
        <w:rPr>
          <w:lang w:val="fr-FR"/>
        </w:rPr>
        <w:t> »</w:t>
      </w:r>
      <w:r>
        <w:rPr>
          <w:lang w:val="fr-FR"/>
        </w:rPr>
        <w:t xml:space="preserve"> par </w:t>
      </w:r>
      <w:r w:rsidR="00993EB8">
        <w:rPr>
          <w:lang w:val="fr-FR"/>
        </w:rPr>
        <w:t>« </w:t>
      </w:r>
      <w:hyperlink r:id="rId8" w:history="1">
        <w:r w:rsidRPr="00993EB8">
          <w:rPr>
            <w:rStyle w:val="Hyperlink"/>
            <w:lang w:val="fr-FR"/>
          </w:rPr>
          <w:t>http://www.</w:t>
        </w:r>
        <w:r w:rsidR="00993EB8">
          <w:rPr>
            <w:rStyle w:val="Hyperlink"/>
            <w:lang w:val="fr-FR"/>
          </w:rPr>
          <w:t xml:space="preserve"> </w:t>
        </w:r>
        <w:r w:rsidRPr="00993EB8">
          <w:rPr>
            <w:rStyle w:val="Hyperlink"/>
            <w:lang w:val="fr-FR"/>
          </w:rPr>
          <w:t>oecd.org/env/ehs/testing/oecdguidelinesforthetestingofchemicals.htm</w:t>
        </w:r>
      </w:hyperlink>
      <w:r w:rsidR="00993EB8">
        <w:rPr>
          <w:lang w:val="fr-FR"/>
        </w:rPr>
        <w:t> »</w:t>
      </w:r>
      <w:r>
        <w:rPr>
          <w:lang w:val="fr-FR"/>
        </w:rPr>
        <w:t>.</w:t>
      </w:r>
    </w:p>
    <w:p w14:paraId="1FF1362F" w14:textId="77777777" w:rsidR="007E4BE5" w:rsidRDefault="007E4BE5" w:rsidP="00993EB8">
      <w:pPr>
        <w:pStyle w:val="SingleTxtG"/>
        <w:keepNext/>
        <w:ind w:left="2268" w:hanging="1134"/>
        <w:rPr>
          <w:rFonts w:asciiTheme="majorBidi" w:hAnsiTheme="majorBidi" w:cstheme="majorBidi"/>
        </w:rPr>
      </w:pPr>
      <w:r>
        <w:rPr>
          <w:lang w:val="fr-FR"/>
        </w:rPr>
        <w:t>2.</w:t>
      </w:r>
      <w:r>
        <w:rPr>
          <w:lang w:val="fr-FR"/>
        </w:rPr>
        <w:tab/>
        <w:t>Modifier comme suit les références aux lignes directrices de l’OCDE énumérées ci-dessous</w:t>
      </w:r>
      <w:r w:rsidR="00993EB8">
        <w:rPr>
          <w:lang w:val="fr-FR"/>
        </w:rPr>
        <w:t> </w:t>
      </w:r>
      <w:r>
        <w:rPr>
          <w:lang w:val="fr-FR"/>
        </w:rPr>
        <w:t>:</w:t>
      </w:r>
    </w:p>
    <w:p w14:paraId="03B87E0C" w14:textId="77777777" w:rsidR="007E4BE5" w:rsidRPr="00972037" w:rsidRDefault="007E4BE5" w:rsidP="00993EB8">
      <w:pPr>
        <w:pStyle w:val="Bullet2G"/>
      </w:pPr>
      <w:r>
        <w:rPr>
          <w:lang w:val="fr-FR"/>
        </w:rPr>
        <w:t>Ligne directrice 201 de l’OCDE</w:t>
      </w:r>
      <w:r w:rsidR="00993EB8">
        <w:rPr>
          <w:lang w:val="fr-FR"/>
        </w:rPr>
        <w:t> </w:t>
      </w:r>
      <w:r>
        <w:rPr>
          <w:lang w:val="fr-FR"/>
        </w:rPr>
        <w:t xml:space="preserve">: Remplacer </w:t>
      </w:r>
      <w:r w:rsidR="00993EB8">
        <w:rPr>
          <w:lang w:val="fr-FR"/>
        </w:rPr>
        <w:t>« </w:t>
      </w:r>
      <w:r>
        <w:rPr>
          <w:lang w:val="fr-FR"/>
        </w:rPr>
        <w:t>(1984)</w:t>
      </w:r>
      <w:r w:rsidR="00993EB8">
        <w:rPr>
          <w:lang w:val="fr-FR"/>
        </w:rPr>
        <w:t> »</w:t>
      </w:r>
      <w:r>
        <w:rPr>
          <w:lang w:val="fr-FR"/>
        </w:rPr>
        <w:t xml:space="preserve"> par </w:t>
      </w:r>
      <w:r w:rsidR="00993EB8">
        <w:rPr>
          <w:lang w:val="fr-FR"/>
        </w:rPr>
        <w:t>« </w:t>
      </w:r>
      <w:r>
        <w:rPr>
          <w:lang w:val="fr-FR"/>
        </w:rPr>
        <w:t>(1984)</w:t>
      </w:r>
      <w:r w:rsidRPr="00993EB8">
        <w:rPr>
          <w:sz w:val="18"/>
          <w:szCs w:val="18"/>
          <w:vertAlign w:val="superscript"/>
          <w:lang w:val="fr-FR"/>
        </w:rPr>
        <w:t>2</w:t>
      </w:r>
      <w:r w:rsidR="00993EB8">
        <w:rPr>
          <w:lang w:val="fr-FR"/>
        </w:rPr>
        <w:t> »</w:t>
      </w:r>
      <w:r>
        <w:rPr>
          <w:lang w:val="fr-FR"/>
        </w:rPr>
        <w:t xml:space="preserve"> et ajouter la note de bas de page suivante</w:t>
      </w:r>
      <w:r w:rsidR="00993EB8">
        <w:rPr>
          <w:lang w:val="fr-FR"/>
        </w:rPr>
        <w:t> </w:t>
      </w:r>
      <w:r>
        <w:rPr>
          <w:lang w:val="fr-FR"/>
        </w:rPr>
        <w:t xml:space="preserve">: </w:t>
      </w:r>
    </w:p>
    <w:p w14:paraId="57C84516" w14:textId="77777777" w:rsidR="007E4BE5" w:rsidRPr="00972037" w:rsidRDefault="007E4BE5" w:rsidP="00993EB8">
      <w:pPr>
        <w:pStyle w:val="SingleTxtG"/>
        <w:ind w:left="2268"/>
      </w:pPr>
      <w:r>
        <w:rPr>
          <w:lang w:val="fr-FR"/>
        </w:rPr>
        <w:tab/>
      </w:r>
      <w:r w:rsidR="00993EB8">
        <w:rPr>
          <w:lang w:val="fr-FR"/>
        </w:rPr>
        <w:t>« </w:t>
      </w:r>
      <w:r w:rsidRPr="00993EB8">
        <w:rPr>
          <w:sz w:val="18"/>
          <w:szCs w:val="18"/>
          <w:vertAlign w:val="superscript"/>
          <w:lang w:val="fr-FR"/>
        </w:rPr>
        <w:t>2</w:t>
      </w:r>
      <w:r w:rsidRPr="00993EB8">
        <w:rPr>
          <w:sz w:val="18"/>
          <w:szCs w:val="18"/>
          <w:lang w:val="fr-FR"/>
        </w:rPr>
        <w:tab/>
        <w:t>Mise à jour en 2011.</w:t>
      </w:r>
      <w:r w:rsidR="00993EB8">
        <w:rPr>
          <w:lang w:val="fr-FR"/>
        </w:rPr>
        <w:t> ».</w:t>
      </w:r>
    </w:p>
    <w:p w14:paraId="390F35B5" w14:textId="77777777" w:rsidR="007E4BE5" w:rsidRPr="00972037" w:rsidRDefault="007E4BE5" w:rsidP="00993EB8">
      <w:pPr>
        <w:pStyle w:val="Bullet2G"/>
      </w:pPr>
      <w:r>
        <w:rPr>
          <w:lang w:val="fr-FR"/>
        </w:rPr>
        <w:t>Ligne directrice 202 de l’OCDE</w:t>
      </w:r>
      <w:r w:rsidR="00993EB8">
        <w:rPr>
          <w:lang w:val="fr-FR"/>
        </w:rPr>
        <w:t> </w:t>
      </w:r>
      <w:r>
        <w:rPr>
          <w:lang w:val="fr-FR"/>
        </w:rPr>
        <w:t xml:space="preserve">: Remplacer </w:t>
      </w:r>
      <w:r w:rsidR="00993EB8">
        <w:rPr>
          <w:lang w:val="fr-FR"/>
        </w:rPr>
        <w:t>« </w:t>
      </w:r>
      <w:r>
        <w:rPr>
          <w:lang w:val="fr-FR"/>
        </w:rPr>
        <w:t>(1984)</w:t>
      </w:r>
      <w:r w:rsidR="00993EB8">
        <w:rPr>
          <w:lang w:val="fr-FR"/>
        </w:rPr>
        <w:t> »</w:t>
      </w:r>
      <w:r>
        <w:rPr>
          <w:lang w:val="fr-FR"/>
        </w:rPr>
        <w:t xml:space="preserve"> par </w:t>
      </w:r>
      <w:r w:rsidR="00993EB8">
        <w:rPr>
          <w:lang w:val="fr-FR"/>
        </w:rPr>
        <w:t>« </w:t>
      </w:r>
      <w:r>
        <w:rPr>
          <w:lang w:val="fr-FR"/>
        </w:rPr>
        <w:t>(1984)</w:t>
      </w:r>
      <w:r w:rsidRPr="00993EB8">
        <w:rPr>
          <w:sz w:val="18"/>
          <w:szCs w:val="18"/>
          <w:vertAlign w:val="superscript"/>
          <w:lang w:val="fr-FR"/>
        </w:rPr>
        <w:t>3</w:t>
      </w:r>
      <w:r w:rsidR="00993EB8">
        <w:rPr>
          <w:lang w:val="fr-FR"/>
        </w:rPr>
        <w:t> »</w:t>
      </w:r>
      <w:r>
        <w:rPr>
          <w:lang w:val="fr-FR"/>
        </w:rPr>
        <w:t xml:space="preserve"> et ajouter la note de bas de page suivante</w:t>
      </w:r>
      <w:r w:rsidR="00E128FB">
        <w:rPr>
          <w:lang w:val="fr-FR"/>
        </w:rPr>
        <w:t> </w:t>
      </w:r>
      <w:r>
        <w:rPr>
          <w:lang w:val="fr-FR"/>
        </w:rPr>
        <w:t xml:space="preserve">: </w:t>
      </w:r>
    </w:p>
    <w:p w14:paraId="178C3CFE" w14:textId="77777777" w:rsidR="007E4BE5" w:rsidRPr="00972037" w:rsidRDefault="007E4BE5" w:rsidP="00993EB8">
      <w:pPr>
        <w:pStyle w:val="SingleTxtG"/>
        <w:ind w:left="2268"/>
      </w:pPr>
      <w:r>
        <w:rPr>
          <w:lang w:val="fr-FR"/>
        </w:rPr>
        <w:tab/>
      </w:r>
      <w:r w:rsidR="00993EB8">
        <w:rPr>
          <w:lang w:val="fr-FR"/>
        </w:rPr>
        <w:t>« </w:t>
      </w:r>
      <w:r w:rsidRPr="00993EB8">
        <w:rPr>
          <w:sz w:val="18"/>
          <w:szCs w:val="18"/>
          <w:vertAlign w:val="superscript"/>
          <w:lang w:val="fr-FR"/>
        </w:rPr>
        <w:t>3</w:t>
      </w:r>
      <w:r w:rsidRPr="00993EB8">
        <w:rPr>
          <w:sz w:val="18"/>
          <w:szCs w:val="18"/>
          <w:lang w:val="fr-FR"/>
        </w:rPr>
        <w:tab/>
        <w:t>Mise à jour en 2004.</w:t>
      </w:r>
      <w:r w:rsidR="00993EB8">
        <w:rPr>
          <w:lang w:val="fr-FR"/>
        </w:rPr>
        <w:t> ».</w:t>
      </w:r>
    </w:p>
    <w:p w14:paraId="7A0CA6C0" w14:textId="77777777" w:rsidR="007E4BE5" w:rsidRPr="00972037" w:rsidRDefault="007E4BE5" w:rsidP="00993EB8">
      <w:pPr>
        <w:pStyle w:val="Bullet2G"/>
      </w:pPr>
      <w:r>
        <w:rPr>
          <w:lang w:val="fr-FR"/>
        </w:rPr>
        <w:t>Ligne directrice 203 de l’OCDE</w:t>
      </w:r>
      <w:r w:rsidR="00993EB8">
        <w:rPr>
          <w:lang w:val="fr-FR"/>
        </w:rPr>
        <w:t> </w:t>
      </w:r>
      <w:r>
        <w:rPr>
          <w:lang w:val="fr-FR"/>
        </w:rPr>
        <w:t xml:space="preserve">: Remplacer </w:t>
      </w:r>
      <w:r w:rsidR="00993EB8">
        <w:rPr>
          <w:lang w:val="fr-FR"/>
        </w:rPr>
        <w:t>« </w:t>
      </w:r>
      <w:r>
        <w:rPr>
          <w:lang w:val="fr-FR"/>
        </w:rPr>
        <w:t>(1992)</w:t>
      </w:r>
      <w:r w:rsidR="00993EB8">
        <w:rPr>
          <w:lang w:val="fr-FR"/>
        </w:rPr>
        <w:t> »</w:t>
      </w:r>
      <w:r>
        <w:rPr>
          <w:lang w:val="fr-FR"/>
        </w:rPr>
        <w:t xml:space="preserve"> par </w:t>
      </w:r>
      <w:r w:rsidR="00993EB8">
        <w:rPr>
          <w:lang w:val="fr-FR"/>
        </w:rPr>
        <w:t>« </w:t>
      </w:r>
      <w:r>
        <w:rPr>
          <w:lang w:val="fr-FR"/>
        </w:rPr>
        <w:t>(1992)</w:t>
      </w:r>
      <w:r w:rsidRPr="00993EB8">
        <w:rPr>
          <w:sz w:val="18"/>
          <w:szCs w:val="18"/>
          <w:vertAlign w:val="superscript"/>
          <w:lang w:val="fr-FR"/>
        </w:rPr>
        <w:t>4</w:t>
      </w:r>
      <w:r w:rsidR="00993EB8">
        <w:rPr>
          <w:lang w:val="fr-FR"/>
        </w:rPr>
        <w:t> »</w:t>
      </w:r>
      <w:r>
        <w:rPr>
          <w:lang w:val="fr-FR"/>
        </w:rPr>
        <w:t xml:space="preserve"> et </w:t>
      </w:r>
      <w:r w:rsidRPr="00BA3DF4">
        <w:rPr>
          <w:lang w:val="fr-FR"/>
        </w:rPr>
        <w:t xml:space="preserve">ajouter </w:t>
      </w:r>
      <w:r>
        <w:rPr>
          <w:lang w:val="fr-FR"/>
        </w:rPr>
        <w:t>la note de bas de page suivante</w:t>
      </w:r>
      <w:r w:rsidR="00993EB8">
        <w:rPr>
          <w:lang w:val="fr-FR"/>
        </w:rPr>
        <w:t> </w:t>
      </w:r>
      <w:r>
        <w:rPr>
          <w:lang w:val="fr-FR"/>
        </w:rPr>
        <w:t xml:space="preserve">: </w:t>
      </w:r>
    </w:p>
    <w:p w14:paraId="526602B8" w14:textId="77777777" w:rsidR="007E4BE5" w:rsidRPr="00972037" w:rsidRDefault="007E4BE5" w:rsidP="00993EB8">
      <w:pPr>
        <w:pStyle w:val="SingleTxtG"/>
        <w:ind w:left="2268"/>
      </w:pPr>
      <w:r>
        <w:rPr>
          <w:lang w:val="fr-FR"/>
        </w:rPr>
        <w:tab/>
      </w:r>
      <w:r w:rsidR="00993EB8">
        <w:rPr>
          <w:lang w:val="fr-FR"/>
        </w:rPr>
        <w:t>« </w:t>
      </w:r>
      <w:r w:rsidRPr="00993EB8">
        <w:rPr>
          <w:sz w:val="18"/>
          <w:szCs w:val="18"/>
          <w:vertAlign w:val="superscript"/>
          <w:lang w:val="fr-FR"/>
        </w:rPr>
        <w:t>4</w:t>
      </w:r>
      <w:r w:rsidRPr="00993EB8">
        <w:rPr>
          <w:sz w:val="18"/>
          <w:szCs w:val="18"/>
          <w:lang w:val="fr-FR"/>
        </w:rPr>
        <w:tab/>
        <w:t>Mise à jour en 2019.</w:t>
      </w:r>
      <w:r w:rsidR="00993EB8">
        <w:rPr>
          <w:lang w:val="fr-FR"/>
        </w:rPr>
        <w:t> ».</w:t>
      </w:r>
    </w:p>
    <w:p w14:paraId="2E832722" w14:textId="77777777" w:rsidR="007E4BE5" w:rsidRPr="00972037" w:rsidRDefault="007E4BE5" w:rsidP="00993EB8">
      <w:pPr>
        <w:pStyle w:val="Bullet2G"/>
      </w:pPr>
      <w:r>
        <w:rPr>
          <w:lang w:val="fr-FR"/>
        </w:rPr>
        <w:t>Ligne directrice 210 de l’OCDE</w:t>
      </w:r>
      <w:r w:rsidR="00993EB8">
        <w:rPr>
          <w:lang w:val="fr-FR"/>
        </w:rPr>
        <w:t> </w:t>
      </w:r>
      <w:r>
        <w:rPr>
          <w:lang w:val="fr-FR"/>
        </w:rPr>
        <w:t xml:space="preserve">: Remplacer </w:t>
      </w:r>
      <w:r w:rsidR="00993EB8">
        <w:rPr>
          <w:lang w:val="fr-FR"/>
        </w:rPr>
        <w:t>« </w:t>
      </w:r>
      <w:r>
        <w:rPr>
          <w:lang w:val="fr-FR"/>
        </w:rPr>
        <w:t>(1992)</w:t>
      </w:r>
      <w:r w:rsidR="00993EB8">
        <w:rPr>
          <w:lang w:val="fr-FR"/>
        </w:rPr>
        <w:t> »</w:t>
      </w:r>
      <w:r>
        <w:rPr>
          <w:lang w:val="fr-FR"/>
        </w:rPr>
        <w:t xml:space="preserve"> par </w:t>
      </w:r>
      <w:r w:rsidR="00993EB8">
        <w:rPr>
          <w:lang w:val="fr-FR"/>
        </w:rPr>
        <w:t>« </w:t>
      </w:r>
      <w:r>
        <w:rPr>
          <w:lang w:val="fr-FR"/>
        </w:rPr>
        <w:t>(1992)</w:t>
      </w:r>
      <w:r w:rsidRPr="00993EB8">
        <w:rPr>
          <w:sz w:val="18"/>
          <w:szCs w:val="18"/>
          <w:vertAlign w:val="superscript"/>
          <w:lang w:val="fr-FR"/>
        </w:rPr>
        <w:t>5</w:t>
      </w:r>
      <w:r w:rsidR="00993EB8">
        <w:rPr>
          <w:lang w:val="fr-FR"/>
        </w:rPr>
        <w:t> »</w:t>
      </w:r>
      <w:r>
        <w:rPr>
          <w:lang w:val="fr-FR"/>
        </w:rPr>
        <w:t xml:space="preserve"> et </w:t>
      </w:r>
      <w:r w:rsidRPr="00BA3DF4">
        <w:rPr>
          <w:lang w:val="fr-FR"/>
        </w:rPr>
        <w:t xml:space="preserve">ajouter </w:t>
      </w:r>
      <w:r>
        <w:rPr>
          <w:lang w:val="fr-FR"/>
        </w:rPr>
        <w:t>la note de bas de page suivante</w:t>
      </w:r>
      <w:r w:rsidR="00993EB8">
        <w:rPr>
          <w:lang w:val="fr-FR"/>
        </w:rPr>
        <w:t> </w:t>
      </w:r>
      <w:r>
        <w:rPr>
          <w:lang w:val="fr-FR"/>
        </w:rPr>
        <w:t xml:space="preserve">: </w:t>
      </w:r>
    </w:p>
    <w:p w14:paraId="78811878" w14:textId="77777777" w:rsidR="007E4BE5" w:rsidRPr="00972037" w:rsidRDefault="007E4BE5" w:rsidP="00993EB8">
      <w:pPr>
        <w:pStyle w:val="SingleTxtG"/>
        <w:ind w:left="2268"/>
      </w:pPr>
      <w:r>
        <w:rPr>
          <w:lang w:val="fr-FR"/>
        </w:rPr>
        <w:tab/>
      </w:r>
      <w:r w:rsidR="00993EB8">
        <w:rPr>
          <w:lang w:val="fr-FR"/>
        </w:rPr>
        <w:t>« </w:t>
      </w:r>
      <w:r w:rsidRPr="00993EB8">
        <w:rPr>
          <w:sz w:val="18"/>
          <w:szCs w:val="18"/>
          <w:vertAlign w:val="superscript"/>
          <w:lang w:val="fr-FR"/>
        </w:rPr>
        <w:t>5</w:t>
      </w:r>
      <w:r w:rsidRPr="00993EB8">
        <w:rPr>
          <w:sz w:val="18"/>
          <w:szCs w:val="18"/>
          <w:lang w:val="fr-FR"/>
        </w:rPr>
        <w:tab/>
        <w:t>Mise à jour en 2013.</w:t>
      </w:r>
      <w:r w:rsidR="00993EB8" w:rsidRPr="00993EB8">
        <w:rPr>
          <w:sz w:val="18"/>
          <w:szCs w:val="18"/>
          <w:lang w:val="fr-FR"/>
        </w:rPr>
        <w:t> </w:t>
      </w:r>
      <w:r w:rsidR="00993EB8">
        <w:rPr>
          <w:lang w:val="fr-FR"/>
        </w:rPr>
        <w:t>».</w:t>
      </w:r>
    </w:p>
    <w:p w14:paraId="0B949AA0" w14:textId="77777777" w:rsidR="007E4BE5" w:rsidRPr="00972037" w:rsidRDefault="007E4BE5" w:rsidP="00993EB8">
      <w:pPr>
        <w:pStyle w:val="Bullet2G"/>
      </w:pPr>
      <w:r>
        <w:rPr>
          <w:lang w:val="fr-FR"/>
        </w:rPr>
        <w:t>Ligne directrice 211 de l’OCDE</w:t>
      </w:r>
      <w:r w:rsidR="00586F8C">
        <w:rPr>
          <w:lang w:val="fr-FR"/>
        </w:rPr>
        <w:t> </w:t>
      </w:r>
      <w:r>
        <w:rPr>
          <w:lang w:val="fr-FR"/>
        </w:rPr>
        <w:t xml:space="preserve">: Remplacer </w:t>
      </w:r>
      <w:r w:rsidR="00993EB8">
        <w:rPr>
          <w:lang w:val="fr-FR"/>
        </w:rPr>
        <w:t>« </w:t>
      </w:r>
      <w:r>
        <w:rPr>
          <w:lang w:val="fr-FR"/>
        </w:rPr>
        <w:t>(1998)</w:t>
      </w:r>
      <w:r w:rsidR="00993EB8">
        <w:rPr>
          <w:lang w:val="fr-FR"/>
        </w:rPr>
        <w:t> »</w:t>
      </w:r>
      <w:r>
        <w:rPr>
          <w:lang w:val="fr-FR"/>
        </w:rPr>
        <w:t xml:space="preserve"> par </w:t>
      </w:r>
      <w:r w:rsidR="00993EB8">
        <w:rPr>
          <w:lang w:val="fr-FR"/>
        </w:rPr>
        <w:t>« </w:t>
      </w:r>
      <w:r>
        <w:rPr>
          <w:lang w:val="fr-FR"/>
        </w:rPr>
        <w:t>(1998)</w:t>
      </w:r>
      <w:r>
        <w:rPr>
          <w:vertAlign w:val="superscript"/>
          <w:lang w:val="fr-FR"/>
        </w:rPr>
        <w:t>6</w:t>
      </w:r>
      <w:r w:rsidR="00993EB8">
        <w:rPr>
          <w:lang w:val="fr-FR"/>
        </w:rPr>
        <w:t> »</w:t>
      </w:r>
      <w:r>
        <w:rPr>
          <w:lang w:val="fr-FR"/>
        </w:rPr>
        <w:t xml:space="preserve"> et </w:t>
      </w:r>
      <w:r w:rsidRPr="00BA3DF4">
        <w:rPr>
          <w:lang w:val="fr-FR"/>
        </w:rPr>
        <w:t xml:space="preserve">ajouter </w:t>
      </w:r>
      <w:r>
        <w:rPr>
          <w:lang w:val="fr-FR"/>
        </w:rPr>
        <w:t>la note de bas de page suivante</w:t>
      </w:r>
      <w:r w:rsidR="00586F8C">
        <w:rPr>
          <w:lang w:val="fr-FR"/>
        </w:rPr>
        <w:t> </w:t>
      </w:r>
      <w:r>
        <w:rPr>
          <w:lang w:val="fr-FR"/>
        </w:rPr>
        <w:t xml:space="preserve">: </w:t>
      </w:r>
    </w:p>
    <w:p w14:paraId="5EFC964F" w14:textId="77777777" w:rsidR="007E4BE5" w:rsidRPr="00972037" w:rsidRDefault="007E4BE5" w:rsidP="00586F8C">
      <w:pPr>
        <w:pStyle w:val="SingleTxtG"/>
        <w:ind w:left="2268"/>
      </w:pPr>
      <w:r>
        <w:rPr>
          <w:lang w:val="fr-FR"/>
        </w:rPr>
        <w:tab/>
      </w:r>
      <w:r w:rsidR="00586F8C">
        <w:rPr>
          <w:lang w:val="fr-FR"/>
        </w:rPr>
        <w:t>« </w:t>
      </w:r>
      <w:r w:rsidRPr="00586F8C">
        <w:rPr>
          <w:sz w:val="18"/>
          <w:szCs w:val="18"/>
          <w:vertAlign w:val="superscript"/>
          <w:lang w:val="fr-FR"/>
        </w:rPr>
        <w:t>6</w:t>
      </w:r>
      <w:r w:rsidRPr="00586F8C">
        <w:rPr>
          <w:sz w:val="18"/>
          <w:szCs w:val="18"/>
          <w:lang w:val="fr-FR"/>
        </w:rPr>
        <w:tab/>
        <w:t>Mise à jour en 2012.</w:t>
      </w:r>
      <w:r w:rsidR="00586F8C">
        <w:rPr>
          <w:lang w:val="fr-FR"/>
        </w:rPr>
        <w:t> ».</w:t>
      </w:r>
    </w:p>
    <w:p w14:paraId="1B1F38A8" w14:textId="77777777" w:rsidR="007E4BE5" w:rsidRPr="00972037" w:rsidRDefault="007E4BE5" w:rsidP="00993EB8">
      <w:pPr>
        <w:pStyle w:val="Bullet2G"/>
      </w:pPr>
      <w:r>
        <w:rPr>
          <w:lang w:val="fr-FR"/>
        </w:rPr>
        <w:t>Ligne directrice 221 de l’OCDE</w:t>
      </w:r>
      <w:r w:rsidR="00586F8C">
        <w:rPr>
          <w:lang w:val="fr-FR"/>
        </w:rPr>
        <w:t> </w:t>
      </w:r>
      <w:r>
        <w:rPr>
          <w:lang w:val="fr-FR"/>
        </w:rPr>
        <w:t xml:space="preserve">: Ajouter un renvoi à la note de bas de page </w:t>
      </w:r>
      <w:r w:rsidR="00586F8C">
        <w:rPr>
          <w:lang w:val="fr-FR"/>
        </w:rPr>
        <w:t>« </w:t>
      </w:r>
      <w:r>
        <w:rPr>
          <w:lang w:val="fr-FR"/>
        </w:rPr>
        <w:t>7</w:t>
      </w:r>
      <w:r w:rsidR="00586F8C">
        <w:rPr>
          <w:lang w:val="fr-FR"/>
        </w:rPr>
        <w:t> »</w:t>
      </w:r>
      <w:r>
        <w:rPr>
          <w:lang w:val="fr-FR"/>
        </w:rPr>
        <w:t xml:space="preserve"> à la fin et ajouter la note de bas de page suivante</w:t>
      </w:r>
      <w:r w:rsidR="00586F8C">
        <w:rPr>
          <w:lang w:val="fr-FR"/>
        </w:rPr>
        <w:t> </w:t>
      </w:r>
      <w:r>
        <w:rPr>
          <w:lang w:val="fr-FR"/>
        </w:rPr>
        <w:t xml:space="preserve">: </w:t>
      </w:r>
    </w:p>
    <w:p w14:paraId="17CD4459" w14:textId="77777777" w:rsidR="007E4BE5" w:rsidRPr="00E76CE1" w:rsidRDefault="00E76CE1" w:rsidP="00E128FB">
      <w:pPr>
        <w:pStyle w:val="SingleTxtG"/>
        <w:spacing w:after="100" w:line="220" w:lineRule="atLeast"/>
        <w:ind w:left="2268"/>
        <w:rPr>
          <w:rFonts w:asciiTheme="majorBidi" w:hAnsiTheme="majorBidi" w:cstheme="majorBidi"/>
          <w:i/>
          <w:sz w:val="18"/>
          <w:szCs w:val="18"/>
        </w:rPr>
      </w:pPr>
      <w:r w:rsidRPr="00E76CE1">
        <w:rPr>
          <w:lang w:val="fr-FR"/>
        </w:rPr>
        <w:t>« </w:t>
      </w:r>
      <w:r w:rsidR="007E4BE5" w:rsidRPr="00E76CE1">
        <w:rPr>
          <w:sz w:val="18"/>
          <w:szCs w:val="18"/>
          <w:vertAlign w:val="superscript"/>
          <w:lang w:val="fr-FR"/>
        </w:rPr>
        <w:t>7</w:t>
      </w:r>
      <w:r w:rsidR="007E4BE5" w:rsidRPr="00E76CE1">
        <w:rPr>
          <w:sz w:val="18"/>
          <w:szCs w:val="18"/>
          <w:lang w:val="fr-FR"/>
        </w:rPr>
        <w:tab/>
      </w:r>
      <w:r w:rsidR="007E4BE5" w:rsidRPr="00E76CE1">
        <w:rPr>
          <w:i/>
          <w:iCs/>
          <w:sz w:val="18"/>
          <w:szCs w:val="18"/>
          <w:lang w:val="fr-FR"/>
        </w:rPr>
        <w:t>Parmi les autres essais de l’OCDE figurent</w:t>
      </w:r>
      <w:r>
        <w:rPr>
          <w:i/>
          <w:iCs/>
          <w:sz w:val="18"/>
          <w:szCs w:val="18"/>
          <w:lang w:val="fr-FR"/>
        </w:rPr>
        <w:t> </w:t>
      </w:r>
      <w:r w:rsidR="007E4BE5" w:rsidRPr="00E76CE1">
        <w:rPr>
          <w:i/>
          <w:iCs/>
          <w:sz w:val="18"/>
          <w:szCs w:val="18"/>
          <w:lang w:val="fr-FR"/>
        </w:rPr>
        <w:t>:</w:t>
      </w:r>
      <w:r w:rsidR="007E4BE5" w:rsidRPr="00E76CE1">
        <w:rPr>
          <w:sz w:val="18"/>
          <w:szCs w:val="18"/>
          <w:lang w:val="fr-FR"/>
        </w:rPr>
        <w:t xml:space="preserve"> </w:t>
      </w:r>
    </w:p>
    <w:p w14:paraId="38C3D077" w14:textId="77777777" w:rsidR="007E4BE5" w:rsidRPr="00E76CE1" w:rsidRDefault="007E4BE5" w:rsidP="00E128FB">
      <w:pPr>
        <w:pStyle w:val="SingleTxtG"/>
        <w:spacing w:after="100" w:line="220" w:lineRule="atLeast"/>
        <w:ind w:left="2835"/>
        <w:rPr>
          <w:rFonts w:asciiTheme="majorBidi" w:hAnsiTheme="majorBidi" w:cstheme="majorBidi"/>
          <w:i/>
          <w:sz w:val="18"/>
          <w:szCs w:val="18"/>
        </w:rPr>
      </w:pPr>
      <w:r w:rsidRPr="00E76CE1">
        <w:rPr>
          <w:i/>
          <w:iCs/>
          <w:sz w:val="18"/>
          <w:szCs w:val="18"/>
          <w:lang w:val="fr-FR"/>
        </w:rPr>
        <w:t>Ligne directrice 219 de l’OCDE (2004) Essai de toxicité sur les chironomes dans un système eau chargée-sédiment</w:t>
      </w:r>
    </w:p>
    <w:p w14:paraId="4B213FAB" w14:textId="77777777" w:rsidR="007E4BE5" w:rsidRPr="00E76CE1" w:rsidRDefault="007E4BE5" w:rsidP="00E128FB">
      <w:pPr>
        <w:pStyle w:val="SingleTxtG"/>
        <w:spacing w:after="100" w:line="220" w:lineRule="atLeast"/>
        <w:ind w:left="2835"/>
        <w:rPr>
          <w:rFonts w:asciiTheme="majorBidi" w:hAnsiTheme="majorBidi" w:cstheme="majorBidi"/>
          <w:i/>
          <w:sz w:val="18"/>
          <w:szCs w:val="18"/>
        </w:rPr>
      </w:pPr>
      <w:r w:rsidRPr="00E76CE1">
        <w:rPr>
          <w:i/>
          <w:iCs/>
          <w:sz w:val="18"/>
          <w:szCs w:val="18"/>
          <w:lang w:val="fr-FR"/>
        </w:rPr>
        <w:t xml:space="preserve">Ligne directrice 233 de l’OCDE (2010) Essai de toxicité sur le cycle de vie </w:t>
      </w:r>
      <w:r w:rsidRPr="00E76CE1">
        <w:rPr>
          <w:i/>
          <w:iCs/>
          <w:spacing w:val="-2"/>
          <w:sz w:val="18"/>
          <w:szCs w:val="18"/>
          <w:lang w:val="fr-FR"/>
        </w:rPr>
        <w:t>des chironomes dans un système eau-sédiment chargé ou eau chargée-sédiment</w:t>
      </w:r>
    </w:p>
    <w:p w14:paraId="5594662D" w14:textId="77777777" w:rsidR="007E4BE5" w:rsidRPr="00E76CE1" w:rsidRDefault="007E4BE5" w:rsidP="00E128FB">
      <w:pPr>
        <w:pStyle w:val="SingleTxtG"/>
        <w:spacing w:after="100" w:line="220" w:lineRule="atLeast"/>
        <w:ind w:left="2835"/>
        <w:rPr>
          <w:rFonts w:asciiTheme="majorBidi" w:hAnsiTheme="majorBidi" w:cstheme="majorBidi"/>
          <w:i/>
          <w:sz w:val="18"/>
          <w:szCs w:val="18"/>
        </w:rPr>
      </w:pPr>
      <w:r w:rsidRPr="00E76CE1">
        <w:rPr>
          <w:i/>
          <w:iCs/>
          <w:sz w:val="18"/>
          <w:szCs w:val="18"/>
          <w:lang w:val="fr-FR"/>
        </w:rPr>
        <w:t>Ligne directrice 238 de l’OCDE (2014) Essai de toxicité sur Myriophyllum spicatum sans sédiment</w:t>
      </w:r>
    </w:p>
    <w:p w14:paraId="3920AB22" w14:textId="77777777" w:rsidR="007E4BE5" w:rsidRPr="00E76CE1" w:rsidRDefault="007E4BE5" w:rsidP="00E128FB">
      <w:pPr>
        <w:pStyle w:val="SingleTxtG"/>
        <w:spacing w:after="100" w:line="220" w:lineRule="atLeast"/>
        <w:ind w:left="2835"/>
        <w:rPr>
          <w:rFonts w:asciiTheme="majorBidi" w:hAnsiTheme="majorBidi" w:cstheme="majorBidi"/>
          <w:i/>
          <w:sz w:val="18"/>
          <w:szCs w:val="18"/>
        </w:rPr>
      </w:pPr>
      <w:r w:rsidRPr="00E76CE1">
        <w:rPr>
          <w:i/>
          <w:iCs/>
          <w:sz w:val="18"/>
          <w:szCs w:val="18"/>
          <w:lang w:val="fr-FR"/>
        </w:rPr>
        <w:t>Ligne directrice 240 de l’OCDE (2015), Étude étendue de toxicité pour la reproduction sur une génération chez le médaka</w:t>
      </w:r>
    </w:p>
    <w:p w14:paraId="35520893" w14:textId="77777777" w:rsidR="007E4BE5" w:rsidRPr="00E76CE1" w:rsidRDefault="007E4BE5" w:rsidP="00E128FB">
      <w:pPr>
        <w:pStyle w:val="SingleTxtG"/>
        <w:spacing w:after="100" w:line="220" w:lineRule="atLeast"/>
        <w:ind w:left="2835"/>
        <w:rPr>
          <w:rFonts w:asciiTheme="majorBidi" w:hAnsiTheme="majorBidi" w:cstheme="majorBidi"/>
          <w:i/>
          <w:sz w:val="18"/>
          <w:szCs w:val="18"/>
        </w:rPr>
      </w:pPr>
      <w:r w:rsidRPr="00E76CE1">
        <w:rPr>
          <w:i/>
          <w:iCs/>
          <w:sz w:val="18"/>
          <w:szCs w:val="18"/>
          <w:lang w:val="fr-FR"/>
        </w:rPr>
        <w:t>Ligne directrice 242 de l’OCDE (2016) Essai de reproduction chez Potamopyrgus antipodarum</w:t>
      </w:r>
    </w:p>
    <w:p w14:paraId="271FC559" w14:textId="77777777" w:rsidR="007E4BE5" w:rsidRPr="00E76CE1" w:rsidRDefault="007E4BE5" w:rsidP="00E128FB">
      <w:pPr>
        <w:pStyle w:val="SingleTxtG"/>
        <w:spacing w:after="100" w:line="220" w:lineRule="atLeast"/>
        <w:ind w:left="2835"/>
        <w:rPr>
          <w:iCs/>
          <w:sz w:val="18"/>
          <w:szCs w:val="18"/>
          <w:lang w:val="fr-FR"/>
        </w:rPr>
      </w:pPr>
      <w:r w:rsidRPr="00E76CE1">
        <w:rPr>
          <w:i/>
          <w:iCs/>
          <w:sz w:val="18"/>
          <w:szCs w:val="18"/>
          <w:lang w:val="fr-FR"/>
        </w:rPr>
        <w:t xml:space="preserve">Ligne directrice 243 de l’OCDE (2016) Essai de reproduction chez </w:t>
      </w:r>
      <w:r w:rsidRPr="00E76CE1">
        <w:rPr>
          <w:i/>
          <w:iCs/>
          <w:sz w:val="18"/>
          <w:szCs w:val="18"/>
        </w:rPr>
        <w:t>Lymnaea stagnalis</w:t>
      </w:r>
      <w:r w:rsidR="00E76CE1">
        <w:rPr>
          <w:iCs/>
          <w:sz w:val="18"/>
          <w:szCs w:val="18"/>
        </w:rPr>
        <w:t> ».</w:t>
      </w:r>
    </w:p>
    <w:p w14:paraId="08E2A7ED" w14:textId="77777777" w:rsidR="007E4BE5" w:rsidRDefault="007E4BE5" w:rsidP="00E76CE1">
      <w:pPr>
        <w:pStyle w:val="SingleTxtG"/>
        <w:keepNext/>
        <w:ind w:left="2268" w:hanging="1134"/>
        <w:rPr>
          <w:rFonts w:asciiTheme="majorBidi" w:hAnsiTheme="majorBidi" w:cstheme="majorBidi"/>
        </w:rPr>
      </w:pPr>
      <w:r>
        <w:rPr>
          <w:lang w:val="fr-FR"/>
        </w:rPr>
        <w:t>3.</w:t>
      </w:r>
      <w:r>
        <w:rPr>
          <w:lang w:val="fr-FR"/>
        </w:rPr>
        <w:tab/>
      </w:r>
      <w:r>
        <w:rPr>
          <w:lang w:val="fr-FR"/>
        </w:rPr>
        <w:tab/>
        <w:t xml:space="preserve">La note de bas de page </w:t>
      </w:r>
      <w:r w:rsidR="00E76CE1">
        <w:rPr>
          <w:lang w:val="fr-FR"/>
        </w:rPr>
        <w:t>« </w:t>
      </w:r>
      <w:r>
        <w:rPr>
          <w:lang w:val="fr-FR"/>
        </w:rPr>
        <w:t>2</w:t>
      </w:r>
      <w:r w:rsidR="00E76CE1">
        <w:rPr>
          <w:lang w:val="fr-FR"/>
        </w:rPr>
        <w:t> »</w:t>
      </w:r>
      <w:r>
        <w:rPr>
          <w:lang w:val="fr-FR"/>
        </w:rPr>
        <w:t xml:space="preserve"> devient la note de bas de page </w:t>
      </w:r>
      <w:r w:rsidR="00E76CE1">
        <w:rPr>
          <w:lang w:val="fr-FR"/>
        </w:rPr>
        <w:t>« </w:t>
      </w:r>
      <w:r>
        <w:rPr>
          <w:lang w:val="fr-FR"/>
        </w:rPr>
        <w:t>8</w:t>
      </w:r>
      <w:r w:rsidR="00E76CE1">
        <w:rPr>
          <w:lang w:val="fr-FR"/>
        </w:rPr>
        <w:t> »</w:t>
      </w:r>
      <w:r>
        <w:rPr>
          <w:lang w:val="fr-FR"/>
        </w:rPr>
        <w:t>. Modifier comme suit les références aux lignes directrices de l’OCDE énumérées ci</w:t>
      </w:r>
      <w:r w:rsidR="00E76CE1">
        <w:rPr>
          <w:lang w:val="fr-FR"/>
        </w:rPr>
        <w:noBreakHyphen/>
      </w:r>
      <w:r>
        <w:rPr>
          <w:lang w:val="fr-FR"/>
        </w:rPr>
        <w:t>dessous</w:t>
      </w:r>
      <w:r w:rsidR="00E76CE1">
        <w:rPr>
          <w:lang w:val="fr-FR"/>
        </w:rPr>
        <w:t> </w:t>
      </w:r>
      <w:r>
        <w:rPr>
          <w:lang w:val="fr-FR"/>
        </w:rPr>
        <w:t>:</w:t>
      </w:r>
    </w:p>
    <w:p w14:paraId="7A50D23C" w14:textId="77777777" w:rsidR="007E4BE5" w:rsidRPr="00972037" w:rsidRDefault="007E4BE5" w:rsidP="00E76CE1">
      <w:pPr>
        <w:pStyle w:val="Bullet2G"/>
      </w:pPr>
      <w:r>
        <w:rPr>
          <w:lang w:val="fr-FR"/>
        </w:rPr>
        <w:t>Ligne directrice 209 de l’OCDE</w:t>
      </w:r>
      <w:r w:rsidR="00E76CE1">
        <w:rPr>
          <w:lang w:val="fr-FR"/>
        </w:rPr>
        <w:t> </w:t>
      </w:r>
      <w:r>
        <w:rPr>
          <w:lang w:val="fr-FR"/>
        </w:rPr>
        <w:t xml:space="preserve">: Remplacer </w:t>
      </w:r>
      <w:r w:rsidR="00E76CE1">
        <w:rPr>
          <w:lang w:val="fr-FR"/>
        </w:rPr>
        <w:t>« </w:t>
      </w:r>
      <w:r>
        <w:rPr>
          <w:lang w:val="fr-FR"/>
        </w:rPr>
        <w:t>(1984)</w:t>
      </w:r>
      <w:r w:rsidR="00E76CE1">
        <w:rPr>
          <w:lang w:val="fr-FR"/>
        </w:rPr>
        <w:t> »</w:t>
      </w:r>
      <w:r>
        <w:rPr>
          <w:lang w:val="fr-FR"/>
        </w:rPr>
        <w:t xml:space="preserve"> par </w:t>
      </w:r>
      <w:r w:rsidR="00E76CE1">
        <w:rPr>
          <w:lang w:val="fr-FR"/>
        </w:rPr>
        <w:t>« </w:t>
      </w:r>
      <w:r>
        <w:rPr>
          <w:lang w:val="fr-FR"/>
        </w:rPr>
        <w:t>(1984)</w:t>
      </w:r>
      <w:r w:rsidRPr="00E76CE1">
        <w:rPr>
          <w:sz w:val="18"/>
          <w:szCs w:val="18"/>
          <w:vertAlign w:val="superscript"/>
          <w:lang w:val="fr-FR"/>
        </w:rPr>
        <w:t>9</w:t>
      </w:r>
      <w:r w:rsidR="00E76CE1">
        <w:rPr>
          <w:lang w:val="fr-FR"/>
        </w:rPr>
        <w:t> »</w:t>
      </w:r>
      <w:r>
        <w:rPr>
          <w:lang w:val="fr-FR"/>
        </w:rPr>
        <w:t xml:space="preserve"> et ajouter la note de bas de page suivante</w:t>
      </w:r>
      <w:r w:rsidR="00E76CE1">
        <w:rPr>
          <w:lang w:val="fr-FR"/>
        </w:rPr>
        <w:t> </w:t>
      </w:r>
      <w:r>
        <w:rPr>
          <w:lang w:val="fr-FR"/>
        </w:rPr>
        <w:t xml:space="preserve">: </w:t>
      </w:r>
    </w:p>
    <w:p w14:paraId="099E4F45" w14:textId="77777777" w:rsidR="007E4BE5" w:rsidRPr="00972037" w:rsidRDefault="007E4BE5" w:rsidP="00E76CE1">
      <w:pPr>
        <w:pStyle w:val="SingleTxtG"/>
        <w:ind w:left="2268"/>
      </w:pPr>
      <w:r>
        <w:rPr>
          <w:lang w:val="fr-FR"/>
        </w:rPr>
        <w:tab/>
      </w:r>
      <w:r w:rsidR="00E76CE1">
        <w:rPr>
          <w:lang w:val="fr-FR"/>
        </w:rPr>
        <w:t>« </w:t>
      </w:r>
      <w:r w:rsidRPr="00E76CE1">
        <w:rPr>
          <w:sz w:val="18"/>
          <w:szCs w:val="18"/>
          <w:vertAlign w:val="superscript"/>
          <w:lang w:val="fr-FR"/>
        </w:rPr>
        <w:t>9</w:t>
      </w:r>
      <w:r w:rsidRPr="00E76CE1">
        <w:rPr>
          <w:sz w:val="18"/>
          <w:szCs w:val="18"/>
          <w:lang w:val="fr-FR"/>
        </w:rPr>
        <w:tab/>
        <w:t>Mise à jour en 2010.</w:t>
      </w:r>
      <w:r w:rsidR="00E76CE1">
        <w:rPr>
          <w:lang w:val="fr-FR"/>
        </w:rPr>
        <w:t> ».</w:t>
      </w:r>
    </w:p>
    <w:p w14:paraId="1953CD21" w14:textId="77777777" w:rsidR="007E4BE5" w:rsidRPr="00972037" w:rsidRDefault="007E4BE5" w:rsidP="00E76CE1">
      <w:pPr>
        <w:pStyle w:val="Bullet2G"/>
      </w:pPr>
      <w:r>
        <w:rPr>
          <w:lang w:val="fr-FR"/>
        </w:rPr>
        <w:t>Ligne directrice 307</w:t>
      </w:r>
      <w:r w:rsidR="00E76CE1">
        <w:rPr>
          <w:lang w:val="fr-FR"/>
        </w:rPr>
        <w:t> </w:t>
      </w:r>
      <w:r>
        <w:rPr>
          <w:lang w:val="fr-FR"/>
        </w:rPr>
        <w:t xml:space="preserve">: Remplacer </w:t>
      </w:r>
      <w:r w:rsidR="00E76CE1">
        <w:rPr>
          <w:lang w:val="fr-FR"/>
        </w:rPr>
        <w:t>« </w:t>
      </w:r>
      <w:r>
        <w:rPr>
          <w:lang w:val="fr-FR"/>
        </w:rPr>
        <w:t>307</w:t>
      </w:r>
      <w:r w:rsidR="00E76CE1">
        <w:rPr>
          <w:lang w:val="fr-FR"/>
        </w:rPr>
        <w:t> »</w:t>
      </w:r>
      <w:r>
        <w:rPr>
          <w:lang w:val="fr-FR"/>
        </w:rPr>
        <w:t xml:space="preserve"> par </w:t>
      </w:r>
      <w:r w:rsidR="00E76CE1">
        <w:rPr>
          <w:lang w:val="fr-FR"/>
        </w:rPr>
        <w:t>« </w:t>
      </w:r>
      <w:r>
        <w:rPr>
          <w:lang w:val="fr-FR"/>
        </w:rPr>
        <w:t>307 (2002)</w:t>
      </w:r>
      <w:r w:rsidR="00E76CE1">
        <w:rPr>
          <w:lang w:val="fr-FR"/>
        </w:rPr>
        <w:t> »</w:t>
      </w:r>
      <w:r>
        <w:rPr>
          <w:lang w:val="fr-FR"/>
        </w:rPr>
        <w:t>.</w:t>
      </w:r>
    </w:p>
    <w:p w14:paraId="3EF13445" w14:textId="77777777" w:rsidR="007E4BE5" w:rsidRPr="00972037" w:rsidRDefault="007E4BE5" w:rsidP="00E76CE1">
      <w:pPr>
        <w:pStyle w:val="Bullet2G"/>
      </w:pPr>
      <w:r>
        <w:rPr>
          <w:lang w:val="fr-FR"/>
        </w:rPr>
        <w:t>Ligne directrice 308</w:t>
      </w:r>
      <w:r w:rsidR="00E76CE1">
        <w:rPr>
          <w:lang w:val="fr-FR"/>
        </w:rPr>
        <w:t> </w:t>
      </w:r>
      <w:r>
        <w:rPr>
          <w:lang w:val="fr-FR"/>
        </w:rPr>
        <w:t xml:space="preserve">: Remplacer </w:t>
      </w:r>
      <w:r w:rsidR="00E76CE1">
        <w:rPr>
          <w:lang w:val="fr-FR"/>
        </w:rPr>
        <w:t>« </w:t>
      </w:r>
      <w:r>
        <w:rPr>
          <w:lang w:val="fr-FR"/>
        </w:rPr>
        <w:t>308</w:t>
      </w:r>
      <w:r w:rsidR="00E76CE1">
        <w:rPr>
          <w:lang w:val="fr-FR"/>
        </w:rPr>
        <w:t> »</w:t>
      </w:r>
      <w:r>
        <w:rPr>
          <w:lang w:val="fr-FR"/>
        </w:rPr>
        <w:t xml:space="preserve"> par </w:t>
      </w:r>
      <w:r w:rsidR="00E76CE1">
        <w:rPr>
          <w:lang w:val="fr-FR"/>
        </w:rPr>
        <w:t>« </w:t>
      </w:r>
      <w:r>
        <w:rPr>
          <w:lang w:val="fr-FR"/>
        </w:rPr>
        <w:t>308 (2002)</w:t>
      </w:r>
      <w:r w:rsidR="00E76CE1">
        <w:rPr>
          <w:lang w:val="fr-FR"/>
        </w:rPr>
        <w:t> »</w:t>
      </w:r>
      <w:r>
        <w:rPr>
          <w:lang w:val="fr-FR"/>
        </w:rPr>
        <w:t>.</w:t>
      </w:r>
    </w:p>
    <w:p w14:paraId="466F0745" w14:textId="77777777" w:rsidR="007E4BE5" w:rsidRDefault="007E4BE5" w:rsidP="00E76CE1">
      <w:pPr>
        <w:pStyle w:val="Bullet2G"/>
      </w:pPr>
      <w:r>
        <w:rPr>
          <w:lang w:val="fr-FR"/>
        </w:rPr>
        <w:lastRenderedPageBreak/>
        <w:t>Ligne directrice 309</w:t>
      </w:r>
      <w:r w:rsidR="00E76CE1">
        <w:rPr>
          <w:lang w:val="fr-FR"/>
        </w:rPr>
        <w:t> </w:t>
      </w:r>
      <w:r>
        <w:rPr>
          <w:lang w:val="fr-FR"/>
        </w:rPr>
        <w:t xml:space="preserve">: Remplacer </w:t>
      </w:r>
      <w:r w:rsidR="00E76CE1">
        <w:rPr>
          <w:lang w:val="fr-FR"/>
        </w:rPr>
        <w:t>« </w:t>
      </w:r>
      <w:r>
        <w:rPr>
          <w:lang w:val="fr-FR"/>
        </w:rPr>
        <w:t>309</w:t>
      </w:r>
      <w:r w:rsidR="00E76CE1">
        <w:rPr>
          <w:lang w:val="fr-FR"/>
        </w:rPr>
        <w:t> »</w:t>
      </w:r>
      <w:r>
        <w:rPr>
          <w:lang w:val="fr-FR"/>
        </w:rPr>
        <w:t xml:space="preserve"> par </w:t>
      </w:r>
      <w:r w:rsidR="00E76CE1">
        <w:rPr>
          <w:lang w:val="fr-FR"/>
        </w:rPr>
        <w:t>« </w:t>
      </w:r>
      <w:r>
        <w:rPr>
          <w:lang w:val="fr-FR"/>
        </w:rPr>
        <w:t>309 (2004)</w:t>
      </w:r>
      <w:r w:rsidR="00E76CE1">
        <w:rPr>
          <w:lang w:val="fr-FR"/>
        </w:rPr>
        <w:t> »</w:t>
      </w:r>
      <w:r>
        <w:rPr>
          <w:lang w:val="fr-FR"/>
        </w:rPr>
        <w:t xml:space="preserve">, ajouter un renvoi à une note de bas de page </w:t>
      </w:r>
      <w:r w:rsidR="00E76CE1">
        <w:rPr>
          <w:lang w:val="fr-FR"/>
        </w:rPr>
        <w:t>« </w:t>
      </w:r>
      <w:r>
        <w:rPr>
          <w:lang w:val="fr-FR"/>
        </w:rPr>
        <w:t>10</w:t>
      </w:r>
      <w:r w:rsidR="00E76CE1">
        <w:rPr>
          <w:lang w:val="fr-FR"/>
        </w:rPr>
        <w:t> »</w:t>
      </w:r>
      <w:r>
        <w:rPr>
          <w:lang w:val="fr-FR"/>
        </w:rPr>
        <w:t xml:space="preserve"> à la fin, après </w:t>
      </w:r>
      <w:r w:rsidR="00E76CE1">
        <w:rPr>
          <w:lang w:val="fr-FR"/>
        </w:rPr>
        <w:t>« </w:t>
      </w:r>
      <w:r>
        <w:rPr>
          <w:lang w:val="fr-FR"/>
        </w:rPr>
        <w:t>produits chimiques</w:t>
      </w:r>
      <w:r w:rsidR="00E76CE1">
        <w:rPr>
          <w:lang w:val="fr-FR"/>
        </w:rPr>
        <w:t> »</w:t>
      </w:r>
      <w:r>
        <w:rPr>
          <w:lang w:val="fr-FR"/>
        </w:rPr>
        <w:t xml:space="preserve"> et ajouter la note de bas de page suivante</w:t>
      </w:r>
      <w:r w:rsidR="00E76CE1">
        <w:rPr>
          <w:lang w:val="fr-FR"/>
        </w:rPr>
        <w:t> </w:t>
      </w:r>
      <w:r>
        <w:rPr>
          <w:lang w:val="fr-FR"/>
        </w:rPr>
        <w:t>:</w:t>
      </w:r>
    </w:p>
    <w:p w14:paraId="2C76B17E" w14:textId="77777777" w:rsidR="007E4BE5" w:rsidRPr="00551F12" w:rsidRDefault="00551F12" w:rsidP="00551F12">
      <w:pPr>
        <w:pStyle w:val="SingleTxtG"/>
        <w:ind w:left="2268"/>
        <w:rPr>
          <w:rFonts w:asciiTheme="majorBidi" w:hAnsiTheme="majorBidi" w:cstheme="majorBidi"/>
          <w:i/>
          <w:sz w:val="18"/>
          <w:szCs w:val="18"/>
        </w:rPr>
      </w:pPr>
      <w:r w:rsidRPr="00551F12">
        <w:rPr>
          <w:lang w:val="fr-FR"/>
        </w:rPr>
        <w:t>« </w:t>
      </w:r>
      <w:r w:rsidR="007E4BE5" w:rsidRPr="00551F12">
        <w:rPr>
          <w:sz w:val="18"/>
          <w:szCs w:val="18"/>
          <w:vertAlign w:val="superscript"/>
          <w:lang w:val="fr-FR"/>
        </w:rPr>
        <w:t>10</w:t>
      </w:r>
      <w:r w:rsidR="007E4BE5" w:rsidRPr="00551F12">
        <w:rPr>
          <w:sz w:val="18"/>
          <w:szCs w:val="18"/>
          <w:lang w:val="fr-FR"/>
        </w:rPr>
        <w:tab/>
      </w:r>
      <w:r w:rsidR="007E4BE5" w:rsidRPr="00551F12">
        <w:rPr>
          <w:i/>
          <w:iCs/>
          <w:sz w:val="18"/>
          <w:szCs w:val="18"/>
          <w:lang w:val="fr-FR"/>
        </w:rPr>
        <w:t>Parmi les autres essais de l’OCDE figurent</w:t>
      </w:r>
      <w:r>
        <w:rPr>
          <w:i/>
          <w:iCs/>
          <w:sz w:val="18"/>
          <w:szCs w:val="18"/>
          <w:lang w:val="fr-FR"/>
        </w:rPr>
        <w:t> </w:t>
      </w:r>
      <w:r w:rsidR="007E4BE5" w:rsidRPr="00551F12">
        <w:rPr>
          <w:i/>
          <w:iCs/>
          <w:sz w:val="18"/>
          <w:szCs w:val="18"/>
          <w:lang w:val="fr-FR"/>
        </w:rPr>
        <w:t>:</w:t>
      </w:r>
      <w:r w:rsidR="007E4BE5" w:rsidRPr="00551F12">
        <w:rPr>
          <w:sz w:val="18"/>
          <w:szCs w:val="18"/>
          <w:lang w:val="fr-FR"/>
        </w:rPr>
        <w:t xml:space="preserve"> </w:t>
      </w:r>
    </w:p>
    <w:p w14:paraId="6083F6ED" w14:textId="77777777" w:rsidR="007E4BE5" w:rsidRPr="00551F12" w:rsidRDefault="007E4BE5" w:rsidP="00551F12">
      <w:pPr>
        <w:pStyle w:val="SingleTxtG"/>
        <w:ind w:left="2835"/>
        <w:rPr>
          <w:rFonts w:asciiTheme="majorBidi" w:hAnsiTheme="majorBidi" w:cstheme="majorBidi"/>
          <w:i/>
          <w:sz w:val="18"/>
          <w:szCs w:val="18"/>
        </w:rPr>
      </w:pPr>
      <w:r w:rsidRPr="00551F12">
        <w:rPr>
          <w:sz w:val="18"/>
          <w:szCs w:val="18"/>
          <w:lang w:val="fr-FR"/>
        </w:rPr>
        <w:tab/>
      </w:r>
      <w:r w:rsidRPr="00551F12">
        <w:rPr>
          <w:i/>
          <w:iCs/>
          <w:sz w:val="18"/>
          <w:szCs w:val="18"/>
          <w:lang w:val="fr-FR"/>
        </w:rPr>
        <w:t xml:space="preserve">Ligne directrice 310 de l’OCDE (2014) Biodégradabilité facile </w:t>
      </w:r>
      <w:r w:rsidR="00551F12">
        <w:rPr>
          <w:i/>
          <w:iCs/>
          <w:sz w:val="18"/>
          <w:szCs w:val="18"/>
          <w:lang w:val="fr-FR"/>
        </w:rPr>
        <w:t>−</w:t>
      </w:r>
      <w:r w:rsidRPr="00551F12">
        <w:rPr>
          <w:i/>
          <w:iCs/>
          <w:sz w:val="18"/>
          <w:szCs w:val="18"/>
          <w:lang w:val="fr-FR"/>
        </w:rPr>
        <w:t xml:space="preserve"> dégagement de CO</w:t>
      </w:r>
      <w:r w:rsidRPr="004363EA">
        <w:rPr>
          <w:i/>
          <w:iCs/>
          <w:sz w:val="18"/>
          <w:szCs w:val="18"/>
          <w:vertAlign w:val="subscript"/>
          <w:lang w:val="fr-FR"/>
        </w:rPr>
        <w:t>2</w:t>
      </w:r>
      <w:r w:rsidRPr="00551F12">
        <w:rPr>
          <w:i/>
          <w:iCs/>
          <w:sz w:val="18"/>
          <w:szCs w:val="18"/>
          <w:lang w:val="fr-FR"/>
        </w:rPr>
        <w:t xml:space="preserve"> dans des flacons hermétiquement clos (essai de l’espace libre au</w:t>
      </w:r>
      <w:r w:rsidR="00551F12">
        <w:rPr>
          <w:rFonts w:eastAsia="MS Mincho"/>
          <w:i/>
          <w:iCs/>
          <w:sz w:val="18"/>
          <w:szCs w:val="18"/>
          <w:lang w:val="fr-FR"/>
        </w:rPr>
        <w:noBreakHyphen/>
      </w:r>
      <w:r w:rsidRPr="00551F12">
        <w:rPr>
          <w:i/>
          <w:iCs/>
          <w:sz w:val="18"/>
          <w:szCs w:val="18"/>
          <w:lang w:val="fr-FR"/>
        </w:rPr>
        <w:t>dessus du liquide)</w:t>
      </w:r>
    </w:p>
    <w:p w14:paraId="41A4DF3A" w14:textId="77777777" w:rsidR="007E4BE5" w:rsidRPr="00E128FB" w:rsidRDefault="007E4BE5" w:rsidP="00551F12">
      <w:pPr>
        <w:pStyle w:val="SingleTxtG"/>
        <w:ind w:left="2835"/>
        <w:rPr>
          <w:rFonts w:asciiTheme="majorBidi" w:hAnsiTheme="majorBidi" w:cstheme="majorBidi"/>
          <w:i/>
          <w:spacing w:val="-2"/>
          <w:sz w:val="18"/>
          <w:szCs w:val="18"/>
        </w:rPr>
      </w:pPr>
      <w:r w:rsidRPr="00E128FB">
        <w:rPr>
          <w:spacing w:val="-2"/>
          <w:sz w:val="18"/>
          <w:szCs w:val="18"/>
          <w:lang w:val="fr-FR"/>
        </w:rPr>
        <w:tab/>
      </w:r>
      <w:r w:rsidRPr="00E128FB">
        <w:rPr>
          <w:i/>
          <w:iCs/>
          <w:spacing w:val="-2"/>
          <w:sz w:val="18"/>
          <w:szCs w:val="18"/>
          <w:lang w:val="fr-FR"/>
        </w:rPr>
        <w:t>Ligne directrice 311 de l’OCDE (2006) Essai de biodégradabilité anaérobie des composés organiques dans une boue digérée</w:t>
      </w:r>
      <w:r w:rsidR="004363EA">
        <w:rPr>
          <w:i/>
          <w:iCs/>
          <w:spacing w:val="-2"/>
          <w:sz w:val="18"/>
          <w:szCs w:val="18"/>
          <w:lang w:val="fr-FR"/>
        </w:rPr>
        <w:t> </w:t>
      </w:r>
      <w:r w:rsidRPr="00E128FB">
        <w:rPr>
          <w:i/>
          <w:iCs/>
          <w:spacing w:val="-2"/>
          <w:sz w:val="18"/>
          <w:szCs w:val="18"/>
          <w:lang w:val="fr-FR"/>
        </w:rPr>
        <w:t>: mesure du dégagement gazeux</w:t>
      </w:r>
    </w:p>
    <w:p w14:paraId="6D149AF2" w14:textId="77777777" w:rsidR="007E4BE5" w:rsidRPr="00551F12" w:rsidRDefault="007E4BE5" w:rsidP="00551F12">
      <w:pPr>
        <w:pStyle w:val="SingleTxtG"/>
        <w:ind w:left="2835"/>
        <w:rPr>
          <w:rFonts w:asciiTheme="majorBidi" w:hAnsiTheme="majorBidi" w:cstheme="majorBidi"/>
        </w:rPr>
      </w:pPr>
      <w:r w:rsidRPr="00551F12">
        <w:rPr>
          <w:sz w:val="18"/>
          <w:szCs w:val="18"/>
          <w:lang w:val="fr-FR"/>
        </w:rPr>
        <w:tab/>
      </w:r>
      <w:r w:rsidRPr="00551F12">
        <w:rPr>
          <w:i/>
          <w:iCs/>
          <w:sz w:val="18"/>
          <w:szCs w:val="18"/>
          <w:lang w:val="fr-FR"/>
        </w:rPr>
        <w:t>Ligne directrice 316 de l’OCDE (2008) Phototransformation de produits chimiques dans l’eau</w:t>
      </w:r>
      <w:r w:rsidR="004363EA">
        <w:rPr>
          <w:i/>
          <w:iCs/>
          <w:sz w:val="18"/>
          <w:szCs w:val="18"/>
          <w:lang w:val="fr-FR"/>
        </w:rPr>
        <w:t xml:space="preserve"> −</w:t>
      </w:r>
      <w:r w:rsidRPr="00551F12">
        <w:rPr>
          <w:i/>
          <w:iCs/>
          <w:sz w:val="18"/>
          <w:szCs w:val="18"/>
          <w:lang w:val="fr-FR"/>
        </w:rPr>
        <w:t xml:space="preserve"> Photolyse directe</w:t>
      </w:r>
      <w:r w:rsidR="00551F12" w:rsidRPr="00551F12">
        <w:rPr>
          <w:i/>
          <w:iCs/>
          <w:lang w:val="fr-FR"/>
        </w:rPr>
        <w:t> </w:t>
      </w:r>
      <w:r w:rsidR="00551F12" w:rsidRPr="00551F12">
        <w:rPr>
          <w:iCs/>
          <w:lang w:val="fr-FR"/>
        </w:rPr>
        <w:t>»</w:t>
      </w:r>
      <w:r w:rsidRPr="00551F12">
        <w:rPr>
          <w:iCs/>
          <w:lang w:val="fr-FR"/>
        </w:rPr>
        <w:t>.</w:t>
      </w:r>
    </w:p>
    <w:p w14:paraId="4A891ED0" w14:textId="77777777" w:rsidR="007E4BE5" w:rsidRDefault="007E4BE5" w:rsidP="00551F12">
      <w:pPr>
        <w:pStyle w:val="SingleTxtG"/>
        <w:keepNext/>
        <w:ind w:left="2268" w:hanging="1134"/>
        <w:rPr>
          <w:rFonts w:asciiTheme="majorBidi" w:hAnsiTheme="majorBidi" w:cstheme="majorBidi"/>
        </w:rPr>
      </w:pPr>
      <w:r>
        <w:rPr>
          <w:lang w:val="fr-FR"/>
        </w:rPr>
        <w:t>4.</w:t>
      </w:r>
      <w:r>
        <w:rPr>
          <w:lang w:val="fr-FR"/>
        </w:rPr>
        <w:tab/>
      </w:r>
      <w:r>
        <w:rPr>
          <w:lang w:val="fr-FR"/>
        </w:rPr>
        <w:tab/>
        <w:t xml:space="preserve">La note de bas de page </w:t>
      </w:r>
      <w:r w:rsidR="00551F12">
        <w:rPr>
          <w:lang w:val="fr-FR"/>
        </w:rPr>
        <w:t>« </w:t>
      </w:r>
      <w:r>
        <w:rPr>
          <w:lang w:val="fr-FR"/>
        </w:rPr>
        <w:t>3</w:t>
      </w:r>
      <w:r w:rsidR="00551F12">
        <w:rPr>
          <w:lang w:val="fr-FR"/>
        </w:rPr>
        <w:t> »</w:t>
      </w:r>
      <w:r>
        <w:rPr>
          <w:lang w:val="fr-FR"/>
        </w:rPr>
        <w:t xml:space="preserve"> devient la note de bas de page </w:t>
      </w:r>
      <w:r w:rsidR="00551F12">
        <w:rPr>
          <w:lang w:val="fr-FR"/>
        </w:rPr>
        <w:t>« </w:t>
      </w:r>
      <w:r>
        <w:rPr>
          <w:lang w:val="fr-FR"/>
        </w:rPr>
        <w:t>11</w:t>
      </w:r>
      <w:r w:rsidR="00551F12">
        <w:rPr>
          <w:lang w:val="fr-FR"/>
        </w:rPr>
        <w:t> »</w:t>
      </w:r>
      <w:r>
        <w:rPr>
          <w:lang w:val="fr-FR"/>
        </w:rPr>
        <w:t>. Modifier comme suit les références aux lignes directrices de l’OCDE énumérées ci</w:t>
      </w:r>
      <w:r w:rsidR="00551F12">
        <w:rPr>
          <w:lang w:val="fr-FR"/>
        </w:rPr>
        <w:noBreakHyphen/>
      </w:r>
      <w:r>
        <w:rPr>
          <w:lang w:val="fr-FR"/>
        </w:rPr>
        <w:t>dessous</w:t>
      </w:r>
      <w:r w:rsidR="00551F12">
        <w:rPr>
          <w:lang w:val="fr-FR"/>
        </w:rPr>
        <w:t> </w:t>
      </w:r>
      <w:r>
        <w:rPr>
          <w:lang w:val="fr-FR"/>
        </w:rPr>
        <w:t>:</w:t>
      </w:r>
    </w:p>
    <w:p w14:paraId="096FF6CB" w14:textId="77777777" w:rsidR="007E4BE5" w:rsidRPr="00972037" w:rsidRDefault="007E4BE5" w:rsidP="00551F12">
      <w:pPr>
        <w:pStyle w:val="Bullet2G"/>
      </w:pPr>
      <w:r>
        <w:rPr>
          <w:lang w:val="fr-FR"/>
        </w:rPr>
        <w:t>Ligne directrice 117 de l’OCDE</w:t>
      </w:r>
      <w:r w:rsidR="00551F12">
        <w:rPr>
          <w:lang w:val="fr-FR"/>
        </w:rPr>
        <w:t> </w:t>
      </w:r>
      <w:r>
        <w:rPr>
          <w:lang w:val="fr-FR"/>
        </w:rPr>
        <w:t xml:space="preserve">: Remplacer </w:t>
      </w:r>
      <w:proofErr w:type="gramStart"/>
      <w:r w:rsidR="00551F12">
        <w:rPr>
          <w:lang w:val="fr-FR"/>
        </w:rPr>
        <w:t>« </w:t>
      </w:r>
      <w:r>
        <w:rPr>
          <w:lang w:val="fr-FR"/>
        </w:rPr>
        <w:t>,</w:t>
      </w:r>
      <w:proofErr w:type="gramEnd"/>
      <w:r>
        <w:rPr>
          <w:lang w:val="fr-FR"/>
        </w:rPr>
        <w:t xml:space="preserve"> 1989</w:t>
      </w:r>
      <w:r w:rsidR="00551F12">
        <w:rPr>
          <w:lang w:val="fr-FR"/>
        </w:rPr>
        <w:t> »</w:t>
      </w:r>
      <w:r>
        <w:rPr>
          <w:lang w:val="fr-FR"/>
        </w:rPr>
        <w:t xml:space="preserve"> par </w:t>
      </w:r>
      <w:r w:rsidR="00551F12">
        <w:rPr>
          <w:lang w:val="fr-FR"/>
        </w:rPr>
        <w:t>« </w:t>
      </w:r>
      <w:r>
        <w:rPr>
          <w:lang w:val="fr-FR"/>
        </w:rPr>
        <w:t>(1989)</w:t>
      </w:r>
      <w:r w:rsidRPr="00551F12">
        <w:rPr>
          <w:sz w:val="18"/>
          <w:szCs w:val="18"/>
          <w:vertAlign w:val="superscript"/>
          <w:lang w:val="fr-FR"/>
        </w:rPr>
        <w:t>12</w:t>
      </w:r>
      <w:r w:rsidR="00551F12">
        <w:rPr>
          <w:lang w:val="fr-FR"/>
        </w:rPr>
        <w:t> »</w:t>
      </w:r>
      <w:r>
        <w:rPr>
          <w:lang w:val="fr-FR"/>
        </w:rPr>
        <w:t xml:space="preserve"> et ajouter la note de bas de page suivante</w:t>
      </w:r>
      <w:r w:rsidR="00551F12">
        <w:rPr>
          <w:lang w:val="fr-FR"/>
        </w:rPr>
        <w:t> </w:t>
      </w:r>
      <w:r>
        <w:rPr>
          <w:lang w:val="fr-FR"/>
        </w:rPr>
        <w:t xml:space="preserve">: </w:t>
      </w:r>
    </w:p>
    <w:p w14:paraId="275B8C6F" w14:textId="77777777" w:rsidR="007E4BE5" w:rsidRDefault="007E4BE5" w:rsidP="00551F12">
      <w:pPr>
        <w:pStyle w:val="SingleTxtG"/>
        <w:ind w:left="2268"/>
      </w:pPr>
      <w:r>
        <w:rPr>
          <w:lang w:val="fr-FR"/>
        </w:rPr>
        <w:tab/>
      </w:r>
      <w:r w:rsidR="00551F12">
        <w:rPr>
          <w:lang w:val="fr-FR"/>
        </w:rPr>
        <w:t>« </w:t>
      </w:r>
      <w:r w:rsidRPr="00551F12">
        <w:rPr>
          <w:sz w:val="18"/>
          <w:szCs w:val="18"/>
          <w:vertAlign w:val="superscript"/>
          <w:lang w:val="fr-FR"/>
        </w:rPr>
        <w:t>12</w:t>
      </w:r>
      <w:r w:rsidRPr="00551F12">
        <w:rPr>
          <w:sz w:val="18"/>
          <w:szCs w:val="18"/>
          <w:lang w:val="fr-FR"/>
        </w:rPr>
        <w:tab/>
      </w:r>
      <w:r w:rsidRPr="00551F12">
        <w:rPr>
          <w:i/>
          <w:iCs/>
          <w:sz w:val="18"/>
          <w:szCs w:val="18"/>
          <w:lang w:val="fr-FR"/>
        </w:rPr>
        <w:t>Mise à jour en 2004.</w:t>
      </w:r>
      <w:r w:rsidR="00551F12">
        <w:rPr>
          <w:lang w:val="fr-FR"/>
        </w:rPr>
        <w:t> ».</w:t>
      </w:r>
    </w:p>
    <w:p w14:paraId="7E274B1F" w14:textId="77777777" w:rsidR="007E4BE5" w:rsidRPr="00972037" w:rsidRDefault="007E4BE5" w:rsidP="00551F12">
      <w:pPr>
        <w:pStyle w:val="Bullet2G"/>
      </w:pPr>
      <w:r>
        <w:rPr>
          <w:lang w:val="fr-FR"/>
        </w:rPr>
        <w:t>Ligne directrice 305 de l’OCDE</w:t>
      </w:r>
      <w:r w:rsidR="00551F12">
        <w:rPr>
          <w:lang w:val="fr-FR"/>
        </w:rPr>
        <w:t> </w:t>
      </w:r>
      <w:r>
        <w:rPr>
          <w:lang w:val="fr-FR"/>
        </w:rPr>
        <w:t xml:space="preserve">: Remplacer </w:t>
      </w:r>
      <w:proofErr w:type="gramStart"/>
      <w:r w:rsidR="00551F12">
        <w:rPr>
          <w:lang w:val="fr-FR"/>
        </w:rPr>
        <w:t>« </w:t>
      </w:r>
      <w:r>
        <w:rPr>
          <w:lang w:val="fr-FR"/>
        </w:rPr>
        <w:t>,</w:t>
      </w:r>
      <w:proofErr w:type="gramEnd"/>
      <w:r>
        <w:rPr>
          <w:lang w:val="fr-FR"/>
        </w:rPr>
        <w:t xml:space="preserve"> 1996</w:t>
      </w:r>
      <w:r w:rsidR="00551F12">
        <w:rPr>
          <w:lang w:val="fr-FR"/>
        </w:rPr>
        <w:t> »</w:t>
      </w:r>
      <w:r>
        <w:rPr>
          <w:lang w:val="fr-FR"/>
        </w:rPr>
        <w:t xml:space="preserve"> par </w:t>
      </w:r>
      <w:r w:rsidR="00551F12">
        <w:rPr>
          <w:lang w:val="fr-FR"/>
        </w:rPr>
        <w:t>« </w:t>
      </w:r>
      <w:r>
        <w:rPr>
          <w:lang w:val="fr-FR"/>
        </w:rPr>
        <w:t>(1996)</w:t>
      </w:r>
      <w:r w:rsidRPr="00551F12">
        <w:rPr>
          <w:sz w:val="18"/>
          <w:szCs w:val="18"/>
          <w:vertAlign w:val="superscript"/>
          <w:lang w:val="fr-FR"/>
        </w:rPr>
        <w:t>13</w:t>
      </w:r>
      <w:r w:rsidR="00551F12">
        <w:rPr>
          <w:lang w:val="fr-FR"/>
        </w:rPr>
        <w:t> »</w:t>
      </w:r>
      <w:r>
        <w:rPr>
          <w:lang w:val="fr-FR"/>
        </w:rPr>
        <w:t xml:space="preserve"> et ajouter la note de bas de page suivante</w:t>
      </w:r>
      <w:r w:rsidR="00551F12">
        <w:rPr>
          <w:lang w:val="fr-FR"/>
        </w:rPr>
        <w:t> </w:t>
      </w:r>
      <w:r>
        <w:rPr>
          <w:lang w:val="fr-FR"/>
        </w:rPr>
        <w:t xml:space="preserve">: </w:t>
      </w:r>
    </w:p>
    <w:p w14:paraId="4479EB6F" w14:textId="77777777" w:rsidR="007E4BE5" w:rsidRDefault="007E4BE5" w:rsidP="00551F12">
      <w:pPr>
        <w:pStyle w:val="SingleTxtG"/>
        <w:ind w:left="2268"/>
      </w:pPr>
      <w:r>
        <w:rPr>
          <w:lang w:val="fr-FR"/>
        </w:rPr>
        <w:tab/>
      </w:r>
      <w:r w:rsidR="00551F12">
        <w:rPr>
          <w:lang w:val="fr-FR"/>
        </w:rPr>
        <w:t>« </w:t>
      </w:r>
      <w:r w:rsidRPr="00551F12">
        <w:rPr>
          <w:sz w:val="18"/>
          <w:szCs w:val="18"/>
          <w:vertAlign w:val="superscript"/>
          <w:lang w:val="fr-FR"/>
        </w:rPr>
        <w:t>13</w:t>
      </w:r>
      <w:r w:rsidRPr="00551F12">
        <w:rPr>
          <w:sz w:val="18"/>
          <w:szCs w:val="18"/>
          <w:lang w:val="fr-FR"/>
        </w:rPr>
        <w:tab/>
      </w:r>
      <w:r w:rsidRPr="00551F12">
        <w:rPr>
          <w:iCs/>
          <w:sz w:val="18"/>
          <w:szCs w:val="18"/>
          <w:lang w:val="fr-FR"/>
        </w:rPr>
        <w:t>Mise à jour en 2012.</w:t>
      </w:r>
      <w:r w:rsidR="00551F12">
        <w:rPr>
          <w:iCs/>
          <w:lang w:val="fr-FR"/>
        </w:rPr>
        <w:t> ».</w:t>
      </w:r>
    </w:p>
    <w:p w14:paraId="1449CEE1" w14:textId="77777777" w:rsidR="007E4BE5" w:rsidRDefault="007E4BE5" w:rsidP="00551F12">
      <w:pPr>
        <w:pStyle w:val="Bullet2G"/>
      </w:pPr>
      <w:r>
        <w:rPr>
          <w:lang w:val="fr-FR"/>
        </w:rPr>
        <w:t>Ligne directrice 123 de l’OCDE</w:t>
      </w:r>
      <w:r w:rsidR="00551F12">
        <w:rPr>
          <w:lang w:val="fr-FR"/>
        </w:rPr>
        <w:t> </w:t>
      </w:r>
      <w:r>
        <w:rPr>
          <w:lang w:val="fr-FR"/>
        </w:rPr>
        <w:t xml:space="preserve">: Ajouter un renvoi à une note de bas de page </w:t>
      </w:r>
      <w:r w:rsidR="00551F12">
        <w:rPr>
          <w:lang w:val="fr-FR"/>
        </w:rPr>
        <w:t>« </w:t>
      </w:r>
      <w:r>
        <w:rPr>
          <w:lang w:val="fr-FR"/>
        </w:rPr>
        <w:t>14</w:t>
      </w:r>
      <w:r w:rsidR="00551F12">
        <w:rPr>
          <w:lang w:val="fr-FR"/>
        </w:rPr>
        <w:t> »</w:t>
      </w:r>
      <w:r>
        <w:rPr>
          <w:lang w:val="fr-FR"/>
        </w:rPr>
        <w:t xml:space="preserve"> à la fin, après </w:t>
      </w:r>
      <w:r w:rsidR="00551F12">
        <w:rPr>
          <w:lang w:val="fr-FR"/>
        </w:rPr>
        <w:t>« </w:t>
      </w:r>
      <w:r>
        <w:rPr>
          <w:lang w:val="fr-FR"/>
        </w:rPr>
        <w:t>chimiques</w:t>
      </w:r>
      <w:r w:rsidR="00551F12">
        <w:rPr>
          <w:lang w:val="fr-FR"/>
        </w:rPr>
        <w:t> »</w:t>
      </w:r>
      <w:r>
        <w:rPr>
          <w:lang w:val="fr-FR"/>
        </w:rPr>
        <w:t>, et ajouter la note de bas de page suivante</w:t>
      </w:r>
      <w:r w:rsidR="00551F12">
        <w:rPr>
          <w:lang w:val="fr-FR"/>
        </w:rPr>
        <w:t> </w:t>
      </w:r>
      <w:r>
        <w:rPr>
          <w:lang w:val="fr-FR"/>
        </w:rPr>
        <w:t>:</w:t>
      </w:r>
    </w:p>
    <w:p w14:paraId="6E924123" w14:textId="77777777" w:rsidR="007E4BE5" w:rsidRPr="00DB00AD" w:rsidRDefault="007E4BE5" w:rsidP="00551F12">
      <w:pPr>
        <w:pStyle w:val="SingleTxtG"/>
        <w:ind w:left="2268"/>
        <w:rPr>
          <w:i/>
          <w:iCs/>
        </w:rPr>
      </w:pPr>
      <w:r>
        <w:rPr>
          <w:lang w:val="fr-FR"/>
        </w:rPr>
        <w:tab/>
      </w:r>
      <w:r w:rsidR="00551F12">
        <w:rPr>
          <w:lang w:val="fr-FR"/>
        </w:rPr>
        <w:t>« </w:t>
      </w:r>
      <w:r w:rsidRPr="00551F12">
        <w:rPr>
          <w:sz w:val="18"/>
          <w:szCs w:val="18"/>
          <w:vertAlign w:val="superscript"/>
          <w:lang w:val="fr-FR"/>
        </w:rPr>
        <w:t>14</w:t>
      </w:r>
      <w:r w:rsidRPr="00551F12">
        <w:rPr>
          <w:sz w:val="18"/>
          <w:szCs w:val="18"/>
          <w:lang w:val="fr-FR"/>
        </w:rPr>
        <w:tab/>
      </w:r>
      <w:r w:rsidRPr="00551F12">
        <w:rPr>
          <w:i/>
          <w:iCs/>
          <w:sz w:val="18"/>
          <w:szCs w:val="18"/>
          <w:lang w:val="fr-FR"/>
        </w:rPr>
        <w:t>Ligne directrice supplémentaire de l’OCDE</w:t>
      </w:r>
      <w:r w:rsidR="00551F12">
        <w:rPr>
          <w:i/>
          <w:iCs/>
          <w:sz w:val="18"/>
          <w:szCs w:val="18"/>
          <w:lang w:val="fr-FR"/>
        </w:rPr>
        <w:t> </w:t>
      </w:r>
      <w:r w:rsidRPr="00551F12">
        <w:rPr>
          <w:i/>
          <w:iCs/>
          <w:sz w:val="18"/>
          <w:szCs w:val="18"/>
          <w:lang w:val="fr-FR"/>
        </w:rPr>
        <w:t>: Ligne directrice 315 (2008) de l’OCDE sur la bioaccumulation chez les oligochètes benthiques fouisseurs</w:t>
      </w:r>
      <w:r w:rsidR="00551F12" w:rsidRPr="00551F12">
        <w:rPr>
          <w:i/>
          <w:iCs/>
          <w:sz w:val="18"/>
          <w:szCs w:val="18"/>
          <w:lang w:val="fr-FR"/>
        </w:rPr>
        <w:t>.</w:t>
      </w:r>
      <w:r w:rsidR="00551F12">
        <w:rPr>
          <w:iCs/>
          <w:lang w:val="fr-FR"/>
        </w:rPr>
        <w:t> ».</w:t>
      </w:r>
    </w:p>
    <w:p w14:paraId="7BD9CCC7" w14:textId="77777777" w:rsidR="007E4BE5" w:rsidRDefault="007E4BE5" w:rsidP="00551F12">
      <w:pPr>
        <w:pStyle w:val="H1G"/>
      </w:pPr>
      <w:r>
        <w:rPr>
          <w:lang w:val="fr-FR"/>
        </w:rPr>
        <w:tab/>
      </w:r>
      <w:r>
        <w:rPr>
          <w:lang w:val="fr-FR"/>
        </w:rPr>
        <w:tab/>
        <w:t>Annexe 9, Appendice VI</w:t>
      </w:r>
    </w:p>
    <w:p w14:paraId="6D91F23D" w14:textId="77777777" w:rsidR="007E4BE5" w:rsidRDefault="007E4BE5" w:rsidP="00551F12">
      <w:pPr>
        <w:pStyle w:val="SingleTxtG"/>
        <w:keepNext/>
        <w:ind w:left="2268" w:hanging="1134"/>
        <w:rPr>
          <w:rFonts w:asciiTheme="majorBidi" w:hAnsiTheme="majorBidi" w:cstheme="majorBidi"/>
        </w:rPr>
      </w:pPr>
      <w:r>
        <w:rPr>
          <w:lang w:val="fr-FR"/>
        </w:rPr>
        <w:t>1.</w:t>
      </w:r>
      <w:r>
        <w:rPr>
          <w:lang w:val="fr-FR"/>
        </w:rPr>
        <w:tab/>
        <w:t>Modifier comme suit les références aux lignes directrices de l’OCDE énumérées ci-dessous</w:t>
      </w:r>
      <w:r w:rsidR="00551F12">
        <w:rPr>
          <w:lang w:val="fr-FR"/>
        </w:rPr>
        <w:t> </w:t>
      </w:r>
      <w:r>
        <w:rPr>
          <w:lang w:val="fr-FR"/>
        </w:rPr>
        <w:t>:</w:t>
      </w:r>
    </w:p>
    <w:p w14:paraId="1307096C" w14:textId="77777777" w:rsidR="007E4BE5" w:rsidRDefault="007E4BE5" w:rsidP="00551F12">
      <w:pPr>
        <w:pStyle w:val="Bullet2G"/>
        <w:rPr>
          <w:rFonts w:asciiTheme="majorBidi" w:hAnsiTheme="majorBidi" w:cstheme="majorBidi"/>
        </w:rPr>
      </w:pPr>
      <w:r>
        <w:rPr>
          <w:lang w:val="fr-FR"/>
        </w:rPr>
        <w:t>OCDE 1998</w:t>
      </w:r>
      <w:r w:rsidR="00551F12">
        <w:rPr>
          <w:lang w:val="fr-FR"/>
        </w:rPr>
        <w:t> </w:t>
      </w:r>
      <w:r>
        <w:rPr>
          <w:lang w:val="fr-FR"/>
        </w:rPr>
        <w:t xml:space="preserve">: Remplacer </w:t>
      </w:r>
      <w:r w:rsidR="00551F12">
        <w:rPr>
          <w:lang w:val="fr-FR"/>
        </w:rPr>
        <w:t>« </w:t>
      </w:r>
      <w:r>
        <w:rPr>
          <w:lang w:val="fr-FR"/>
        </w:rPr>
        <w:t>(Document ENV/JM/</w:t>
      </w:r>
      <w:proofErr w:type="gramStart"/>
      <w:r>
        <w:rPr>
          <w:lang w:val="fr-FR"/>
        </w:rPr>
        <w:t>MONO(</w:t>
      </w:r>
      <w:proofErr w:type="gramEnd"/>
      <w:r>
        <w:rPr>
          <w:lang w:val="fr-FR"/>
        </w:rPr>
        <w:t>2001)6)</w:t>
      </w:r>
      <w:r w:rsidR="00551F12">
        <w:rPr>
          <w:lang w:val="fr-FR"/>
        </w:rPr>
        <w:t> »</w:t>
      </w:r>
      <w:r>
        <w:rPr>
          <w:lang w:val="fr-FR"/>
        </w:rPr>
        <w:t xml:space="preserve"> par </w:t>
      </w:r>
      <w:r w:rsidR="00551F12">
        <w:rPr>
          <w:lang w:val="fr-FR"/>
        </w:rPr>
        <w:t>« </w:t>
      </w:r>
      <w:r>
        <w:rPr>
          <w:lang w:val="fr-FR"/>
        </w:rPr>
        <w:t>(Document ENV/JM/MONO(2001)6)</w:t>
      </w:r>
      <w:r w:rsidRPr="00551F12">
        <w:rPr>
          <w:sz w:val="18"/>
          <w:szCs w:val="18"/>
          <w:vertAlign w:val="superscript"/>
          <w:lang w:val="fr-FR"/>
        </w:rPr>
        <w:t>1</w:t>
      </w:r>
      <w:r w:rsidR="00551F12">
        <w:rPr>
          <w:lang w:val="fr-FR"/>
        </w:rPr>
        <w:t> »</w:t>
      </w:r>
      <w:r>
        <w:rPr>
          <w:lang w:val="fr-FR"/>
        </w:rPr>
        <w:t xml:space="preserve"> et ajouter la note de bas de page suivante</w:t>
      </w:r>
      <w:r w:rsidR="00551F12">
        <w:rPr>
          <w:lang w:val="fr-FR"/>
        </w:rPr>
        <w:t> </w:t>
      </w:r>
      <w:r>
        <w:rPr>
          <w:lang w:val="fr-FR"/>
        </w:rPr>
        <w:t xml:space="preserve">: </w:t>
      </w:r>
    </w:p>
    <w:p w14:paraId="10012012" w14:textId="77777777" w:rsidR="007E4BE5" w:rsidRPr="00551F12" w:rsidRDefault="00551F12" w:rsidP="00551F12">
      <w:pPr>
        <w:pStyle w:val="SingleTxtG"/>
        <w:ind w:left="2268"/>
        <w:rPr>
          <w:i/>
          <w:iCs/>
          <w:lang w:val="en-US"/>
        </w:rPr>
      </w:pPr>
      <w:r w:rsidRPr="00551F12">
        <w:rPr>
          <w:lang w:val="fr-FR"/>
        </w:rPr>
        <w:t>« </w:t>
      </w:r>
      <w:r w:rsidR="007E4BE5" w:rsidRPr="00551F12">
        <w:rPr>
          <w:sz w:val="18"/>
          <w:szCs w:val="18"/>
          <w:vertAlign w:val="superscript"/>
          <w:lang w:val="fr-FR"/>
        </w:rPr>
        <w:t>1</w:t>
      </w:r>
      <w:r w:rsidR="007E4BE5" w:rsidRPr="00551F12">
        <w:rPr>
          <w:sz w:val="18"/>
          <w:szCs w:val="18"/>
          <w:lang w:val="fr-FR"/>
        </w:rPr>
        <w:tab/>
      </w:r>
      <w:r w:rsidR="007E4BE5" w:rsidRPr="00551F12">
        <w:rPr>
          <w:i/>
          <w:iCs/>
          <w:sz w:val="18"/>
          <w:szCs w:val="18"/>
          <w:lang w:val="fr-FR"/>
        </w:rPr>
        <w:t>Référence mise à jour</w:t>
      </w:r>
      <w:r>
        <w:rPr>
          <w:i/>
          <w:iCs/>
          <w:sz w:val="18"/>
          <w:szCs w:val="18"/>
          <w:lang w:val="fr-FR"/>
        </w:rPr>
        <w:t> </w:t>
      </w:r>
      <w:r w:rsidR="007E4BE5" w:rsidRPr="00551F12">
        <w:rPr>
          <w:i/>
          <w:iCs/>
          <w:sz w:val="18"/>
          <w:szCs w:val="18"/>
          <w:lang w:val="fr-FR"/>
        </w:rPr>
        <w:t>: OCDE 2001.</w:t>
      </w:r>
      <w:r w:rsidR="007E4BE5" w:rsidRPr="00551F12">
        <w:rPr>
          <w:sz w:val="18"/>
          <w:szCs w:val="18"/>
          <w:lang w:val="fr-FR"/>
        </w:rPr>
        <w:t xml:space="preserve"> </w:t>
      </w:r>
      <w:r w:rsidR="007E4BE5" w:rsidRPr="00551F12">
        <w:rPr>
          <w:i/>
          <w:iCs/>
          <w:sz w:val="18"/>
          <w:szCs w:val="18"/>
          <w:lang w:val="en-US"/>
        </w:rPr>
        <w:t>Harmonized integrated hazard classification system for human health and environmental effects of chemical substances and mixtures,</w:t>
      </w:r>
      <w:r w:rsidR="007E4BE5" w:rsidRPr="00551F12">
        <w:rPr>
          <w:sz w:val="18"/>
          <w:szCs w:val="18"/>
          <w:lang w:val="en-US"/>
        </w:rPr>
        <w:t xml:space="preserve"> </w:t>
      </w:r>
      <w:r w:rsidR="007E4BE5" w:rsidRPr="00551F12">
        <w:rPr>
          <w:i/>
          <w:iCs/>
          <w:sz w:val="18"/>
          <w:szCs w:val="18"/>
          <w:lang w:val="en-US"/>
        </w:rPr>
        <w:t>Série sur les essais et évaluations n</w:t>
      </w:r>
      <w:r w:rsidR="007E4BE5" w:rsidRPr="00551F12">
        <w:rPr>
          <w:i/>
          <w:iCs/>
          <w:sz w:val="18"/>
          <w:szCs w:val="18"/>
          <w:vertAlign w:val="superscript"/>
          <w:lang w:val="en-US"/>
        </w:rPr>
        <w:t>o</w:t>
      </w:r>
      <w:r w:rsidR="007E4BE5" w:rsidRPr="00551F12">
        <w:rPr>
          <w:i/>
          <w:iCs/>
          <w:sz w:val="18"/>
          <w:szCs w:val="18"/>
          <w:lang w:val="en-US"/>
        </w:rPr>
        <w:t> 33, OCDE, Paris.</w:t>
      </w:r>
      <w:r w:rsidRPr="00551F12">
        <w:rPr>
          <w:iCs/>
          <w:lang w:val="en-US"/>
        </w:rPr>
        <w:t> »</w:t>
      </w:r>
      <w:r>
        <w:rPr>
          <w:iCs/>
          <w:lang w:val="en-US"/>
        </w:rPr>
        <w:t>.</w:t>
      </w:r>
    </w:p>
    <w:p w14:paraId="16380FFC" w14:textId="77777777" w:rsidR="007E4BE5" w:rsidRDefault="007E4BE5" w:rsidP="00551F12">
      <w:pPr>
        <w:pStyle w:val="Bullet2G"/>
        <w:rPr>
          <w:rFonts w:asciiTheme="majorBidi" w:hAnsiTheme="majorBidi" w:cstheme="majorBidi"/>
        </w:rPr>
      </w:pPr>
      <w:r>
        <w:rPr>
          <w:lang w:val="fr-FR"/>
        </w:rPr>
        <w:t>OCDE 2000</w:t>
      </w:r>
      <w:r w:rsidR="00551F12">
        <w:rPr>
          <w:lang w:val="fr-FR"/>
        </w:rPr>
        <w:t> </w:t>
      </w:r>
      <w:r>
        <w:rPr>
          <w:lang w:val="fr-FR"/>
        </w:rPr>
        <w:t xml:space="preserve">: Ajouter un renvoi à une note de bas de page </w:t>
      </w:r>
      <w:r w:rsidR="00551F12">
        <w:rPr>
          <w:lang w:val="fr-FR"/>
        </w:rPr>
        <w:t>« </w:t>
      </w:r>
      <w:r>
        <w:rPr>
          <w:lang w:val="fr-FR"/>
        </w:rPr>
        <w:t>2</w:t>
      </w:r>
      <w:r w:rsidR="00551F12">
        <w:rPr>
          <w:lang w:val="fr-FR"/>
        </w:rPr>
        <w:t> »</w:t>
      </w:r>
      <w:r>
        <w:rPr>
          <w:lang w:val="fr-FR"/>
        </w:rPr>
        <w:t xml:space="preserve"> à la fin et ajouter la note de bas de page suivante</w:t>
      </w:r>
      <w:r w:rsidR="00551F12">
        <w:rPr>
          <w:lang w:val="fr-FR"/>
        </w:rPr>
        <w:t> </w:t>
      </w:r>
      <w:r>
        <w:rPr>
          <w:lang w:val="fr-FR"/>
        </w:rPr>
        <w:t xml:space="preserve">: </w:t>
      </w:r>
    </w:p>
    <w:p w14:paraId="7FC9E7EC" w14:textId="77777777" w:rsidR="007E4BE5" w:rsidRPr="00E87D07" w:rsidRDefault="00551F12" w:rsidP="00551F12">
      <w:pPr>
        <w:pStyle w:val="SingleTxtG"/>
        <w:ind w:left="2268"/>
        <w:rPr>
          <w:i/>
          <w:iCs/>
          <w:lang w:val="fr-FR"/>
        </w:rPr>
      </w:pPr>
      <w:r>
        <w:rPr>
          <w:iCs/>
          <w:lang w:val="fr-FR"/>
        </w:rPr>
        <w:t>« </w:t>
      </w:r>
      <w:r w:rsidR="007E4BE5" w:rsidRPr="007471FA">
        <w:rPr>
          <w:iCs/>
          <w:sz w:val="18"/>
          <w:szCs w:val="18"/>
          <w:vertAlign w:val="superscript"/>
          <w:lang w:val="fr-FR"/>
        </w:rPr>
        <w:t>2</w:t>
      </w:r>
      <w:r w:rsidR="007E4BE5" w:rsidRPr="001D5728">
        <w:rPr>
          <w:sz w:val="18"/>
          <w:szCs w:val="18"/>
          <w:lang w:val="fr-FR"/>
        </w:rPr>
        <w:tab/>
      </w:r>
      <w:r w:rsidR="007E4BE5" w:rsidRPr="001D5728">
        <w:rPr>
          <w:i/>
          <w:iCs/>
          <w:sz w:val="18"/>
          <w:szCs w:val="18"/>
          <w:lang w:val="fr-FR"/>
        </w:rPr>
        <w:t>Document guide mis à jour</w:t>
      </w:r>
      <w:r w:rsidR="001D5728">
        <w:rPr>
          <w:i/>
          <w:iCs/>
          <w:sz w:val="18"/>
          <w:szCs w:val="18"/>
          <w:lang w:val="fr-FR"/>
        </w:rPr>
        <w:t> </w:t>
      </w:r>
      <w:r w:rsidR="007E4BE5" w:rsidRPr="001D5728">
        <w:rPr>
          <w:i/>
          <w:iCs/>
          <w:sz w:val="18"/>
          <w:szCs w:val="18"/>
          <w:lang w:val="fr-FR"/>
        </w:rPr>
        <w:t>: OCDE 2019.</w:t>
      </w:r>
      <w:r w:rsidR="007E4BE5" w:rsidRPr="001D5728">
        <w:rPr>
          <w:sz w:val="18"/>
          <w:szCs w:val="18"/>
          <w:lang w:val="fr-FR"/>
        </w:rPr>
        <w:t xml:space="preserve"> </w:t>
      </w:r>
      <w:r w:rsidR="007E4BE5" w:rsidRPr="001D5728">
        <w:rPr>
          <w:i/>
          <w:iCs/>
          <w:sz w:val="18"/>
          <w:szCs w:val="18"/>
          <w:lang w:val="fr-FR"/>
        </w:rPr>
        <w:t>Guidance Document on Aqueous-Phase Aquatic Toxicity Testing of Difficult Test Chemicals, Série sur les essais et évaluations</w:t>
      </w:r>
      <w:r w:rsidR="007E4BE5" w:rsidRPr="001D5728" w:rsidDel="00DE5E3A">
        <w:rPr>
          <w:i/>
          <w:iCs/>
          <w:sz w:val="18"/>
          <w:szCs w:val="18"/>
          <w:lang w:val="fr-FR"/>
        </w:rPr>
        <w:t xml:space="preserve"> </w:t>
      </w:r>
      <w:r w:rsidR="007E4BE5" w:rsidRPr="001D5728">
        <w:rPr>
          <w:i/>
          <w:iCs/>
          <w:sz w:val="18"/>
          <w:szCs w:val="18"/>
          <w:lang w:val="fr-FR"/>
        </w:rPr>
        <w:t>n</w:t>
      </w:r>
      <w:r w:rsidR="007E4BE5" w:rsidRPr="001D5728">
        <w:rPr>
          <w:i/>
          <w:iCs/>
          <w:sz w:val="18"/>
          <w:szCs w:val="18"/>
          <w:vertAlign w:val="superscript"/>
          <w:lang w:val="fr-FR"/>
        </w:rPr>
        <w:t>o</w:t>
      </w:r>
      <w:r w:rsidR="007E4BE5" w:rsidRPr="001D5728">
        <w:rPr>
          <w:i/>
          <w:iCs/>
          <w:sz w:val="18"/>
          <w:szCs w:val="18"/>
          <w:lang w:val="fr-FR"/>
        </w:rPr>
        <w:t xml:space="preserve"> 23 (deuxième édition), </w:t>
      </w:r>
      <w:r w:rsidR="004363EA" w:rsidRPr="004363EA">
        <w:rPr>
          <w:i/>
          <w:iCs/>
          <w:sz w:val="18"/>
          <w:szCs w:val="18"/>
          <w:lang w:val="fr-FR"/>
        </w:rPr>
        <w:t>OCDE</w:t>
      </w:r>
      <w:r w:rsidR="007E4BE5" w:rsidRPr="001D5728">
        <w:rPr>
          <w:i/>
          <w:iCs/>
          <w:sz w:val="18"/>
          <w:szCs w:val="18"/>
          <w:lang w:val="fr-FR"/>
        </w:rPr>
        <w:t>, Paris.</w:t>
      </w:r>
      <w:r w:rsidR="001D5728">
        <w:rPr>
          <w:iCs/>
          <w:lang w:val="fr-FR"/>
        </w:rPr>
        <w:t> ».</w:t>
      </w:r>
    </w:p>
    <w:p w14:paraId="7FD33D78" w14:textId="77777777" w:rsidR="007E4BE5" w:rsidRDefault="007E4BE5" w:rsidP="00551F12">
      <w:pPr>
        <w:pStyle w:val="SingleTxtG"/>
        <w:keepNext/>
        <w:ind w:left="2268" w:hanging="1134"/>
        <w:rPr>
          <w:rFonts w:asciiTheme="majorBidi" w:hAnsiTheme="majorBidi" w:cstheme="majorBidi"/>
        </w:rPr>
      </w:pPr>
      <w:r>
        <w:rPr>
          <w:lang w:val="fr-FR"/>
        </w:rPr>
        <w:t>2.</w:t>
      </w:r>
      <w:r>
        <w:rPr>
          <w:lang w:val="fr-FR"/>
        </w:rPr>
        <w:tab/>
        <w:t>Modifier comme suit les références aux lignes directrices de l’OCDE énumérées ci-dessous</w:t>
      </w:r>
      <w:r w:rsidR="001D5728">
        <w:rPr>
          <w:lang w:val="fr-FR"/>
        </w:rPr>
        <w:t> </w:t>
      </w:r>
      <w:r>
        <w:rPr>
          <w:lang w:val="fr-FR"/>
        </w:rPr>
        <w:t>:</w:t>
      </w:r>
    </w:p>
    <w:p w14:paraId="65EA24CB" w14:textId="77777777" w:rsidR="007E4BE5" w:rsidRDefault="007E4BE5" w:rsidP="001D5728">
      <w:pPr>
        <w:pStyle w:val="Bullet2G"/>
        <w:rPr>
          <w:rFonts w:asciiTheme="majorBidi" w:hAnsiTheme="majorBidi" w:cstheme="majorBidi"/>
        </w:rPr>
      </w:pPr>
      <w:r>
        <w:rPr>
          <w:lang w:val="fr-FR"/>
        </w:rPr>
        <w:t>OCDE 1998</w:t>
      </w:r>
      <w:r w:rsidR="001D5728">
        <w:rPr>
          <w:lang w:val="fr-FR"/>
        </w:rPr>
        <w:t> </w:t>
      </w:r>
      <w:r>
        <w:rPr>
          <w:lang w:val="fr-FR"/>
        </w:rPr>
        <w:t xml:space="preserve">: Remplacer </w:t>
      </w:r>
      <w:r w:rsidR="001D5728">
        <w:rPr>
          <w:lang w:val="fr-FR"/>
        </w:rPr>
        <w:t>« </w:t>
      </w:r>
      <w:r>
        <w:rPr>
          <w:lang w:val="fr-FR"/>
        </w:rPr>
        <w:t>(Document ENV/JM/</w:t>
      </w:r>
      <w:proofErr w:type="gramStart"/>
      <w:r>
        <w:rPr>
          <w:lang w:val="fr-FR"/>
        </w:rPr>
        <w:t>MONO(</w:t>
      </w:r>
      <w:proofErr w:type="gramEnd"/>
      <w:r>
        <w:rPr>
          <w:lang w:val="fr-FR"/>
        </w:rPr>
        <w:t>2001)6)</w:t>
      </w:r>
      <w:r w:rsidR="001D5728">
        <w:rPr>
          <w:lang w:val="fr-FR"/>
        </w:rPr>
        <w:t> »</w:t>
      </w:r>
      <w:r>
        <w:rPr>
          <w:lang w:val="fr-FR"/>
        </w:rPr>
        <w:t xml:space="preserve"> par </w:t>
      </w:r>
      <w:r w:rsidR="001D5728">
        <w:rPr>
          <w:lang w:val="fr-FR"/>
        </w:rPr>
        <w:t>« </w:t>
      </w:r>
      <w:r>
        <w:rPr>
          <w:lang w:val="fr-FR"/>
        </w:rPr>
        <w:t>(Document ENV/JM/MONO(2001)6)</w:t>
      </w:r>
      <w:r w:rsidRPr="001D5728">
        <w:rPr>
          <w:sz w:val="18"/>
          <w:szCs w:val="18"/>
          <w:vertAlign w:val="superscript"/>
          <w:lang w:val="fr-FR"/>
        </w:rPr>
        <w:t>1</w:t>
      </w:r>
      <w:r w:rsidR="001D5728">
        <w:rPr>
          <w:lang w:val="fr-FR"/>
        </w:rPr>
        <w:t> »</w:t>
      </w:r>
      <w:r>
        <w:rPr>
          <w:lang w:val="fr-FR"/>
        </w:rPr>
        <w:t xml:space="preserve"> et ajouter la note de bas de page suivante</w:t>
      </w:r>
      <w:r w:rsidR="001D5728">
        <w:rPr>
          <w:lang w:val="fr-FR"/>
        </w:rPr>
        <w:t> </w:t>
      </w:r>
      <w:r>
        <w:rPr>
          <w:lang w:val="fr-FR"/>
        </w:rPr>
        <w:t xml:space="preserve">: </w:t>
      </w:r>
    </w:p>
    <w:p w14:paraId="629277DB" w14:textId="77777777" w:rsidR="007E4BE5" w:rsidRPr="00512C82" w:rsidRDefault="001D5728" w:rsidP="001D5728">
      <w:pPr>
        <w:pStyle w:val="SingleTxtG"/>
        <w:ind w:left="2268"/>
        <w:rPr>
          <w:i/>
          <w:iCs/>
          <w:lang w:val="en-US"/>
        </w:rPr>
      </w:pPr>
      <w:r>
        <w:rPr>
          <w:lang w:val="fr-FR"/>
        </w:rPr>
        <w:t>« </w:t>
      </w:r>
      <w:r w:rsidR="007E4BE5" w:rsidRPr="001D5728">
        <w:rPr>
          <w:sz w:val="18"/>
          <w:szCs w:val="18"/>
          <w:vertAlign w:val="superscript"/>
          <w:lang w:val="fr-FR"/>
        </w:rPr>
        <w:t>1</w:t>
      </w:r>
      <w:r w:rsidR="007E4BE5" w:rsidRPr="001D5728">
        <w:rPr>
          <w:sz w:val="18"/>
          <w:szCs w:val="18"/>
          <w:lang w:val="fr-FR"/>
        </w:rPr>
        <w:tab/>
      </w:r>
      <w:r w:rsidR="007E4BE5" w:rsidRPr="001D5728">
        <w:rPr>
          <w:i/>
          <w:iCs/>
          <w:sz w:val="18"/>
          <w:szCs w:val="18"/>
          <w:lang w:val="fr-FR"/>
        </w:rPr>
        <w:t>Référence mise à jour</w:t>
      </w:r>
      <w:r>
        <w:rPr>
          <w:i/>
          <w:iCs/>
          <w:sz w:val="18"/>
          <w:szCs w:val="18"/>
          <w:lang w:val="fr-FR"/>
        </w:rPr>
        <w:t> </w:t>
      </w:r>
      <w:r w:rsidR="007E4BE5" w:rsidRPr="001D5728">
        <w:rPr>
          <w:i/>
          <w:iCs/>
          <w:sz w:val="18"/>
          <w:szCs w:val="18"/>
          <w:lang w:val="fr-FR"/>
        </w:rPr>
        <w:t>: OCDE, 2001.</w:t>
      </w:r>
      <w:r w:rsidR="007E4BE5" w:rsidRPr="001D5728">
        <w:rPr>
          <w:sz w:val="18"/>
          <w:szCs w:val="18"/>
          <w:lang w:val="fr-FR"/>
        </w:rPr>
        <w:t xml:space="preserve"> </w:t>
      </w:r>
      <w:r w:rsidR="007E4BE5" w:rsidRPr="001D5728">
        <w:rPr>
          <w:i/>
          <w:iCs/>
          <w:sz w:val="18"/>
          <w:szCs w:val="18"/>
          <w:lang w:val="en-US"/>
        </w:rPr>
        <w:t>Harmonized integrated hazard classification system for human health and environmental effects of chemical substances and mixtures,</w:t>
      </w:r>
      <w:r w:rsidR="007E4BE5" w:rsidRPr="001D5728">
        <w:rPr>
          <w:sz w:val="18"/>
          <w:szCs w:val="18"/>
          <w:lang w:val="en-US"/>
        </w:rPr>
        <w:t xml:space="preserve"> </w:t>
      </w:r>
      <w:r w:rsidR="007E4BE5" w:rsidRPr="001D5728">
        <w:rPr>
          <w:i/>
          <w:iCs/>
          <w:sz w:val="18"/>
          <w:szCs w:val="18"/>
          <w:lang w:val="en-US"/>
        </w:rPr>
        <w:t>Série sur les essais et évaluations n</w:t>
      </w:r>
      <w:r w:rsidR="007E4BE5" w:rsidRPr="001D5728">
        <w:rPr>
          <w:i/>
          <w:iCs/>
          <w:sz w:val="18"/>
          <w:szCs w:val="18"/>
          <w:vertAlign w:val="superscript"/>
          <w:lang w:val="en-US"/>
        </w:rPr>
        <w:t>o</w:t>
      </w:r>
      <w:r w:rsidR="007E4BE5" w:rsidRPr="001D5728">
        <w:rPr>
          <w:i/>
          <w:iCs/>
          <w:sz w:val="18"/>
          <w:szCs w:val="18"/>
          <w:lang w:val="en-US"/>
        </w:rPr>
        <w:t> 33, OCDE, Paris.</w:t>
      </w:r>
      <w:r w:rsidRPr="001D5728">
        <w:rPr>
          <w:iCs/>
          <w:lang w:val="en-US"/>
        </w:rPr>
        <w:t> »</w:t>
      </w:r>
      <w:r>
        <w:rPr>
          <w:iCs/>
          <w:lang w:val="en-US"/>
        </w:rPr>
        <w:t>.</w:t>
      </w:r>
    </w:p>
    <w:p w14:paraId="280CECEB" w14:textId="77777777" w:rsidR="007E4BE5" w:rsidRDefault="007E4BE5" w:rsidP="00551F12">
      <w:pPr>
        <w:pStyle w:val="SingleTxtG"/>
        <w:keepNext/>
        <w:ind w:left="2268" w:hanging="1134"/>
        <w:rPr>
          <w:rFonts w:asciiTheme="majorBidi" w:hAnsiTheme="majorBidi" w:cstheme="majorBidi"/>
        </w:rPr>
      </w:pPr>
      <w:r>
        <w:rPr>
          <w:lang w:val="fr-FR"/>
        </w:rPr>
        <w:lastRenderedPageBreak/>
        <w:t>3.</w:t>
      </w:r>
      <w:r>
        <w:rPr>
          <w:lang w:val="fr-FR"/>
        </w:rPr>
        <w:tab/>
        <w:t>Modifier comme suit les références aux lignes directrices de l’OCDE énumérées ci-dessous</w:t>
      </w:r>
      <w:r w:rsidR="001D5728">
        <w:rPr>
          <w:lang w:val="fr-FR"/>
        </w:rPr>
        <w:t> </w:t>
      </w:r>
      <w:r>
        <w:rPr>
          <w:lang w:val="fr-FR"/>
        </w:rPr>
        <w:t>:</w:t>
      </w:r>
    </w:p>
    <w:p w14:paraId="12E9BD7A" w14:textId="77777777" w:rsidR="007E4BE5" w:rsidRDefault="007E4BE5" w:rsidP="001D5728">
      <w:pPr>
        <w:pStyle w:val="Bullet2G"/>
        <w:rPr>
          <w:rFonts w:asciiTheme="majorBidi" w:hAnsiTheme="majorBidi" w:cstheme="majorBidi"/>
        </w:rPr>
      </w:pPr>
      <w:r>
        <w:rPr>
          <w:lang w:val="fr-FR"/>
        </w:rPr>
        <w:t>OCDE, 1998</w:t>
      </w:r>
      <w:r w:rsidR="001D5728">
        <w:rPr>
          <w:lang w:val="fr-FR"/>
        </w:rPr>
        <w:t> </w:t>
      </w:r>
      <w:r>
        <w:rPr>
          <w:lang w:val="fr-FR"/>
        </w:rPr>
        <w:t xml:space="preserve">: Remplacer </w:t>
      </w:r>
      <w:r w:rsidR="001D5728">
        <w:rPr>
          <w:lang w:val="fr-FR"/>
        </w:rPr>
        <w:t>« </w:t>
      </w:r>
      <w:r>
        <w:rPr>
          <w:lang w:val="fr-FR"/>
        </w:rPr>
        <w:t>novembre 1998</w:t>
      </w:r>
      <w:r w:rsidR="001D5728">
        <w:rPr>
          <w:lang w:val="fr-FR"/>
        </w:rPr>
        <w:t> »</w:t>
      </w:r>
      <w:r>
        <w:rPr>
          <w:lang w:val="fr-FR"/>
        </w:rPr>
        <w:t xml:space="preserve"> par </w:t>
      </w:r>
      <w:r w:rsidR="001D5728">
        <w:rPr>
          <w:lang w:val="fr-FR"/>
        </w:rPr>
        <w:t>« </w:t>
      </w:r>
      <w:r>
        <w:rPr>
          <w:lang w:val="fr-FR"/>
        </w:rPr>
        <w:t>novembre 1998</w:t>
      </w:r>
      <w:r w:rsidRPr="001D5728">
        <w:rPr>
          <w:sz w:val="18"/>
          <w:szCs w:val="18"/>
          <w:vertAlign w:val="superscript"/>
          <w:lang w:val="fr-FR"/>
        </w:rPr>
        <w:t>1</w:t>
      </w:r>
      <w:r w:rsidR="001D5728">
        <w:rPr>
          <w:lang w:val="fr-FR"/>
        </w:rPr>
        <w:t> »</w:t>
      </w:r>
      <w:r>
        <w:rPr>
          <w:lang w:val="fr-FR"/>
        </w:rPr>
        <w:t xml:space="preserve"> et ajouter la note de bas de page suivante</w:t>
      </w:r>
      <w:r w:rsidR="001D5728">
        <w:rPr>
          <w:lang w:val="fr-FR"/>
        </w:rPr>
        <w:t> </w:t>
      </w:r>
      <w:r>
        <w:rPr>
          <w:lang w:val="fr-FR"/>
        </w:rPr>
        <w:t xml:space="preserve">: </w:t>
      </w:r>
    </w:p>
    <w:p w14:paraId="2C16BD73" w14:textId="77777777" w:rsidR="007E4BE5" w:rsidRPr="001D5728" w:rsidRDefault="001D5728" w:rsidP="001D5728">
      <w:pPr>
        <w:pStyle w:val="SingleTxtG"/>
        <w:ind w:left="2268"/>
        <w:rPr>
          <w:rFonts w:asciiTheme="majorBidi" w:hAnsiTheme="majorBidi" w:cstheme="majorBidi"/>
          <w:i/>
          <w:lang w:val="en-US"/>
        </w:rPr>
      </w:pPr>
      <w:r>
        <w:rPr>
          <w:lang w:val="fr-FR"/>
        </w:rPr>
        <w:t>« </w:t>
      </w:r>
      <w:r w:rsidR="007E4BE5" w:rsidRPr="001D5728">
        <w:rPr>
          <w:sz w:val="18"/>
          <w:szCs w:val="18"/>
          <w:vertAlign w:val="superscript"/>
          <w:lang w:val="fr-FR"/>
        </w:rPr>
        <w:t>1</w:t>
      </w:r>
      <w:r w:rsidR="007E4BE5" w:rsidRPr="001D5728">
        <w:rPr>
          <w:sz w:val="18"/>
          <w:szCs w:val="18"/>
          <w:lang w:val="fr-FR"/>
        </w:rPr>
        <w:tab/>
      </w:r>
      <w:r w:rsidR="007E4BE5" w:rsidRPr="001D5728">
        <w:rPr>
          <w:i/>
          <w:iCs/>
          <w:sz w:val="18"/>
          <w:szCs w:val="18"/>
          <w:lang w:val="fr-FR"/>
        </w:rPr>
        <w:t>Référence mise à jour</w:t>
      </w:r>
      <w:r>
        <w:rPr>
          <w:i/>
          <w:iCs/>
          <w:sz w:val="18"/>
          <w:szCs w:val="18"/>
          <w:lang w:val="fr-FR"/>
        </w:rPr>
        <w:t> </w:t>
      </w:r>
      <w:r w:rsidR="007E4BE5" w:rsidRPr="001D5728">
        <w:rPr>
          <w:i/>
          <w:iCs/>
          <w:sz w:val="18"/>
          <w:szCs w:val="18"/>
          <w:lang w:val="fr-FR"/>
        </w:rPr>
        <w:t>: OCDE, 2001.</w:t>
      </w:r>
      <w:r w:rsidR="007E4BE5" w:rsidRPr="001D5728">
        <w:rPr>
          <w:sz w:val="18"/>
          <w:szCs w:val="18"/>
          <w:lang w:val="fr-FR"/>
        </w:rPr>
        <w:t xml:space="preserve"> </w:t>
      </w:r>
      <w:r w:rsidR="007E4BE5" w:rsidRPr="001D5728">
        <w:rPr>
          <w:i/>
          <w:iCs/>
          <w:sz w:val="18"/>
          <w:szCs w:val="18"/>
          <w:lang w:val="en-US"/>
        </w:rPr>
        <w:t>Harmonized integrated hazard classification system for human health and environmental effects of chemical substances and mixtures,</w:t>
      </w:r>
      <w:r w:rsidR="007E4BE5" w:rsidRPr="001D5728">
        <w:rPr>
          <w:sz w:val="18"/>
          <w:szCs w:val="18"/>
          <w:lang w:val="en-US"/>
        </w:rPr>
        <w:t xml:space="preserve"> </w:t>
      </w:r>
      <w:r w:rsidR="007E4BE5" w:rsidRPr="001D5728">
        <w:rPr>
          <w:i/>
          <w:iCs/>
          <w:sz w:val="18"/>
          <w:szCs w:val="18"/>
          <w:lang w:val="en-US"/>
        </w:rPr>
        <w:t>Série sur les essais et évaluations n</w:t>
      </w:r>
      <w:r w:rsidR="007E4BE5" w:rsidRPr="001D5728">
        <w:rPr>
          <w:i/>
          <w:iCs/>
          <w:sz w:val="18"/>
          <w:szCs w:val="18"/>
          <w:vertAlign w:val="superscript"/>
          <w:lang w:val="en-US"/>
        </w:rPr>
        <w:t>o</w:t>
      </w:r>
      <w:r w:rsidR="007E4BE5" w:rsidRPr="001D5728">
        <w:rPr>
          <w:i/>
          <w:iCs/>
          <w:sz w:val="18"/>
          <w:szCs w:val="18"/>
          <w:lang w:val="en-US"/>
        </w:rPr>
        <w:t> 33, OCDE, Paris.</w:t>
      </w:r>
      <w:r w:rsidRPr="001D5728">
        <w:rPr>
          <w:iCs/>
          <w:lang w:val="en-US"/>
        </w:rPr>
        <w:t> »</w:t>
      </w:r>
      <w:r>
        <w:rPr>
          <w:iCs/>
          <w:lang w:val="en-US"/>
        </w:rPr>
        <w:t>.</w:t>
      </w:r>
    </w:p>
    <w:p w14:paraId="7F6EAD3B" w14:textId="77777777" w:rsidR="007E4BE5" w:rsidRDefault="007E4BE5" w:rsidP="001D5728">
      <w:pPr>
        <w:pStyle w:val="Bullet2G"/>
        <w:rPr>
          <w:rFonts w:asciiTheme="majorBidi" w:hAnsiTheme="majorBidi" w:cstheme="majorBidi"/>
        </w:rPr>
      </w:pPr>
      <w:r>
        <w:rPr>
          <w:lang w:val="fr-FR"/>
        </w:rPr>
        <w:t>OCDE, 2000</w:t>
      </w:r>
      <w:r w:rsidR="001D5728">
        <w:rPr>
          <w:lang w:val="fr-FR"/>
        </w:rPr>
        <w:t> </w:t>
      </w:r>
      <w:r>
        <w:rPr>
          <w:lang w:val="fr-FR"/>
        </w:rPr>
        <w:t xml:space="preserve">: Remplacer </w:t>
      </w:r>
      <w:r w:rsidR="001D5728">
        <w:rPr>
          <w:lang w:val="fr-FR"/>
        </w:rPr>
        <w:t>« </w:t>
      </w:r>
      <w:r>
        <w:rPr>
          <w:lang w:val="fr-FR"/>
        </w:rPr>
        <w:t>Paris</w:t>
      </w:r>
      <w:r w:rsidR="001D5728">
        <w:rPr>
          <w:lang w:val="fr-FR"/>
        </w:rPr>
        <w:t> »</w:t>
      </w:r>
      <w:r>
        <w:rPr>
          <w:lang w:val="fr-FR"/>
        </w:rPr>
        <w:t xml:space="preserve"> par </w:t>
      </w:r>
      <w:r w:rsidR="001D5728">
        <w:rPr>
          <w:lang w:val="fr-FR"/>
        </w:rPr>
        <w:t>« </w:t>
      </w:r>
      <w:r>
        <w:rPr>
          <w:lang w:val="fr-FR"/>
        </w:rPr>
        <w:t>Paris</w:t>
      </w:r>
      <w:r w:rsidRPr="001D5728">
        <w:rPr>
          <w:sz w:val="18"/>
          <w:szCs w:val="18"/>
          <w:vertAlign w:val="superscript"/>
          <w:lang w:val="fr-FR"/>
        </w:rPr>
        <w:t>2</w:t>
      </w:r>
      <w:r w:rsidR="001D5728">
        <w:rPr>
          <w:lang w:val="fr-FR"/>
        </w:rPr>
        <w:t> »</w:t>
      </w:r>
      <w:r>
        <w:rPr>
          <w:lang w:val="fr-FR"/>
        </w:rPr>
        <w:t xml:space="preserve"> et ajouter la note de bas de page suivante</w:t>
      </w:r>
      <w:r w:rsidR="001D5728">
        <w:rPr>
          <w:lang w:val="fr-FR"/>
        </w:rPr>
        <w:t> </w:t>
      </w:r>
      <w:r>
        <w:rPr>
          <w:lang w:val="fr-FR"/>
        </w:rPr>
        <w:t xml:space="preserve">: </w:t>
      </w:r>
    </w:p>
    <w:p w14:paraId="53F8A313" w14:textId="77777777" w:rsidR="007E4BE5" w:rsidRPr="00E87D07" w:rsidRDefault="001D5728" w:rsidP="001D5728">
      <w:pPr>
        <w:pStyle w:val="SingleTxtG"/>
        <w:ind w:left="2268"/>
        <w:rPr>
          <w:rFonts w:asciiTheme="majorBidi" w:hAnsiTheme="majorBidi" w:cstheme="majorBidi"/>
          <w:i/>
          <w:iCs/>
          <w:lang w:val="fr-FR"/>
        </w:rPr>
      </w:pPr>
      <w:r>
        <w:rPr>
          <w:lang w:val="fr-FR"/>
        </w:rPr>
        <w:t>« </w:t>
      </w:r>
      <w:r w:rsidR="007E4BE5" w:rsidRPr="001D5728">
        <w:rPr>
          <w:sz w:val="18"/>
          <w:szCs w:val="18"/>
          <w:vertAlign w:val="superscript"/>
          <w:lang w:val="fr-FR"/>
        </w:rPr>
        <w:t>2</w:t>
      </w:r>
      <w:r w:rsidR="007E4BE5" w:rsidRPr="001D5728">
        <w:rPr>
          <w:sz w:val="18"/>
          <w:szCs w:val="18"/>
          <w:lang w:val="fr-FR"/>
        </w:rPr>
        <w:tab/>
      </w:r>
      <w:r w:rsidR="007E4BE5" w:rsidRPr="001D5728">
        <w:rPr>
          <w:i/>
          <w:iCs/>
          <w:sz w:val="18"/>
          <w:szCs w:val="18"/>
          <w:lang w:val="fr-FR"/>
        </w:rPr>
        <w:t>Document guide mis à jour</w:t>
      </w:r>
      <w:r>
        <w:rPr>
          <w:i/>
          <w:iCs/>
          <w:sz w:val="18"/>
          <w:szCs w:val="18"/>
          <w:lang w:val="fr-FR"/>
        </w:rPr>
        <w:t> </w:t>
      </w:r>
      <w:r w:rsidR="007E4BE5" w:rsidRPr="001D5728">
        <w:rPr>
          <w:i/>
          <w:iCs/>
          <w:sz w:val="18"/>
          <w:szCs w:val="18"/>
          <w:lang w:val="fr-FR"/>
        </w:rPr>
        <w:t>: OCDE, 2019.</w:t>
      </w:r>
      <w:r w:rsidR="007E4BE5" w:rsidRPr="001D5728">
        <w:rPr>
          <w:sz w:val="18"/>
          <w:szCs w:val="18"/>
          <w:lang w:val="fr-FR"/>
        </w:rPr>
        <w:t xml:space="preserve"> </w:t>
      </w:r>
      <w:r w:rsidR="007E4BE5" w:rsidRPr="001D5728">
        <w:rPr>
          <w:i/>
          <w:iCs/>
          <w:sz w:val="18"/>
          <w:szCs w:val="18"/>
          <w:lang w:val="fr-FR"/>
        </w:rPr>
        <w:t>Guidance Document on Aqueous-Phase Aquatic Toxicity Testing of Difficult Test Chemicals, Série sur les essais et évaluations</w:t>
      </w:r>
      <w:r w:rsidR="007E4BE5" w:rsidRPr="001D5728" w:rsidDel="00DE5E3A">
        <w:rPr>
          <w:i/>
          <w:iCs/>
          <w:sz w:val="18"/>
          <w:szCs w:val="18"/>
          <w:lang w:val="fr-FR"/>
        </w:rPr>
        <w:t xml:space="preserve"> </w:t>
      </w:r>
      <w:r w:rsidR="007E4BE5" w:rsidRPr="001D5728">
        <w:rPr>
          <w:i/>
          <w:iCs/>
          <w:sz w:val="18"/>
          <w:szCs w:val="18"/>
          <w:lang w:val="fr-FR"/>
        </w:rPr>
        <w:t>n</w:t>
      </w:r>
      <w:r w:rsidR="007E4BE5" w:rsidRPr="001D5728">
        <w:rPr>
          <w:i/>
          <w:iCs/>
          <w:sz w:val="18"/>
          <w:szCs w:val="18"/>
          <w:vertAlign w:val="superscript"/>
          <w:lang w:val="fr-FR"/>
        </w:rPr>
        <w:t>o</w:t>
      </w:r>
      <w:r w:rsidR="007E4BE5" w:rsidRPr="001D5728">
        <w:rPr>
          <w:i/>
          <w:iCs/>
          <w:sz w:val="18"/>
          <w:szCs w:val="18"/>
          <w:lang w:val="fr-FR"/>
        </w:rPr>
        <w:t xml:space="preserve"> 23 (deuxième édition), </w:t>
      </w:r>
      <w:r w:rsidR="004363EA" w:rsidRPr="004363EA">
        <w:rPr>
          <w:i/>
          <w:iCs/>
          <w:sz w:val="18"/>
          <w:szCs w:val="18"/>
          <w:lang w:val="fr-FR"/>
        </w:rPr>
        <w:t>OCDE</w:t>
      </w:r>
      <w:r w:rsidR="007E4BE5" w:rsidRPr="001D5728">
        <w:rPr>
          <w:i/>
          <w:iCs/>
          <w:sz w:val="18"/>
          <w:szCs w:val="18"/>
          <w:lang w:val="fr-FR"/>
        </w:rPr>
        <w:t>, Paris.</w:t>
      </w:r>
      <w:r w:rsidRPr="001D5728">
        <w:rPr>
          <w:iCs/>
          <w:lang w:val="fr-FR"/>
        </w:rPr>
        <w:t> ».</w:t>
      </w:r>
    </w:p>
    <w:p w14:paraId="0494E673" w14:textId="77777777" w:rsidR="007E4BE5" w:rsidRDefault="007E4BE5" w:rsidP="00551F12">
      <w:pPr>
        <w:pStyle w:val="SingleTxtG"/>
        <w:keepNext/>
        <w:ind w:left="2268" w:hanging="1134"/>
        <w:rPr>
          <w:rFonts w:asciiTheme="majorBidi" w:hAnsiTheme="majorBidi" w:cstheme="majorBidi"/>
        </w:rPr>
      </w:pPr>
      <w:r>
        <w:rPr>
          <w:lang w:val="fr-FR"/>
        </w:rPr>
        <w:t>5.</w:t>
      </w:r>
      <w:r>
        <w:rPr>
          <w:lang w:val="fr-FR"/>
        </w:rPr>
        <w:tab/>
        <w:t>Modifier comme suit les références aux lignes directrices de l’OCDE énumérées ci-dessous</w:t>
      </w:r>
      <w:r w:rsidR="001D5728">
        <w:rPr>
          <w:lang w:val="fr-FR"/>
        </w:rPr>
        <w:t> </w:t>
      </w:r>
      <w:r>
        <w:rPr>
          <w:lang w:val="fr-FR"/>
        </w:rPr>
        <w:t>:</w:t>
      </w:r>
    </w:p>
    <w:p w14:paraId="5F597562" w14:textId="77777777" w:rsidR="007E4BE5" w:rsidRDefault="007E4BE5" w:rsidP="00E128FB">
      <w:pPr>
        <w:pStyle w:val="Bullet2G"/>
        <w:rPr>
          <w:rFonts w:asciiTheme="majorBidi" w:hAnsiTheme="majorBidi" w:cstheme="majorBidi"/>
        </w:rPr>
      </w:pPr>
      <w:r>
        <w:rPr>
          <w:lang w:val="fr-FR"/>
        </w:rPr>
        <w:t>OCDE (1998)</w:t>
      </w:r>
      <w:r w:rsidR="00E128FB">
        <w:rPr>
          <w:lang w:val="fr-FR"/>
        </w:rPr>
        <w:t> </w:t>
      </w:r>
      <w:r>
        <w:rPr>
          <w:lang w:val="fr-FR"/>
        </w:rPr>
        <w:t xml:space="preserve">: Remplacer </w:t>
      </w:r>
      <w:r w:rsidR="00E128FB">
        <w:rPr>
          <w:lang w:val="fr-FR"/>
        </w:rPr>
        <w:t>« </w:t>
      </w:r>
      <w:r>
        <w:rPr>
          <w:lang w:val="fr-FR"/>
        </w:rPr>
        <w:t>(Document ENV/JM/</w:t>
      </w:r>
      <w:proofErr w:type="gramStart"/>
      <w:r>
        <w:rPr>
          <w:lang w:val="fr-FR"/>
        </w:rPr>
        <w:t>MONO(</w:t>
      </w:r>
      <w:proofErr w:type="gramEnd"/>
      <w:r>
        <w:rPr>
          <w:lang w:val="fr-FR"/>
        </w:rPr>
        <w:t>2001)6)</w:t>
      </w:r>
      <w:r w:rsidR="00E128FB">
        <w:rPr>
          <w:lang w:val="fr-FR"/>
        </w:rPr>
        <w:t> »</w:t>
      </w:r>
      <w:r>
        <w:rPr>
          <w:lang w:val="fr-FR"/>
        </w:rPr>
        <w:t xml:space="preserve"> par </w:t>
      </w:r>
      <w:r w:rsidR="00E128FB">
        <w:rPr>
          <w:lang w:val="fr-FR"/>
        </w:rPr>
        <w:t>« </w:t>
      </w:r>
      <w:r>
        <w:rPr>
          <w:lang w:val="fr-FR"/>
        </w:rPr>
        <w:t>(Document ENV/JM/MONO(2001)6)</w:t>
      </w:r>
      <w:r w:rsidRPr="00E128FB">
        <w:rPr>
          <w:sz w:val="18"/>
          <w:szCs w:val="18"/>
          <w:vertAlign w:val="superscript"/>
          <w:lang w:val="fr-FR"/>
        </w:rPr>
        <w:t>1</w:t>
      </w:r>
      <w:r w:rsidR="00E128FB">
        <w:rPr>
          <w:lang w:val="fr-FR"/>
        </w:rPr>
        <w:t> »</w:t>
      </w:r>
      <w:r>
        <w:rPr>
          <w:lang w:val="fr-FR"/>
        </w:rPr>
        <w:t xml:space="preserve"> et ajouter la note de bas de page suivante</w:t>
      </w:r>
      <w:r w:rsidR="00E128FB">
        <w:rPr>
          <w:lang w:val="fr-FR"/>
        </w:rPr>
        <w:t> </w:t>
      </w:r>
      <w:r>
        <w:rPr>
          <w:lang w:val="fr-FR"/>
        </w:rPr>
        <w:t xml:space="preserve">: </w:t>
      </w:r>
    </w:p>
    <w:p w14:paraId="05F925DE" w14:textId="77777777" w:rsidR="007E4BE5" w:rsidRPr="00E128FB" w:rsidRDefault="00E128FB" w:rsidP="00E128FB">
      <w:pPr>
        <w:pStyle w:val="SingleTxtG"/>
        <w:ind w:left="2268"/>
        <w:rPr>
          <w:i/>
          <w:iCs/>
          <w:lang w:val="en-US"/>
        </w:rPr>
      </w:pPr>
      <w:r>
        <w:rPr>
          <w:lang w:val="fr-FR"/>
        </w:rPr>
        <w:t>« </w:t>
      </w:r>
      <w:r w:rsidR="007E4BE5" w:rsidRPr="00E128FB">
        <w:rPr>
          <w:sz w:val="18"/>
          <w:szCs w:val="18"/>
          <w:vertAlign w:val="superscript"/>
          <w:lang w:val="fr-FR"/>
        </w:rPr>
        <w:t>1</w:t>
      </w:r>
      <w:r w:rsidR="007E4BE5" w:rsidRPr="00E128FB">
        <w:rPr>
          <w:sz w:val="18"/>
          <w:szCs w:val="18"/>
          <w:lang w:val="fr-FR"/>
        </w:rPr>
        <w:tab/>
      </w:r>
      <w:r w:rsidR="007E4BE5" w:rsidRPr="00E128FB">
        <w:rPr>
          <w:i/>
          <w:iCs/>
          <w:sz w:val="18"/>
          <w:szCs w:val="18"/>
          <w:lang w:val="fr-FR"/>
        </w:rPr>
        <w:t>Référence mise à jour</w:t>
      </w:r>
      <w:r>
        <w:rPr>
          <w:i/>
          <w:iCs/>
          <w:sz w:val="18"/>
          <w:szCs w:val="18"/>
          <w:lang w:val="fr-FR"/>
        </w:rPr>
        <w:t> </w:t>
      </w:r>
      <w:r w:rsidR="007E4BE5" w:rsidRPr="00E128FB">
        <w:rPr>
          <w:i/>
          <w:iCs/>
          <w:sz w:val="18"/>
          <w:szCs w:val="18"/>
          <w:lang w:val="fr-FR"/>
        </w:rPr>
        <w:t>: OCDE, 2001.</w:t>
      </w:r>
      <w:r w:rsidR="007E4BE5" w:rsidRPr="00E128FB">
        <w:rPr>
          <w:sz w:val="18"/>
          <w:szCs w:val="18"/>
          <w:lang w:val="fr-FR"/>
        </w:rPr>
        <w:t xml:space="preserve"> </w:t>
      </w:r>
      <w:r w:rsidR="007E4BE5" w:rsidRPr="00E128FB">
        <w:rPr>
          <w:i/>
          <w:iCs/>
          <w:sz w:val="18"/>
          <w:szCs w:val="18"/>
          <w:lang w:val="en-US"/>
        </w:rPr>
        <w:t>Harmonized integrated hazard classification system for human health and environmental effects of chemical substances and mixtures,</w:t>
      </w:r>
      <w:r w:rsidR="007E4BE5" w:rsidRPr="00E128FB">
        <w:rPr>
          <w:sz w:val="18"/>
          <w:szCs w:val="18"/>
          <w:lang w:val="en-US"/>
        </w:rPr>
        <w:t xml:space="preserve"> </w:t>
      </w:r>
      <w:r w:rsidR="007E4BE5" w:rsidRPr="00E128FB">
        <w:rPr>
          <w:i/>
          <w:iCs/>
          <w:sz w:val="18"/>
          <w:szCs w:val="18"/>
          <w:lang w:val="en-US"/>
        </w:rPr>
        <w:t>Série sur les essais et évaluations n</w:t>
      </w:r>
      <w:r w:rsidR="007E4BE5" w:rsidRPr="00E128FB">
        <w:rPr>
          <w:i/>
          <w:iCs/>
          <w:sz w:val="18"/>
          <w:szCs w:val="18"/>
          <w:vertAlign w:val="superscript"/>
          <w:lang w:val="en-US"/>
        </w:rPr>
        <w:t>o</w:t>
      </w:r>
      <w:r w:rsidR="007E4BE5" w:rsidRPr="00E128FB">
        <w:rPr>
          <w:i/>
          <w:iCs/>
          <w:sz w:val="18"/>
          <w:szCs w:val="18"/>
          <w:lang w:val="en-US"/>
        </w:rPr>
        <w:t> 33, OCDE, Paris.</w:t>
      </w:r>
      <w:r w:rsidRPr="00E128FB">
        <w:rPr>
          <w:i/>
          <w:iCs/>
          <w:lang w:val="en-US"/>
        </w:rPr>
        <w:t> </w:t>
      </w:r>
      <w:r w:rsidRPr="00E128FB">
        <w:rPr>
          <w:iCs/>
          <w:lang w:val="en-US"/>
        </w:rPr>
        <w:t>».</w:t>
      </w:r>
    </w:p>
    <w:p w14:paraId="422E7364" w14:textId="77777777" w:rsidR="007E4BE5" w:rsidRDefault="007E4BE5" w:rsidP="00E128FB">
      <w:pPr>
        <w:pStyle w:val="Bullet2G"/>
        <w:rPr>
          <w:rFonts w:asciiTheme="majorBidi" w:hAnsiTheme="majorBidi" w:cstheme="majorBidi"/>
        </w:rPr>
      </w:pPr>
      <w:r>
        <w:rPr>
          <w:lang w:val="fr-FR"/>
        </w:rPr>
        <w:t>OCDE (2000)</w:t>
      </w:r>
      <w:r w:rsidR="00E128FB">
        <w:rPr>
          <w:lang w:val="fr-FR"/>
        </w:rPr>
        <w:t> </w:t>
      </w:r>
      <w:r>
        <w:rPr>
          <w:lang w:val="fr-FR"/>
        </w:rPr>
        <w:t xml:space="preserve">: Remplacer </w:t>
      </w:r>
      <w:r w:rsidR="00E128FB">
        <w:rPr>
          <w:lang w:val="fr-FR"/>
        </w:rPr>
        <w:t>« </w:t>
      </w:r>
      <w:r>
        <w:rPr>
          <w:lang w:val="fr-FR"/>
        </w:rPr>
        <w:t>Mixtures</w:t>
      </w:r>
      <w:r w:rsidR="00E128FB">
        <w:rPr>
          <w:lang w:val="fr-FR"/>
        </w:rPr>
        <w:t> »</w:t>
      </w:r>
      <w:r>
        <w:rPr>
          <w:lang w:val="fr-FR"/>
        </w:rPr>
        <w:t xml:space="preserve"> par </w:t>
      </w:r>
      <w:r w:rsidR="00E128FB">
        <w:rPr>
          <w:lang w:val="fr-FR"/>
        </w:rPr>
        <w:t>« </w:t>
      </w:r>
      <w:r>
        <w:rPr>
          <w:lang w:val="fr-FR"/>
        </w:rPr>
        <w:t>Mixtures</w:t>
      </w:r>
      <w:r w:rsidRPr="00E128FB">
        <w:rPr>
          <w:sz w:val="18"/>
          <w:szCs w:val="18"/>
          <w:vertAlign w:val="superscript"/>
          <w:lang w:val="fr-FR"/>
        </w:rPr>
        <w:t>2</w:t>
      </w:r>
      <w:r w:rsidR="00E128FB">
        <w:rPr>
          <w:lang w:val="fr-FR"/>
        </w:rPr>
        <w:t> »</w:t>
      </w:r>
      <w:r>
        <w:rPr>
          <w:lang w:val="fr-FR"/>
        </w:rPr>
        <w:t xml:space="preserve"> et ajouter la note de bas de page suivante</w:t>
      </w:r>
      <w:r w:rsidR="00E128FB">
        <w:rPr>
          <w:lang w:val="fr-FR"/>
        </w:rPr>
        <w:t> </w:t>
      </w:r>
      <w:r>
        <w:rPr>
          <w:lang w:val="fr-FR"/>
        </w:rPr>
        <w:t xml:space="preserve">: </w:t>
      </w:r>
    </w:p>
    <w:p w14:paraId="0B0D9095" w14:textId="77777777" w:rsidR="007E4BE5" w:rsidRPr="00E87D07" w:rsidRDefault="00E128FB" w:rsidP="00E128FB">
      <w:pPr>
        <w:pStyle w:val="SingleTxtG"/>
        <w:ind w:left="2268"/>
        <w:rPr>
          <w:rFonts w:asciiTheme="majorBidi" w:hAnsiTheme="majorBidi" w:cstheme="majorBidi"/>
          <w:i/>
          <w:iCs/>
          <w:lang w:val="fr-FR"/>
        </w:rPr>
      </w:pPr>
      <w:r>
        <w:rPr>
          <w:lang w:val="fr-FR"/>
        </w:rPr>
        <w:t>« </w:t>
      </w:r>
      <w:r w:rsidR="007E4BE5" w:rsidRPr="00E128FB">
        <w:rPr>
          <w:sz w:val="18"/>
          <w:szCs w:val="18"/>
          <w:vertAlign w:val="superscript"/>
          <w:lang w:val="fr-FR"/>
        </w:rPr>
        <w:t>2</w:t>
      </w:r>
      <w:r w:rsidR="007E4BE5" w:rsidRPr="00E128FB">
        <w:rPr>
          <w:sz w:val="18"/>
          <w:szCs w:val="18"/>
          <w:lang w:val="fr-FR"/>
        </w:rPr>
        <w:tab/>
      </w:r>
      <w:r w:rsidR="007E4BE5" w:rsidRPr="00E128FB">
        <w:rPr>
          <w:i/>
          <w:iCs/>
          <w:sz w:val="18"/>
          <w:szCs w:val="18"/>
          <w:lang w:val="fr-FR"/>
        </w:rPr>
        <w:t>Document guide mis à jour</w:t>
      </w:r>
      <w:r w:rsidRPr="00E128FB">
        <w:rPr>
          <w:i/>
          <w:iCs/>
          <w:sz w:val="18"/>
          <w:szCs w:val="18"/>
          <w:lang w:val="fr-FR"/>
        </w:rPr>
        <w:t> </w:t>
      </w:r>
      <w:r w:rsidR="007E4BE5" w:rsidRPr="00E128FB">
        <w:rPr>
          <w:i/>
          <w:iCs/>
          <w:sz w:val="18"/>
          <w:szCs w:val="18"/>
          <w:lang w:val="fr-FR"/>
        </w:rPr>
        <w:t>: OCDE, 2019.</w:t>
      </w:r>
      <w:r w:rsidR="007E4BE5" w:rsidRPr="00E128FB">
        <w:rPr>
          <w:sz w:val="18"/>
          <w:szCs w:val="18"/>
          <w:lang w:val="fr-FR"/>
        </w:rPr>
        <w:t xml:space="preserve"> </w:t>
      </w:r>
      <w:r w:rsidR="007E4BE5" w:rsidRPr="00E128FB">
        <w:rPr>
          <w:i/>
          <w:iCs/>
          <w:sz w:val="18"/>
          <w:szCs w:val="18"/>
          <w:lang w:val="fr-FR"/>
        </w:rPr>
        <w:t>Guidance Document on Aqueous-Phase Aquatic Toxicity Testing of Difficult Test Chemicals, Série sur les essais et évaluations n</w:t>
      </w:r>
      <w:r w:rsidR="007E4BE5" w:rsidRPr="00E128FB">
        <w:rPr>
          <w:i/>
          <w:iCs/>
          <w:sz w:val="18"/>
          <w:szCs w:val="18"/>
          <w:vertAlign w:val="superscript"/>
          <w:lang w:val="fr-FR"/>
        </w:rPr>
        <w:t>o</w:t>
      </w:r>
      <w:r w:rsidR="007E4BE5" w:rsidRPr="00E128FB">
        <w:rPr>
          <w:i/>
          <w:iCs/>
          <w:sz w:val="18"/>
          <w:szCs w:val="18"/>
          <w:lang w:val="fr-FR"/>
        </w:rPr>
        <w:t>23 (deuxième édition), OECD, Paris.</w:t>
      </w:r>
      <w:r>
        <w:rPr>
          <w:iCs/>
          <w:lang w:val="fr-FR"/>
        </w:rPr>
        <w:t> ».</w:t>
      </w:r>
    </w:p>
    <w:p w14:paraId="22706206" w14:textId="77777777" w:rsidR="007E4BE5" w:rsidRDefault="007E4BE5" w:rsidP="00E128FB">
      <w:pPr>
        <w:pStyle w:val="H1G"/>
      </w:pPr>
      <w:r w:rsidRPr="00E87D07">
        <w:rPr>
          <w:lang w:val="fr-FR"/>
        </w:rPr>
        <w:tab/>
      </w:r>
      <w:r w:rsidRPr="00E87D07">
        <w:rPr>
          <w:lang w:val="fr-FR"/>
        </w:rPr>
        <w:tab/>
      </w:r>
      <w:r>
        <w:rPr>
          <w:lang w:val="fr-FR"/>
        </w:rPr>
        <w:t>Annexe 10, Appendice, Bibliographie</w:t>
      </w:r>
    </w:p>
    <w:p w14:paraId="4C6D3501" w14:textId="77777777" w:rsidR="007E4BE5" w:rsidRDefault="007E4BE5" w:rsidP="00551F12">
      <w:pPr>
        <w:pStyle w:val="SingleTxtG"/>
        <w:keepNext/>
        <w:ind w:left="2268" w:hanging="1134"/>
      </w:pPr>
      <w:r>
        <w:rPr>
          <w:lang w:val="fr-FR"/>
        </w:rPr>
        <w:t>3.</w:t>
      </w:r>
      <w:r>
        <w:rPr>
          <w:lang w:val="fr-FR"/>
        </w:rPr>
        <w:tab/>
        <w:t xml:space="preserve">Remplacer </w:t>
      </w:r>
      <w:r w:rsidR="00E128FB">
        <w:rPr>
          <w:lang w:val="fr-FR"/>
        </w:rPr>
        <w:t>« </w:t>
      </w:r>
      <w:r>
        <w:rPr>
          <w:lang w:val="fr-FR"/>
        </w:rPr>
        <w:t>aiguë</w:t>
      </w:r>
      <w:r w:rsidR="00E128FB">
        <w:rPr>
          <w:lang w:val="fr-FR"/>
        </w:rPr>
        <w:t> »</w:t>
      </w:r>
      <w:r>
        <w:rPr>
          <w:lang w:val="fr-FR"/>
        </w:rPr>
        <w:t xml:space="preserve"> par </w:t>
      </w:r>
      <w:r w:rsidR="00E128FB">
        <w:rPr>
          <w:lang w:val="fr-FR"/>
        </w:rPr>
        <w:t>« </w:t>
      </w:r>
      <w:r>
        <w:rPr>
          <w:lang w:val="fr-FR"/>
        </w:rPr>
        <w:t>aiguë</w:t>
      </w:r>
      <w:r w:rsidRPr="00E128FB">
        <w:rPr>
          <w:sz w:val="18"/>
          <w:szCs w:val="18"/>
          <w:vertAlign w:val="superscript"/>
          <w:lang w:val="fr-FR"/>
        </w:rPr>
        <w:t>3</w:t>
      </w:r>
      <w:r w:rsidR="00E128FB">
        <w:rPr>
          <w:lang w:val="fr-FR"/>
        </w:rPr>
        <w:t> »</w:t>
      </w:r>
      <w:r>
        <w:rPr>
          <w:lang w:val="fr-FR"/>
        </w:rPr>
        <w:t xml:space="preserve"> et ajouter la note de bas de page suivante</w:t>
      </w:r>
      <w:r w:rsidR="00E128FB">
        <w:rPr>
          <w:lang w:val="fr-FR"/>
        </w:rPr>
        <w:t> </w:t>
      </w:r>
      <w:r>
        <w:rPr>
          <w:lang w:val="fr-FR"/>
        </w:rPr>
        <w:t xml:space="preserve">: </w:t>
      </w:r>
    </w:p>
    <w:p w14:paraId="14974361" w14:textId="77777777" w:rsidR="007E4BE5" w:rsidRDefault="007E4BE5" w:rsidP="00E128FB">
      <w:pPr>
        <w:pStyle w:val="SingleTxtG"/>
        <w:ind w:left="2268"/>
        <w:rPr>
          <w:rFonts w:asciiTheme="majorBidi" w:hAnsiTheme="majorBidi" w:cstheme="majorBidi"/>
          <w:i/>
        </w:rPr>
      </w:pPr>
      <w:r>
        <w:rPr>
          <w:lang w:val="fr-FR"/>
        </w:rPr>
        <w:tab/>
      </w:r>
      <w:r w:rsidR="00E128FB">
        <w:rPr>
          <w:lang w:val="fr-FR"/>
        </w:rPr>
        <w:t>« </w:t>
      </w:r>
      <w:r w:rsidRPr="00E128FB">
        <w:rPr>
          <w:sz w:val="18"/>
          <w:szCs w:val="18"/>
          <w:vertAlign w:val="superscript"/>
          <w:lang w:val="fr-FR"/>
        </w:rPr>
        <w:t>3</w:t>
      </w:r>
      <w:r w:rsidRPr="00E128FB">
        <w:rPr>
          <w:sz w:val="18"/>
          <w:szCs w:val="18"/>
          <w:lang w:val="fr-FR"/>
        </w:rPr>
        <w:tab/>
      </w:r>
      <w:r w:rsidRPr="00E128FB">
        <w:rPr>
          <w:i/>
          <w:iCs/>
          <w:sz w:val="18"/>
          <w:szCs w:val="18"/>
          <w:lang w:val="fr-FR"/>
        </w:rPr>
        <w:t>Mise à jour en 2019.</w:t>
      </w:r>
      <w:r w:rsidR="00E128FB">
        <w:rPr>
          <w:iCs/>
          <w:lang w:val="fr-FR"/>
        </w:rPr>
        <w:t> ».</w:t>
      </w:r>
    </w:p>
    <w:p w14:paraId="0A0095D1" w14:textId="77777777" w:rsidR="007E4BE5" w:rsidRPr="005E086D" w:rsidRDefault="007E4BE5" w:rsidP="00E128FB">
      <w:pPr>
        <w:pStyle w:val="SingleTxtG"/>
        <w:ind w:left="2268" w:hanging="1134"/>
      </w:pPr>
      <w:r>
        <w:rPr>
          <w:lang w:val="fr-FR"/>
        </w:rPr>
        <w:t>4.</w:t>
      </w:r>
      <w:r>
        <w:rPr>
          <w:lang w:val="fr-FR"/>
        </w:rPr>
        <w:tab/>
        <w:t xml:space="preserve">La note de bas de page </w:t>
      </w:r>
      <w:r w:rsidR="00E128FB">
        <w:rPr>
          <w:lang w:val="fr-FR"/>
        </w:rPr>
        <w:t>« </w:t>
      </w:r>
      <w:r>
        <w:rPr>
          <w:lang w:val="fr-FR"/>
        </w:rPr>
        <w:t>3</w:t>
      </w:r>
      <w:r w:rsidR="00E128FB">
        <w:rPr>
          <w:lang w:val="fr-FR"/>
        </w:rPr>
        <w:t> »</w:t>
      </w:r>
      <w:r>
        <w:rPr>
          <w:lang w:val="fr-FR"/>
        </w:rPr>
        <w:t xml:space="preserve"> devient la note de bas de page </w:t>
      </w:r>
      <w:r w:rsidR="00E128FB">
        <w:rPr>
          <w:lang w:val="fr-FR"/>
        </w:rPr>
        <w:t>« </w:t>
      </w:r>
      <w:r>
        <w:rPr>
          <w:lang w:val="fr-FR"/>
        </w:rPr>
        <w:t>4</w:t>
      </w:r>
      <w:r w:rsidR="00E128FB">
        <w:rPr>
          <w:lang w:val="fr-FR"/>
        </w:rPr>
        <w:t> »</w:t>
      </w:r>
      <w:r>
        <w:rPr>
          <w:lang w:val="fr-FR"/>
        </w:rPr>
        <w:t>.</w:t>
      </w:r>
    </w:p>
    <w:p w14:paraId="53802188" w14:textId="77777777" w:rsidR="007E4BE5" w:rsidRDefault="007E4BE5" w:rsidP="00E128FB">
      <w:pPr>
        <w:pStyle w:val="SingleTxtG"/>
        <w:keepNext/>
        <w:ind w:left="2268" w:hanging="1134"/>
      </w:pPr>
      <w:r>
        <w:rPr>
          <w:lang w:val="fr-FR"/>
        </w:rPr>
        <w:t>5.</w:t>
      </w:r>
      <w:r>
        <w:rPr>
          <w:lang w:val="fr-FR"/>
        </w:rPr>
        <w:tab/>
        <w:t xml:space="preserve">Remplacer </w:t>
      </w:r>
      <w:r w:rsidR="00E128FB">
        <w:rPr>
          <w:lang w:val="fr-FR"/>
        </w:rPr>
        <w:t>« </w:t>
      </w:r>
      <w:r>
        <w:rPr>
          <w:lang w:val="fr-FR"/>
        </w:rPr>
        <w:t>vie</w:t>
      </w:r>
      <w:r w:rsidR="00E128FB">
        <w:rPr>
          <w:lang w:val="fr-FR"/>
        </w:rPr>
        <w:t> »</w:t>
      </w:r>
      <w:r>
        <w:rPr>
          <w:lang w:val="fr-FR"/>
        </w:rPr>
        <w:t xml:space="preserve"> par </w:t>
      </w:r>
      <w:r w:rsidR="00E128FB">
        <w:rPr>
          <w:lang w:val="fr-FR"/>
        </w:rPr>
        <w:t>« </w:t>
      </w:r>
      <w:r>
        <w:rPr>
          <w:lang w:val="fr-FR"/>
        </w:rPr>
        <w:t>vie</w:t>
      </w:r>
      <w:r w:rsidRPr="00E128FB">
        <w:rPr>
          <w:sz w:val="18"/>
          <w:szCs w:val="18"/>
          <w:vertAlign w:val="superscript"/>
          <w:lang w:val="fr-FR"/>
        </w:rPr>
        <w:t>5</w:t>
      </w:r>
      <w:r w:rsidR="00E128FB">
        <w:rPr>
          <w:lang w:val="fr-FR"/>
        </w:rPr>
        <w:t> »</w:t>
      </w:r>
      <w:r>
        <w:rPr>
          <w:lang w:val="fr-FR"/>
        </w:rPr>
        <w:t xml:space="preserve"> et ajouter la note de bas de page suivante</w:t>
      </w:r>
      <w:r w:rsidR="00E128FB">
        <w:rPr>
          <w:lang w:val="fr-FR"/>
        </w:rPr>
        <w:t> </w:t>
      </w:r>
      <w:r>
        <w:rPr>
          <w:lang w:val="fr-FR"/>
        </w:rPr>
        <w:t xml:space="preserve">: </w:t>
      </w:r>
    </w:p>
    <w:p w14:paraId="7593377E" w14:textId="77777777" w:rsidR="007E4BE5" w:rsidRDefault="007E4BE5" w:rsidP="00E128FB">
      <w:pPr>
        <w:pStyle w:val="SingleTxtG"/>
        <w:ind w:left="2268"/>
        <w:rPr>
          <w:iCs/>
          <w:lang w:val="fr-FR"/>
        </w:rPr>
      </w:pPr>
      <w:r>
        <w:rPr>
          <w:lang w:val="fr-FR"/>
        </w:rPr>
        <w:tab/>
      </w:r>
      <w:r w:rsidR="00E128FB">
        <w:rPr>
          <w:lang w:val="fr-FR"/>
        </w:rPr>
        <w:t>« </w:t>
      </w:r>
      <w:r w:rsidRPr="00E128FB">
        <w:rPr>
          <w:sz w:val="18"/>
          <w:szCs w:val="18"/>
          <w:vertAlign w:val="superscript"/>
          <w:lang w:val="fr-FR"/>
        </w:rPr>
        <w:t>5</w:t>
      </w:r>
      <w:r w:rsidRPr="00E128FB">
        <w:rPr>
          <w:sz w:val="18"/>
          <w:szCs w:val="18"/>
          <w:lang w:val="fr-FR"/>
        </w:rPr>
        <w:tab/>
      </w:r>
      <w:r w:rsidRPr="00E128FB">
        <w:rPr>
          <w:i/>
          <w:iCs/>
          <w:sz w:val="18"/>
          <w:szCs w:val="18"/>
          <w:lang w:val="fr-FR"/>
        </w:rPr>
        <w:t>Mise à jour en 2013.</w:t>
      </w:r>
      <w:r w:rsidR="00E128FB">
        <w:rPr>
          <w:iCs/>
          <w:lang w:val="fr-FR"/>
        </w:rPr>
        <w:t> ».</w:t>
      </w:r>
    </w:p>
    <w:p w14:paraId="2BC4DBDA" w14:textId="77777777" w:rsidR="00E128FB" w:rsidRPr="00E128FB" w:rsidRDefault="00E128FB" w:rsidP="00E128FB">
      <w:pPr>
        <w:pStyle w:val="SingleTxtG"/>
        <w:spacing w:before="240" w:after="0"/>
        <w:jc w:val="center"/>
        <w:rPr>
          <w:u w:val="single"/>
        </w:rPr>
      </w:pPr>
      <w:r>
        <w:rPr>
          <w:u w:val="single"/>
        </w:rPr>
        <w:tab/>
      </w:r>
      <w:r>
        <w:rPr>
          <w:u w:val="single"/>
        </w:rPr>
        <w:tab/>
      </w:r>
      <w:r>
        <w:rPr>
          <w:u w:val="single"/>
        </w:rPr>
        <w:tab/>
      </w:r>
    </w:p>
    <w:sectPr w:rsidR="00E128FB" w:rsidRPr="00E128FB" w:rsidSect="007E4BE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4CA16" w14:textId="77777777" w:rsidR="00ED44FC" w:rsidRDefault="00ED44FC" w:rsidP="00F95C08">
      <w:pPr>
        <w:spacing w:line="240" w:lineRule="auto"/>
      </w:pPr>
    </w:p>
  </w:endnote>
  <w:endnote w:type="continuationSeparator" w:id="0">
    <w:p w14:paraId="6A5531BF" w14:textId="77777777" w:rsidR="00ED44FC" w:rsidRPr="00AC3823" w:rsidRDefault="00ED44FC" w:rsidP="00AC3823">
      <w:pPr>
        <w:pStyle w:val="Footer"/>
      </w:pPr>
    </w:p>
  </w:endnote>
  <w:endnote w:type="continuationNotice" w:id="1">
    <w:p w14:paraId="182ECB8E" w14:textId="77777777" w:rsidR="00ED44FC" w:rsidRDefault="00ED44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B065" w14:textId="77777777" w:rsidR="00ED44FC" w:rsidRPr="007E4BE5" w:rsidRDefault="00ED44FC" w:rsidP="007E4BE5">
    <w:pPr>
      <w:pStyle w:val="Footer"/>
      <w:tabs>
        <w:tab w:val="right" w:pos="9638"/>
      </w:tabs>
    </w:pPr>
    <w:r w:rsidRPr="007E4BE5">
      <w:rPr>
        <w:b/>
        <w:sz w:val="18"/>
      </w:rPr>
      <w:fldChar w:fldCharType="begin"/>
    </w:r>
    <w:r w:rsidRPr="007E4BE5">
      <w:rPr>
        <w:b/>
        <w:sz w:val="18"/>
      </w:rPr>
      <w:instrText xml:space="preserve"> PAGE  \* MERGEFORMAT </w:instrText>
    </w:r>
    <w:r w:rsidRPr="007E4BE5">
      <w:rPr>
        <w:b/>
        <w:sz w:val="18"/>
      </w:rPr>
      <w:fldChar w:fldCharType="separate"/>
    </w:r>
    <w:r w:rsidRPr="007E4BE5">
      <w:rPr>
        <w:b/>
        <w:noProof/>
        <w:sz w:val="18"/>
      </w:rPr>
      <w:t>2</w:t>
    </w:r>
    <w:r w:rsidRPr="007E4BE5">
      <w:rPr>
        <w:b/>
        <w:sz w:val="18"/>
      </w:rPr>
      <w:fldChar w:fldCharType="end"/>
    </w:r>
    <w:r>
      <w:rPr>
        <w:b/>
        <w:sz w:val="18"/>
      </w:rPr>
      <w:tab/>
    </w:r>
    <w:r>
      <w:t>GE.19-16413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D96E" w14:textId="77777777" w:rsidR="00ED44FC" w:rsidRPr="007E4BE5" w:rsidRDefault="00ED44FC" w:rsidP="007E4BE5">
    <w:pPr>
      <w:pStyle w:val="Footer"/>
      <w:tabs>
        <w:tab w:val="right" w:pos="9638"/>
      </w:tabs>
      <w:rPr>
        <w:b/>
        <w:sz w:val="18"/>
      </w:rPr>
    </w:pPr>
    <w:r>
      <w:t>GE.19-16413</w:t>
    </w:r>
    <w:r>
      <w:tab/>
    </w:r>
    <w:r w:rsidRPr="007E4BE5">
      <w:rPr>
        <w:b/>
        <w:sz w:val="18"/>
      </w:rPr>
      <w:fldChar w:fldCharType="begin"/>
    </w:r>
    <w:r w:rsidRPr="007E4BE5">
      <w:rPr>
        <w:b/>
        <w:sz w:val="18"/>
      </w:rPr>
      <w:instrText xml:space="preserve"> PAGE  \* MERGEFORMAT </w:instrText>
    </w:r>
    <w:r w:rsidRPr="007E4BE5">
      <w:rPr>
        <w:b/>
        <w:sz w:val="18"/>
      </w:rPr>
      <w:fldChar w:fldCharType="separate"/>
    </w:r>
    <w:r w:rsidRPr="007E4BE5">
      <w:rPr>
        <w:b/>
        <w:noProof/>
        <w:sz w:val="18"/>
      </w:rPr>
      <w:t>3</w:t>
    </w:r>
    <w:r w:rsidRPr="007E4B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2638" w14:textId="77777777" w:rsidR="00ED44FC" w:rsidRPr="007E4BE5" w:rsidRDefault="00ED44FC" w:rsidP="007E4BE5">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274377D7" wp14:editId="625949C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16413  (</w:t>
    </w:r>
    <w:proofErr w:type="gramEnd"/>
    <w:r>
      <w:rPr>
        <w:sz w:val="20"/>
      </w:rPr>
      <w:t>F)    221019    231019</w:t>
    </w:r>
    <w:r>
      <w:rPr>
        <w:sz w:val="20"/>
      </w:rPr>
      <w:br/>
    </w:r>
    <w:r w:rsidRPr="007E4BE5">
      <w:rPr>
        <w:rFonts w:ascii="C39T30Lfz" w:hAnsi="C39T30Lfz"/>
        <w:sz w:val="56"/>
      </w:rPr>
      <w:t></w:t>
    </w:r>
    <w:r w:rsidRPr="007E4BE5">
      <w:rPr>
        <w:rFonts w:ascii="C39T30Lfz" w:hAnsi="C39T30Lfz"/>
        <w:sz w:val="56"/>
      </w:rPr>
      <w:t></w:t>
    </w:r>
    <w:r w:rsidRPr="007E4BE5">
      <w:rPr>
        <w:rFonts w:ascii="C39T30Lfz" w:hAnsi="C39T30Lfz"/>
        <w:sz w:val="56"/>
      </w:rPr>
      <w:t></w:t>
    </w:r>
    <w:r w:rsidRPr="007E4BE5">
      <w:rPr>
        <w:rFonts w:ascii="C39T30Lfz" w:hAnsi="C39T30Lfz"/>
        <w:sz w:val="56"/>
      </w:rPr>
      <w:t></w:t>
    </w:r>
    <w:r w:rsidRPr="007E4BE5">
      <w:rPr>
        <w:rFonts w:ascii="C39T30Lfz" w:hAnsi="C39T30Lfz"/>
        <w:sz w:val="56"/>
      </w:rPr>
      <w:t></w:t>
    </w:r>
    <w:r w:rsidRPr="007E4BE5">
      <w:rPr>
        <w:rFonts w:ascii="C39T30Lfz" w:hAnsi="C39T30Lfz"/>
        <w:sz w:val="56"/>
      </w:rPr>
      <w:t></w:t>
    </w:r>
    <w:r w:rsidRPr="007E4BE5">
      <w:rPr>
        <w:rFonts w:ascii="C39T30Lfz" w:hAnsi="C39T30Lfz"/>
        <w:sz w:val="56"/>
      </w:rPr>
      <w:t></w:t>
    </w:r>
    <w:r w:rsidRPr="007E4BE5">
      <w:rPr>
        <w:rFonts w:ascii="C39T30Lfz" w:hAnsi="C39T30Lfz"/>
        <w:sz w:val="56"/>
      </w:rPr>
      <w:t></w:t>
    </w:r>
    <w:r w:rsidRPr="007E4BE5">
      <w:rPr>
        <w:rFonts w:ascii="C39T30Lfz" w:hAnsi="C39T30Lfz"/>
        <w:sz w:val="56"/>
      </w:rPr>
      <w:t></w:t>
    </w:r>
    <w:r>
      <w:rPr>
        <w:noProof/>
        <w:sz w:val="20"/>
      </w:rPr>
      <w:drawing>
        <wp:anchor distT="0" distB="0" distL="114300" distR="114300" simplePos="0" relativeHeight="251658240" behindDoc="0" locked="0" layoutInCell="1" allowOverlap="1" wp14:anchorId="02ADBADA" wp14:editId="5DE5EF7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9/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9/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6D657" w14:textId="77777777" w:rsidR="00ED44FC" w:rsidRPr="00AC3823" w:rsidRDefault="00ED44FC" w:rsidP="00AC3823">
      <w:pPr>
        <w:pStyle w:val="Footer"/>
        <w:tabs>
          <w:tab w:val="right" w:pos="2155"/>
        </w:tabs>
        <w:spacing w:after="80" w:line="240" w:lineRule="atLeast"/>
        <w:ind w:left="680"/>
        <w:rPr>
          <w:u w:val="single"/>
        </w:rPr>
      </w:pPr>
      <w:r>
        <w:rPr>
          <w:u w:val="single"/>
        </w:rPr>
        <w:tab/>
      </w:r>
    </w:p>
  </w:footnote>
  <w:footnote w:type="continuationSeparator" w:id="0">
    <w:p w14:paraId="5CF2A764" w14:textId="77777777" w:rsidR="00ED44FC" w:rsidRPr="00AC3823" w:rsidRDefault="00ED44FC" w:rsidP="00AC3823">
      <w:pPr>
        <w:pStyle w:val="Footer"/>
        <w:tabs>
          <w:tab w:val="right" w:pos="2155"/>
        </w:tabs>
        <w:spacing w:after="80" w:line="240" w:lineRule="atLeast"/>
        <w:ind w:left="680"/>
        <w:rPr>
          <w:u w:val="single"/>
        </w:rPr>
      </w:pPr>
      <w:r>
        <w:rPr>
          <w:u w:val="single"/>
        </w:rPr>
        <w:tab/>
      </w:r>
    </w:p>
  </w:footnote>
  <w:footnote w:type="continuationNotice" w:id="1">
    <w:p w14:paraId="5092EB79" w14:textId="77777777" w:rsidR="00ED44FC" w:rsidRPr="00AC3823" w:rsidRDefault="00ED44FC">
      <w:pPr>
        <w:spacing w:line="240" w:lineRule="auto"/>
        <w:rPr>
          <w:sz w:val="2"/>
          <w:szCs w:val="2"/>
        </w:rPr>
      </w:pPr>
    </w:p>
  </w:footnote>
  <w:footnote w:id="2">
    <w:p w14:paraId="5920CA3A" w14:textId="77777777" w:rsidR="00ED44FC" w:rsidRPr="00BC0AD2" w:rsidRDefault="00ED44FC">
      <w:pPr>
        <w:pStyle w:val="FootnoteText"/>
      </w:pPr>
      <w:r>
        <w:rPr>
          <w:rStyle w:val="FootnoteReference"/>
        </w:rPr>
        <w:tab/>
      </w:r>
      <w:r w:rsidRPr="00BC0AD2">
        <w:rPr>
          <w:rStyle w:val="FootnoteReference"/>
          <w:sz w:val="20"/>
          <w:vertAlign w:val="baseline"/>
        </w:rPr>
        <w:t>*</w:t>
      </w:r>
      <w:r>
        <w:rPr>
          <w:rStyle w:val="FootnoteReference"/>
          <w:sz w:val="20"/>
          <w:vertAlign w:val="baseline"/>
        </w:rPr>
        <w:tab/>
      </w:r>
      <w:r w:rsidRPr="00050577">
        <w:rPr>
          <w:szCs w:val="18"/>
        </w:rPr>
        <w:t>Conformément au programme de travail du Sous-Comité pour la période 2019</w:t>
      </w:r>
      <w:r w:rsidRPr="00050577">
        <w:rPr>
          <w:szCs w:val="18"/>
        </w:rPr>
        <w:noBreakHyphen/>
        <w:t>2020, approuvé par le</w:t>
      </w:r>
      <w:r w:rsidR="00050577">
        <w:rPr>
          <w:szCs w:val="18"/>
        </w:rPr>
        <w:t> </w:t>
      </w:r>
      <w:r w:rsidRPr="00050577">
        <w:rPr>
          <w:szCs w:val="18"/>
        </w:rPr>
        <w:t>Comité à sa neuvième session (voir ST/SG/AC.10/C.3/108, par. 141, et ST/SG/AC.10/46, par. 14).</w:t>
      </w:r>
    </w:p>
  </w:footnote>
  <w:footnote w:id="3">
    <w:p w14:paraId="59FAF8AC" w14:textId="77777777" w:rsidR="00ED44FC" w:rsidRDefault="00ED44FC">
      <w:pPr>
        <w:pStyle w:val="FootnoteText"/>
      </w:pPr>
      <w:r>
        <w:tab/>
      </w:r>
      <w:r>
        <w:rPr>
          <w:rStyle w:val="FootnoteReference"/>
        </w:rPr>
        <w:footnoteRef/>
      </w:r>
      <w:r>
        <w:tab/>
      </w:r>
      <w:hyperlink r:id="rId1" w:history="1">
        <w:r w:rsidRPr="00272A04">
          <w:rPr>
            <w:rStyle w:val="Hyperlink"/>
          </w:rPr>
          <w:t>https://monographs.iarc.fr/iarc-monographs-preamble-preamble-to-the-iarc-monographs/</w:t>
        </w:r>
      </w:hyperlink>
      <w:r w:rsidRPr="00272A0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8738" w14:textId="6722F305" w:rsidR="00ED44FC" w:rsidRPr="007E4BE5" w:rsidRDefault="007C6E6A">
    <w:pPr>
      <w:pStyle w:val="Header"/>
    </w:pPr>
    <w:r>
      <w:fldChar w:fldCharType="begin"/>
    </w:r>
    <w:r>
      <w:instrText xml:space="preserve"> TITLE  \* MERGEFORMAT </w:instrText>
    </w:r>
    <w:r>
      <w:fldChar w:fldCharType="separate"/>
    </w:r>
    <w:r>
      <w:t>ST/SG/AC.10/C.4/2019/14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63A5" w14:textId="09E3705A" w:rsidR="00ED44FC" w:rsidRPr="007E4BE5" w:rsidRDefault="007C6E6A" w:rsidP="007E4BE5">
    <w:pPr>
      <w:pStyle w:val="Header"/>
      <w:jc w:val="right"/>
    </w:pPr>
    <w:r>
      <w:fldChar w:fldCharType="begin"/>
    </w:r>
    <w:r>
      <w:instrText xml:space="preserve"> TITLE  \* MERGEFORMAT </w:instrText>
    </w:r>
    <w:r>
      <w:fldChar w:fldCharType="separate"/>
    </w:r>
    <w:r>
      <w:t>ST/SG/AC.10/C.4/2019/14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6C"/>
    <w:rsid w:val="00017F94"/>
    <w:rsid w:val="00023842"/>
    <w:rsid w:val="000305D3"/>
    <w:rsid w:val="000334F9"/>
    <w:rsid w:val="00050577"/>
    <w:rsid w:val="0007796D"/>
    <w:rsid w:val="000B125E"/>
    <w:rsid w:val="000B458C"/>
    <w:rsid w:val="000B7790"/>
    <w:rsid w:val="00111F2F"/>
    <w:rsid w:val="00122563"/>
    <w:rsid w:val="00132EA9"/>
    <w:rsid w:val="0014365E"/>
    <w:rsid w:val="00176178"/>
    <w:rsid w:val="001D5728"/>
    <w:rsid w:val="001F525A"/>
    <w:rsid w:val="00223272"/>
    <w:rsid w:val="0024779E"/>
    <w:rsid w:val="00263F0D"/>
    <w:rsid w:val="00272A04"/>
    <w:rsid w:val="00283190"/>
    <w:rsid w:val="002832AC"/>
    <w:rsid w:val="002909CE"/>
    <w:rsid w:val="002C7AF8"/>
    <w:rsid w:val="002D7C93"/>
    <w:rsid w:val="0039774E"/>
    <w:rsid w:val="004363EA"/>
    <w:rsid w:val="00441C3B"/>
    <w:rsid w:val="00446FE5"/>
    <w:rsid w:val="00452396"/>
    <w:rsid w:val="004E468C"/>
    <w:rsid w:val="005505B7"/>
    <w:rsid w:val="00551F12"/>
    <w:rsid w:val="00573BE5"/>
    <w:rsid w:val="00584DC4"/>
    <w:rsid w:val="00586ED3"/>
    <w:rsid w:val="00586F8C"/>
    <w:rsid w:val="00596AA9"/>
    <w:rsid w:val="0068456F"/>
    <w:rsid w:val="0071601D"/>
    <w:rsid w:val="00743423"/>
    <w:rsid w:val="007471FA"/>
    <w:rsid w:val="007A62E6"/>
    <w:rsid w:val="007C6E6A"/>
    <w:rsid w:val="007E4BE5"/>
    <w:rsid w:val="00803E6C"/>
    <w:rsid w:val="0080684C"/>
    <w:rsid w:val="00871C75"/>
    <w:rsid w:val="008776DC"/>
    <w:rsid w:val="008B40CD"/>
    <w:rsid w:val="008D05AF"/>
    <w:rsid w:val="00970002"/>
    <w:rsid w:val="009705C8"/>
    <w:rsid w:val="00993EB8"/>
    <w:rsid w:val="009C1CF4"/>
    <w:rsid w:val="00A30353"/>
    <w:rsid w:val="00AC3823"/>
    <w:rsid w:val="00AD63A5"/>
    <w:rsid w:val="00AE323C"/>
    <w:rsid w:val="00B00181"/>
    <w:rsid w:val="00B00B0D"/>
    <w:rsid w:val="00B765F7"/>
    <w:rsid w:val="00BA0CA9"/>
    <w:rsid w:val="00BC0AD2"/>
    <w:rsid w:val="00C024FC"/>
    <w:rsid w:val="00C02897"/>
    <w:rsid w:val="00D110EA"/>
    <w:rsid w:val="00D3439C"/>
    <w:rsid w:val="00DB1831"/>
    <w:rsid w:val="00DD3BFD"/>
    <w:rsid w:val="00DF6678"/>
    <w:rsid w:val="00E128FB"/>
    <w:rsid w:val="00E76CE1"/>
    <w:rsid w:val="00ED44FC"/>
    <w:rsid w:val="00EF1A12"/>
    <w:rsid w:val="00EF2E22"/>
    <w:rsid w:val="00F01738"/>
    <w:rsid w:val="00F23D74"/>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C9168"/>
  <w15:docId w15:val="{67403721-8BF6-4C8E-B8B9-A7CEA30F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eref">
    <w:name w:val="eref"/>
    <w:basedOn w:val="DefaultParagraphFont"/>
    <w:rsid w:val="007E4BE5"/>
  </w:style>
  <w:style w:type="character" w:styleId="UnresolvedMention">
    <w:name w:val="Unresolved Mention"/>
    <w:basedOn w:val="DefaultParagraphFont"/>
    <w:uiPriority w:val="99"/>
    <w:semiHidden/>
    <w:unhideWhenUsed/>
    <w:rsid w:val="00272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env/ehs/testing/oecdguidelinesforthetestingofchemicals.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monographs.iarc.fr/iarc-monographs-preamble-preamble-to-the-iarc-monogra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2830</Words>
  <Characters>16132</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ST/SG/AC.10/C.4/2019/14</vt:lpstr>
      <vt:lpstr>ST/SG/AC.10/C.4/2019/14</vt:lpstr>
    </vt:vector>
  </TitlesOfParts>
  <Company>DCM</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ST/SG/AC.10/C.4/2019/14</dc:title>
  <dc:subject/>
  <dc:creator>Christine CHAUTAGNAT</dc:creator>
  <cp:keywords/>
  <cp:lastModifiedBy>Laurence Berthet</cp:lastModifiedBy>
  <cp:revision>3</cp:revision>
  <cp:lastPrinted>2019-10-23T07:56:00Z</cp:lastPrinted>
  <dcterms:created xsi:type="dcterms:W3CDTF">2019-10-23T07:56:00Z</dcterms:created>
  <dcterms:modified xsi:type="dcterms:W3CDTF">2019-10-23T07:56:00Z</dcterms:modified>
</cp:coreProperties>
</file>