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06A7B33" w14:textId="77777777" w:rsidTr="00F01738">
        <w:trPr>
          <w:trHeight w:hRule="exact" w:val="851"/>
        </w:trPr>
        <w:tc>
          <w:tcPr>
            <w:tcW w:w="1276" w:type="dxa"/>
            <w:tcBorders>
              <w:bottom w:val="single" w:sz="4" w:space="0" w:color="auto"/>
            </w:tcBorders>
          </w:tcPr>
          <w:p w14:paraId="66CD73F5" w14:textId="77777777" w:rsidR="00132EA9" w:rsidRPr="00DB58B5" w:rsidRDefault="00132EA9" w:rsidP="00F87EF9">
            <w:bookmarkStart w:id="0" w:name="_GoBack"/>
            <w:bookmarkEnd w:id="0"/>
          </w:p>
        </w:tc>
        <w:tc>
          <w:tcPr>
            <w:tcW w:w="2268" w:type="dxa"/>
            <w:tcBorders>
              <w:bottom w:val="single" w:sz="4" w:space="0" w:color="auto"/>
            </w:tcBorders>
            <w:vAlign w:val="bottom"/>
          </w:tcPr>
          <w:p w14:paraId="72E674E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2018F7" w14:textId="77777777" w:rsidR="00132EA9" w:rsidRPr="00DB58B5" w:rsidRDefault="00F87EF9" w:rsidP="00F87EF9">
            <w:pPr>
              <w:jc w:val="right"/>
            </w:pPr>
            <w:r w:rsidRPr="00F87EF9">
              <w:rPr>
                <w:sz w:val="40"/>
              </w:rPr>
              <w:t>ST</w:t>
            </w:r>
            <w:r>
              <w:t>/SG/AC.10/C.3/2019/70</w:t>
            </w:r>
          </w:p>
        </w:tc>
      </w:tr>
      <w:tr w:rsidR="00132EA9" w:rsidRPr="00DB58B5" w14:paraId="35B86EA8" w14:textId="77777777" w:rsidTr="00F01738">
        <w:trPr>
          <w:trHeight w:hRule="exact" w:val="2835"/>
        </w:trPr>
        <w:tc>
          <w:tcPr>
            <w:tcW w:w="1276" w:type="dxa"/>
            <w:tcBorders>
              <w:top w:val="single" w:sz="4" w:space="0" w:color="auto"/>
              <w:bottom w:val="single" w:sz="12" w:space="0" w:color="auto"/>
            </w:tcBorders>
          </w:tcPr>
          <w:p w14:paraId="1005013D" w14:textId="77777777" w:rsidR="00132EA9" w:rsidRPr="00DB58B5" w:rsidRDefault="00132EA9" w:rsidP="00F01738">
            <w:pPr>
              <w:spacing w:before="120"/>
              <w:jc w:val="center"/>
            </w:pPr>
            <w:r>
              <w:rPr>
                <w:noProof/>
                <w:lang w:eastAsia="fr-CH"/>
              </w:rPr>
              <w:drawing>
                <wp:inline distT="0" distB="0" distL="0" distR="0" wp14:anchorId="26391E5E" wp14:editId="784EC4C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0D2CF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383FB95" w14:textId="77777777" w:rsidR="00132EA9" w:rsidRDefault="00F87EF9" w:rsidP="00F01738">
            <w:pPr>
              <w:spacing w:before="240"/>
            </w:pPr>
            <w:proofErr w:type="spellStart"/>
            <w:r>
              <w:t>Distr</w:t>
            </w:r>
            <w:proofErr w:type="spellEnd"/>
            <w:r>
              <w:t xml:space="preserve">. </w:t>
            </w:r>
            <w:proofErr w:type="gramStart"/>
            <w:r>
              <w:t>générale</w:t>
            </w:r>
            <w:proofErr w:type="gramEnd"/>
          </w:p>
          <w:p w14:paraId="69574327" w14:textId="77777777" w:rsidR="00F87EF9" w:rsidRDefault="00F87EF9" w:rsidP="00F87EF9">
            <w:pPr>
              <w:spacing w:line="240" w:lineRule="exact"/>
            </w:pPr>
            <w:r>
              <w:t>13 septembre 2019</w:t>
            </w:r>
          </w:p>
          <w:p w14:paraId="53B82451" w14:textId="77777777" w:rsidR="00F87EF9" w:rsidRDefault="00F87EF9" w:rsidP="00F87EF9">
            <w:pPr>
              <w:spacing w:line="240" w:lineRule="exact"/>
            </w:pPr>
            <w:r>
              <w:t>Français</w:t>
            </w:r>
          </w:p>
          <w:p w14:paraId="5A562438" w14:textId="77777777" w:rsidR="00F87EF9" w:rsidRPr="00DB58B5" w:rsidRDefault="00F87EF9" w:rsidP="00F87EF9">
            <w:pPr>
              <w:spacing w:line="240" w:lineRule="exact"/>
            </w:pPr>
            <w:r>
              <w:t>Original</w:t>
            </w:r>
            <w:r w:rsidR="00D82800">
              <w:t> :</w:t>
            </w:r>
            <w:r>
              <w:t xml:space="preserve"> anglais</w:t>
            </w:r>
          </w:p>
        </w:tc>
      </w:tr>
    </w:tbl>
    <w:p w14:paraId="7F79F599" w14:textId="77777777" w:rsidR="00F87EF9" w:rsidRPr="00CA0680" w:rsidRDefault="00F87EF9"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4CFF53B" w14:textId="77777777" w:rsidR="00F87EF9" w:rsidRPr="00CA0680" w:rsidRDefault="00F87EF9" w:rsidP="000305D3">
      <w:pPr>
        <w:spacing w:before="120"/>
        <w:rPr>
          <w:b/>
        </w:rPr>
      </w:pPr>
      <w:r w:rsidRPr="00CA0680">
        <w:rPr>
          <w:b/>
        </w:rPr>
        <w:t>Sous</w:t>
      </w:r>
      <w:r>
        <w:rPr>
          <w:b/>
        </w:rPr>
        <w:t>-</w:t>
      </w:r>
      <w:r w:rsidRPr="00CA0680">
        <w:rPr>
          <w:b/>
        </w:rPr>
        <w:t>Comité d’experts du transport des marchandises dangereuses</w:t>
      </w:r>
    </w:p>
    <w:p w14:paraId="38FF9BA5" w14:textId="77777777" w:rsidR="000632EA" w:rsidRPr="000909DC" w:rsidRDefault="000632EA" w:rsidP="000632EA">
      <w:pPr>
        <w:spacing w:before="120"/>
        <w:rPr>
          <w:b/>
          <w:lang w:val="fr-FR"/>
        </w:rPr>
      </w:pPr>
      <w:r>
        <w:rPr>
          <w:b/>
          <w:bCs/>
          <w:lang w:val="fr-FR"/>
        </w:rPr>
        <w:t>Cinquante-sixième session</w:t>
      </w:r>
    </w:p>
    <w:p w14:paraId="4102E028" w14:textId="77777777" w:rsidR="000632EA" w:rsidRPr="000909DC" w:rsidRDefault="000632EA" w:rsidP="000632EA">
      <w:pPr>
        <w:rPr>
          <w:lang w:val="fr-FR"/>
        </w:rPr>
      </w:pPr>
      <w:r>
        <w:rPr>
          <w:lang w:val="fr-FR"/>
        </w:rPr>
        <w:t>Genève, 2-11 décembre 2019</w:t>
      </w:r>
    </w:p>
    <w:p w14:paraId="265E48DB" w14:textId="77777777" w:rsidR="000632EA" w:rsidRPr="000909DC" w:rsidRDefault="000632EA" w:rsidP="000632EA">
      <w:pPr>
        <w:rPr>
          <w:lang w:val="fr-FR"/>
        </w:rPr>
      </w:pPr>
      <w:r>
        <w:rPr>
          <w:lang w:val="fr-FR"/>
        </w:rPr>
        <w:t>Point 8 de l’ordre du jour provisoire</w:t>
      </w:r>
    </w:p>
    <w:p w14:paraId="0A1DC9BC" w14:textId="77777777" w:rsidR="000632EA" w:rsidRPr="000909DC" w:rsidRDefault="000632EA" w:rsidP="000632EA">
      <w:pPr>
        <w:rPr>
          <w:b/>
          <w:bCs/>
          <w:lang w:val="fr-FR"/>
        </w:rPr>
      </w:pPr>
      <w:r>
        <w:rPr>
          <w:b/>
          <w:bCs/>
          <w:lang w:val="fr-FR"/>
        </w:rPr>
        <w:t>Coopération avec l’Agence internationale de l’énergie atomique</w:t>
      </w:r>
    </w:p>
    <w:p w14:paraId="33D0F269" w14:textId="77777777" w:rsidR="000632EA" w:rsidRPr="000909DC" w:rsidRDefault="000632EA" w:rsidP="000632EA">
      <w:pPr>
        <w:pStyle w:val="HChG"/>
        <w:rPr>
          <w:lang w:val="fr-FR"/>
        </w:rPr>
      </w:pPr>
      <w:r>
        <w:rPr>
          <w:lang w:val="fr-FR"/>
        </w:rPr>
        <w:tab/>
      </w:r>
      <w:r>
        <w:rPr>
          <w:lang w:val="fr-FR"/>
        </w:rPr>
        <w:tab/>
        <w:t>Harmonisation avec le Règlement de transport des matières radioactives de l’Agence internationale de l’énergie atomique</w:t>
      </w:r>
    </w:p>
    <w:p w14:paraId="71F07A10" w14:textId="77777777" w:rsidR="000632EA" w:rsidRPr="000909DC" w:rsidRDefault="000632EA" w:rsidP="000632EA">
      <w:pPr>
        <w:pStyle w:val="H1G"/>
        <w:rPr>
          <w:lang w:val="fr-FR"/>
        </w:rPr>
      </w:pPr>
      <w:r>
        <w:rPr>
          <w:lang w:val="fr-FR"/>
        </w:rPr>
        <w:tab/>
      </w:r>
      <w:r>
        <w:rPr>
          <w:lang w:val="fr-FR"/>
        </w:rPr>
        <w:tab/>
        <w:t>Note du secrétariat</w:t>
      </w:r>
      <w:r w:rsidRPr="000632EA">
        <w:rPr>
          <w:rStyle w:val="FootnoteReference"/>
          <w:b w:val="0"/>
          <w:bCs/>
          <w:sz w:val="20"/>
          <w:vertAlign w:val="baseline"/>
          <w:lang w:val="fr-FR" w:eastAsia="en-GB" w:bidi="en-GB"/>
        </w:rPr>
        <w:footnoteReference w:customMarkFollows="1" w:id="2"/>
        <w:t>*</w:t>
      </w:r>
    </w:p>
    <w:p w14:paraId="3187A270" w14:textId="77777777" w:rsidR="000632EA" w:rsidRPr="000909DC" w:rsidRDefault="000632EA" w:rsidP="000632EA">
      <w:pPr>
        <w:pStyle w:val="HChG"/>
        <w:rPr>
          <w:lang w:val="fr-FR"/>
        </w:rPr>
      </w:pPr>
      <w:r>
        <w:rPr>
          <w:lang w:val="fr-FR"/>
        </w:rPr>
        <w:tab/>
      </w:r>
      <w:r>
        <w:rPr>
          <w:lang w:val="fr-FR"/>
        </w:rPr>
        <w:tab/>
        <w:t>Introduction</w:t>
      </w:r>
    </w:p>
    <w:p w14:paraId="3B6F6872" w14:textId="77777777" w:rsidR="000632EA" w:rsidRPr="000909DC" w:rsidRDefault="000632EA" w:rsidP="000632EA">
      <w:pPr>
        <w:pStyle w:val="SingleTxtG"/>
        <w:rPr>
          <w:lang w:val="fr-FR"/>
        </w:rPr>
      </w:pPr>
      <w:r>
        <w:rPr>
          <w:lang w:val="fr-FR"/>
        </w:rPr>
        <w:t>1.</w:t>
      </w:r>
      <w:r>
        <w:rPr>
          <w:lang w:val="fr-FR"/>
        </w:rPr>
        <w:tab/>
        <w:t>Lors de la préparation de la vingt et unième édition révisée des Recommandations relatives au transport des marchandises dangereuses, Règlement type, les problèmes décrits dans le présent document ont été relevés dans le texte mis en concordance avec l’édition 2018 du Règlement de transport des matières radioactives de l’AIEA (SSR-6, Rev.1).</w:t>
      </w:r>
    </w:p>
    <w:p w14:paraId="3C06BB60" w14:textId="77777777" w:rsidR="000632EA" w:rsidRPr="000909DC" w:rsidRDefault="000632EA" w:rsidP="000632EA">
      <w:pPr>
        <w:pStyle w:val="SingleTxtG"/>
        <w:rPr>
          <w:lang w:val="fr-FR"/>
        </w:rPr>
      </w:pPr>
      <w:r>
        <w:rPr>
          <w:lang w:val="fr-FR"/>
        </w:rPr>
        <w:t>2.</w:t>
      </w:r>
      <w:r>
        <w:rPr>
          <w:lang w:val="fr-FR"/>
        </w:rPr>
        <w:tab/>
        <w:t>Le Sous-Comité est invité à adopter les propositions de modification ci-après. Il souhaitera peut-être également recommander aux organisations modales d’incorporer ces modifications dans leurs instruments juridiques respectifs.</w:t>
      </w:r>
    </w:p>
    <w:p w14:paraId="694F232C" w14:textId="77777777" w:rsidR="000632EA" w:rsidRPr="000909DC" w:rsidRDefault="000632EA" w:rsidP="00D82800">
      <w:pPr>
        <w:pStyle w:val="HChG"/>
        <w:rPr>
          <w:lang w:val="fr-FR"/>
        </w:rPr>
      </w:pPr>
      <w:r>
        <w:rPr>
          <w:lang w:val="fr-FR"/>
        </w:rPr>
        <w:tab/>
      </w:r>
      <w:r>
        <w:rPr>
          <w:lang w:val="fr-FR"/>
        </w:rPr>
        <w:tab/>
        <w:t>Exemples de marques d’identification au 6.4.23.12</w:t>
      </w:r>
    </w:p>
    <w:p w14:paraId="1C052BE6" w14:textId="77777777" w:rsidR="000632EA" w:rsidRPr="000909DC" w:rsidRDefault="000632EA" w:rsidP="00D82800">
      <w:pPr>
        <w:pStyle w:val="SingleTxtG"/>
        <w:rPr>
          <w:lang w:val="fr-FR"/>
        </w:rPr>
      </w:pPr>
      <w:r>
        <w:rPr>
          <w:lang w:val="fr-FR"/>
        </w:rPr>
        <w:t>3.</w:t>
      </w:r>
      <w:r>
        <w:rPr>
          <w:lang w:val="fr-FR"/>
        </w:rPr>
        <w:tab/>
        <w:t xml:space="preserve">Dans le Règlement de l’AIEA et, de ce fait, aux 6.4.23.11 et 6.4.23.12 du Règlement type, la référence au symbole « -96 » dans l’indicatif de code relatif aux matières radioactives faiblement dispersables a été supprimée. En conséquence, les exemples de marques d’identification donnés au 6.4.23.12 auraient dû être mis à jour de sorte que les occurrences de ce symbole soient supprimées. Ces exemples sont corrects dans le paragraphe 833 du Règlement de l’AIEA et devraient être rectifiés à l’identique dans le Règlement type. </w:t>
      </w:r>
    </w:p>
    <w:p w14:paraId="0D71D306" w14:textId="77777777" w:rsidR="000632EA" w:rsidRPr="000909DC" w:rsidRDefault="000632EA" w:rsidP="00782697">
      <w:pPr>
        <w:pStyle w:val="H1G"/>
        <w:rPr>
          <w:lang w:val="fr-FR"/>
        </w:rPr>
      </w:pPr>
      <w:r>
        <w:rPr>
          <w:lang w:val="fr-FR"/>
        </w:rPr>
        <w:lastRenderedPageBreak/>
        <w:tab/>
      </w:r>
      <w:r>
        <w:rPr>
          <w:lang w:val="fr-FR"/>
        </w:rPr>
        <w:tab/>
        <w:t>Proposition 1</w:t>
      </w:r>
    </w:p>
    <w:p w14:paraId="62B9570F" w14:textId="77777777" w:rsidR="000632EA" w:rsidRPr="000909DC" w:rsidRDefault="000632EA" w:rsidP="00782697">
      <w:pPr>
        <w:pStyle w:val="SingleTxtG"/>
        <w:keepNext/>
        <w:rPr>
          <w:lang w:val="fr-FR"/>
        </w:rPr>
      </w:pPr>
      <w:r>
        <w:rPr>
          <w:lang w:val="fr-FR"/>
        </w:rPr>
        <w:t>4.</w:t>
      </w:r>
      <w:r>
        <w:rPr>
          <w:lang w:val="fr-FR"/>
        </w:rPr>
        <w:tab/>
        <w:t>Modifier le 6.4.23.12 comme suit</w:t>
      </w:r>
      <w:r w:rsidR="00D82800">
        <w:rPr>
          <w:lang w:val="fr-FR"/>
        </w:rPr>
        <w:t> :</w:t>
      </w:r>
    </w:p>
    <w:p w14:paraId="7B4DB808" w14:textId="77777777" w:rsidR="000632EA" w:rsidRPr="000909DC" w:rsidRDefault="000632EA" w:rsidP="006879AE">
      <w:pPr>
        <w:pStyle w:val="SingleTxtG"/>
        <w:ind w:left="1701"/>
        <w:rPr>
          <w:lang w:val="fr-FR"/>
        </w:rPr>
      </w:pPr>
      <w:r>
        <w:rPr>
          <w:lang w:val="fr-FR"/>
        </w:rPr>
        <w:t>6.4.23.12 a)</w:t>
      </w:r>
      <w:r>
        <w:rPr>
          <w:lang w:val="fr-FR"/>
        </w:rPr>
        <w:tab/>
        <w:t xml:space="preserve">Remplacer « A/132/B(M)F-96 » par « A/132/B(M)F ». Remplacer « A/132/B(M)F-96T » par « A/132/B(M)FT ». Remplacer « A/139/IF-96 » par « A/139/IF ». Remplacer « A/145/H(U)-96 » par « A/145/H(U) ». </w:t>
      </w:r>
    </w:p>
    <w:p w14:paraId="6F9A0616" w14:textId="77777777" w:rsidR="000632EA" w:rsidRPr="000909DC" w:rsidRDefault="000632EA" w:rsidP="006879AE">
      <w:pPr>
        <w:pStyle w:val="SingleTxtG"/>
        <w:ind w:left="1701"/>
        <w:rPr>
          <w:lang w:val="fr-FR"/>
        </w:rPr>
      </w:pPr>
      <w:r>
        <w:rPr>
          <w:lang w:val="fr-FR"/>
        </w:rPr>
        <w:t>6.4.23.12 b)</w:t>
      </w:r>
      <w:r>
        <w:rPr>
          <w:lang w:val="fr-FR"/>
        </w:rPr>
        <w:tab/>
        <w:t>Remplacer « A/132/B(M)F-96 » par « A/132/B(M)F » et « CH/28/B(M)F-96 » par « CH/28/B(M)F ».</w:t>
      </w:r>
    </w:p>
    <w:p w14:paraId="02E86B83" w14:textId="77777777" w:rsidR="000632EA" w:rsidRPr="000909DC" w:rsidRDefault="000632EA" w:rsidP="006879AE">
      <w:pPr>
        <w:pStyle w:val="SingleTxtG"/>
        <w:ind w:left="1701"/>
        <w:rPr>
          <w:lang w:val="fr-FR"/>
        </w:rPr>
      </w:pPr>
      <w:r>
        <w:rPr>
          <w:lang w:val="fr-FR"/>
        </w:rPr>
        <w:t>6.4.23.12 c)</w:t>
      </w:r>
      <w:r>
        <w:rPr>
          <w:lang w:val="fr-FR"/>
        </w:rPr>
        <w:tab/>
        <w:t>Remplacer « A/132/B(M)F-96 (Rev.2) » par « A/132/B(M)F (Rev.2) » et « A/132/B(M)F-96(Rev.0) » par « A/132/B(M)F (Rev.0) ».</w:t>
      </w:r>
    </w:p>
    <w:p w14:paraId="29713B43" w14:textId="77777777" w:rsidR="000632EA" w:rsidRPr="000909DC" w:rsidRDefault="000632EA" w:rsidP="006879AE">
      <w:pPr>
        <w:pStyle w:val="SingleTxtG"/>
        <w:ind w:left="1701"/>
        <w:rPr>
          <w:lang w:val="fr-FR"/>
        </w:rPr>
      </w:pPr>
      <w:r>
        <w:rPr>
          <w:lang w:val="fr-FR"/>
        </w:rPr>
        <w:t>6.4.23.12 d)</w:t>
      </w:r>
      <w:r>
        <w:rPr>
          <w:lang w:val="fr-FR"/>
        </w:rPr>
        <w:tab/>
        <w:t>Remplacer « A/132/B(M)F-96(SP503) » par « A/132/B(M)F (SP503) ».</w:t>
      </w:r>
    </w:p>
    <w:p w14:paraId="77FB356E" w14:textId="77777777" w:rsidR="000632EA" w:rsidRPr="000909DC" w:rsidRDefault="000632EA" w:rsidP="006879AE">
      <w:pPr>
        <w:pStyle w:val="SingleTxtG"/>
        <w:rPr>
          <w:lang w:val="fr-FR"/>
        </w:rPr>
      </w:pPr>
      <w:r>
        <w:rPr>
          <w:lang w:val="fr-FR"/>
        </w:rPr>
        <w:t>5.</w:t>
      </w:r>
      <w:r>
        <w:rPr>
          <w:lang w:val="fr-FR"/>
        </w:rPr>
        <w:tab/>
        <w:t xml:space="preserve">La description des marques d’identification reste inchangée. </w:t>
      </w:r>
    </w:p>
    <w:p w14:paraId="7B3DC7BA" w14:textId="77777777" w:rsidR="000632EA" w:rsidRPr="000909DC" w:rsidRDefault="000632EA" w:rsidP="007B5E31">
      <w:pPr>
        <w:pStyle w:val="HChG"/>
        <w:tabs>
          <w:tab w:val="left" w:pos="4256"/>
        </w:tabs>
        <w:spacing w:before="300"/>
        <w:rPr>
          <w:lang w:val="fr-FR"/>
        </w:rPr>
      </w:pPr>
      <w:r>
        <w:rPr>
          <w:lang w:val="fr-FR"/>
        </w:rPr>
        <w:tab/>
      </w:r>
      <w:r>
        <w:rPr>
          <w:lang w:val="fr-FR"/>
        </w:rPr>
        <w:tab/>
        <w:t>Clarification de l’énoncé du 5.1.5.1.3 et renvoi</w:t>
      </w:r>
    </w:p>
    <w:p w14:paraId="0C2413B3" w14:textId="77777777" w:rsidR="000632EA" w:rsidRPr="000909DC" w:rsidRDefault="000632EA" w:rsidP="006879AE">
      <w:pPr>
        <w:pStyle w:val="SingleTxtG"/>
        <w:rPr>
          <w:lang w:val="fr-FR"/>
        </w:rPr>
      </w:pPr>
      <w:r>
        <w:rPr>
          <w:lang w:val="fr-FR"/>
        </w:rPr>
        <w:t>6.</w:t>
      </w:r>
      <w:r>
        <w:rPr>
          <w:lang w:val="fr-FR"/>
        </w:rPr>
        <w:tab/>
        <w:t>Le paragraphe 5.1.5.1.3, qui traite des expéditions par «</w:t>
      </w:r>
      <w:r w:rsidR="006879AE">
        <w:rPr>
          <w:lang w:val="fr-FR"/>
        </w:rPr>
        <w:t> </w:t>
      </w:r>
      <w:r>
        <w:rPr>
          <w:lang w:val="fr-FR"/>
        </w:rPr>
        <w:t>arrangement spécial</w:t>
      </w:r>
      <w:r w:rsidR="006879AE">
        <w:rPr>
          <w:lang w:val="fr-FR"/>
        </w:rPr>
        <w:t> </w:t>
      </w:r>
      <w:r>
        <w:rPr>
          <w:lang w:val="fr-FR"/>
        </w:rPr>
        <w:t>», s’appuie sur la définition de ce terme donnée dans le Règlement de l’AIEA. L’énoncé actuel de ce paragraphe pose des difficultés de traduction dans certaines langues. Il est donc suggéré de le modifier comme suit à des fins de clarification.</w:t>
      </w:r>
    </w:p>
    <w:p w14:paraId="5F146782" w14:textId="77777777" w:rsidR="000632EA" w:rsidRPr="000909DC" w:rsidRDefault="000632EA" w:rsidP="006879AE">
      <w:pPr>
        <w:pStyle w:val="SingleTxtG"/>
        <w:rPr>
          <w:lang w:val="fr-FR"/>
        </w:rPr>
      </w:pPr>
      <w:r>
        <w:rPr>
          <w:lang w:val="fr-FR"/>
        </w:rPr>
        <w:t>7.</w:t>
      </w:r>
      <w:r>
        <w:rPr>
          <w:lang w:val="fr-FR"/>
        </w:rPr>
        <w:tab/>
        <w:t xml:space="preserve">Par ailleurs, le paragraphe 5.1.5.1.3 renvoie au 1.1.2.4, qui a été supprimé dans la quinzième édition révisée du Règlement type et dont le contenu figure désormais au 1.5.4. La numérotation a donc également été corrigée dans la proposition qui suit. </w:t>
      </w:r>
    </w:p>
    <w:p w14:paraId="2CD3C9E2" w14:textId="77777777" w:rsidR="000632EA" w:rsidRPr="000909DC" w:rsidRDefault="000632EA" w:rsidP="007B5E31">
      <w:pPr>
        <w:pStyle w:val="H1G"/>
        <w:tabs>
          <w:tab w:val="left" w:pos="4256"/>
        </w:tabs>
        <w:spacing w:before="300"/>
        <w:rPr>
          <w:lang w:val="fr-FR"/>
        </w:rPr>
      </w:pPr>
      <w:r>
        <w:rPr>
          <w:lang w:val="fr-FR"/>
        </w:rPr>
        <w:tab/>
      </w:r>
      <w:r>
        <w:rPr>
          <w:lang w:val="fr-FR"/>
        </w:rPr>
        <w:tab/>
        <w:t>Proposition 2</w:t>
      </w:r>
    </w:p>
    <w:p w14:paraId="53F4ACE8" w14:textId="77777777" w:rsidR="000632EA" w:rsidRPr="000909DC" w:rsidRDefault="000632EA" w:rsidP="006879AE">
      <w:pPr>
        <w:pStyle w:val="SingleTxtG"/>
        <w:keepNext/>
        <w:rPr>
          <w:lang w:val="fr-FR"/>
        </w:rPr>
      </w:pPr>
      <w:r>
        <w:rPr>
          <w:lang w:val="fr-FR"/>
        </w:rPr>
        <w:t>8.</w:t>
      </w:r>
      <w:r>
        <w:rPr>
          <w:lang w:val="fr-FR"/>
        </w:rPr>
        <w:tab/>
        <w:t>Paragraphe 5.1.5.1.3, lire</w:t>
      </w:r>
      <w:r w:rsidR="00D82800">
        <w:rPr>
          <w:lang w:val="fr-FR"/>
        </w:rPr>
        <w:t> :</w:t>
      </w:r>
    </w:p>
    <w:p w14:paraId="6C9A16E5" w14:textId="77777777" w:rsidR="000632EA" w:rsidRPr="000909DC" w:rsidRDefault="000632EA" w:rsidP="006879AE">
      <w:pPr>
        <w:pStyle w:val="SingleTxtG"/>
        <w:ind w:left="2268" w:hanging="1134"/>
        <w:rPr>
          <w:lang w:val="fr-FR"/>
        </w:rPr>
      </w:pPr>
      <w:r>
        <w:rPr>
          <w:lang w:val="fr-FR"/>
        </w:rPr>
        <w:t>« 5.1.5.1.3</w:t>
      </w:r>
      <w:r>
        <w:rPr>
          <w:lang w:val="fr-FR"/>
        </w:rPr>
        <w:tab/>
        <w:t>Une autorité compétente peut approuver des dispositions en vertu desquelles les envois qui ne satisfont pas à toutes les prescriptions applicables du présent Règlement peuvent être transportés en application d’un arrangement spécial (voir 1.5.4). ».</w:t>
      </w:r>
    </w:p>
    <w:p w14:paraId="6E6D4E7E" w14:textId="77777777" w:rsidR="000632EA" w:rsidRPr="000909DC" w:rsidRDefault="000632EA" w:rsidP="007B5E31">
      <w:pPr>
        <w:pStyle w:val="HChG"/>
        <w:spacing w:before="300"/>
        <w:rPr>
          <w:lang w:val="fr-FR"/>
        </w:rPr>
      </w:pPr>
      <w:r>
        <w:rPr>
          <w:lang w:val="fr-FR"/>
        </w:rPr>
        <w:tab/>
      </w:r>
      <w:r>
        <w:rPr>
          <w:lang w:val="fr-FR"/>
        </w:rPr>
        <w:tab/>
        <w:t>Traduction de «</w:t>
      </w:r>
      <w:r w:rsidR="006879AE">
        <w:rPr>
          <w:lang w:val="fr-FR"/>
        </w:rPr>
        <w:t> </w:t>
      </w:r>
      <w:proofErr w:type="spellStart"/>
      <w:r>
        <w:rPr>
          <w:lang w:val="fr-FR"/>
        </w:rPr>
        <w:t>safety</w:t>
      </w:r>
      <w:proofErr w:type="spellEnd"/>
      <w:r w:rsidR="006879AE">
        <w:rPr>
          <w:lang w:val="fr-FR"/>
        </w:rPr>
        <w:t> </w:t>
      </w:r>
      <w:r>
        <w:rPr>
          <w:lang w:val="fr-FR"/>
        </w:rPr>
        <w:t xml:space="preserve">» dans la version française </w:t>
      </w:r>
      <w:r w:rsidR="006879AE">
        <w:rPr>
          <w:lang w:val="fr-FR"/>
        </w:rPr>
        <w:br/>
      </w:r>
      <w:r>
        <w:rPr>
          <w:lang w:val="fr-FR"/>
        </w:rPr>
        <w:t>du Règlement type</w:t>
      </w:r>
    </w:p>
    <w:p w14:paraId="726928FD" w14:textId="77777777" w:rsidR="000632EA" w:rsidRPr="000909DC" w:rsidRDefault="000632EA" w:rsidP="006879AE">
      <w:pPr>
        <w:pStyle w:val="SingleTxtG"/>
        <w:rPr>
          <w:lang w:val="fr-FR"/>
        </w:rPr>
      </w:pPr>
      <w:r>
        <w:rPr>
          <w:lang w:val="fr-FR"/>
        </w:rPr>
        <w:t>9.</w:t>
      </w:r>
      <w:r>
        <w:rPr>
          <w:lang w:val="fr-FR"/>
        </w:rPr>
        <w:tab/>
        <w:t>Dans la version française du Règlement type, « </w:t>
      </w:r>
      <w:proofErr w:type="spellStart"/>
      <w:r>
        <w:rPr>
          <w:lang w:val="fr-FR"/>
        </w:rPr>
        <w:t>safety</w:t>
      </w:r>
      <w:proofErr w:type="spellEnd"/>
      <w:r>
        <w:rPr>
          <w:lang w:val="fr-FR"/>
        </w:rPr>
        <w:t> » est traduit par « sécurité »</w:t>
      </w:r>
      <w:r w:rsidR="003F2D77">
        <w:rPr>
          <w:lang w:val="fr-FR"/>
        </w:rPr>
        <w:t>,</w:t>
      </w:r>
      <w:r>
        <w:rPr>
          <w:lang w:val="fr-FR"/>
        </w:rPr>
        <w:t xml:space="preserve"> et « security » (par exemple, dans « security provision », au chapitre</w:t>
      </w:r>
      <w:r w:rsidR="006879AE">
        <w:rPr>
          <w:lang w:val="fr-FR"/>
        </w:rPr>
        <w:t> </w:t>
      </w:r>
      <w:r>
        <w:rPr>
          <w:lang w:val="fr-FR"/>
        </w:rPr>
        <w:t>1.4) est traduit par</w:t>
      </w:r>
      <w:r w:rsidR="003F2D77">
        <w:rPr>
          <w:lang w:val="fr-FR"/>
        </w:rPr>
        <w:t> </w:t>
      </w:r>
      <w:r>
        <w:rPr>
          <w:lang w:val="fr-FR"/>
        </w:rPr>
        <w:t>« sûreté ». Dans le Règlement de l’AIEA, « </w:t>
      </w:r>
      <w:proofErr w:type="spellStart"/>
      <w:r>
        <w:rPr>
          <w:lang w:val="fr-FR"/>
        </w:rPr>
        <w:t>safety</w:t>
      </w:r>
      <w:proofErr w:type="spellEnd"/>
      <w:r>
        <w:rPr>
          <w:lang w:val="fr-FR"/>
        </w:rPr>
        <w:t> » est traduit par « sûreté ». Le</w:t>
      </w:r>
      <w:r w:rsidR="003F2D77">
        <w:rPr>
          <w:lang w:val="fr-FR"/>
        </w:rPr>
        <w:t> </w:t>
      </w:r>
      <w:r>
        <w:rPr>
          <w:lang w:val="fr-FR"/>
        </w:rPr>
        <w:t>Sous</w:t>
      </w:r>
      <w:r w:rsidR="003F2D77">
        <w:rPr>
          <w:lang w:val="fr-FR"/>
        </w:rPr>
        <w:noBreakHyphen/>
      </w:r>
      <w:r>
        <w:rPr>
          <w:lang w:val="fr-FR"/>
        </w:rPr>
        <w:t>Comité souhaitera peut-être aligner la version française du Règlement type comme proposé ci-après. Les termes « indice de sûreté-criticité » et « Normes de sûreté de l’AIEA », respectivement employés pour traduire « </w:t>
      </w:r>
      <w:proofErr w:type="spellStart"/>
      <w:r>
        <w:rPr>
          <w:lang w:val="fr-FR"/>
        </w:rPr>
        <w:t>criticality</w:t>
      </w:r>
      <w:proofErr w:type="spellEnd"/>
      <w:r>
        <w:rPr>
          <w:lang w:val="fr-FR"/>
        </w:rPr>
        <w:t xml:space="preserve"> </w:t>
      </w:r>
      <w:proofErr w:type="spellStart"/>
      <w:r>
        <w:rPr>
          <w:lang w:val="fr-FR"/>
        </w:rPr>
        <w:t>safety</w:t>
      </w:r>
      <w:proofErr w:type="spellEnd"/>
      <w:r>
        <w:rPr>
          <w:lang w:val="fr-FR"/>
        </w:rPr>
        <w:t xml:space="preserve"> index » et « IAEA </w:t>
      </w:r>
      <w:proofErr w:type="spellStart"/>
      <w:r>
        <w:rPr>
          <w:lang w:val="fr-FR"/>
        </w:rPr>
        <w:t>safety</w:t>
      </w:r>
      <w:proofErr w:type="spellEnd"/>
      <w:r>
        <w:rPr>
          <w:lang w:val="fr-FR"/>
        </w:rPr>
        <w:t xml:space="preserve"> standards », restent inchangés.</w:t>
      </w:r>
    </w:p>
    <w:p w14:paraId="47565D6F" w14:textId="77777777" w:rsidR="000632EA" w:rsidRPr="000909DC" w:rsidRDefault="000632EA" w:rsidP="003F2D77">
      <w:pPr>
        <w:pStyle w:val="H1G"/>
        <w:rPr>
          <w:lang w:val="fr-FR"/>
        </w:rPr>
      </w:pPr>
      <w:r>
        <w:rPr>
          <w:lang w:val="fr-FR"/>
        </w:rPr>
        <w:tab/>
      </w:r>
      <w:r>
        <w:rPr>
          <w:lang w:val="fr-FR"/>
        </w:rPr>
        <w:tab/>
        <w:t>Proposition 3</w:t>
      </w:r>
    </w:p>
    <w:p w14:paraId="574B37FA" w14:textId="77777777" w:rsidR="000632EA" w:rsidRPr="000909DC" w:rsidRDefault="000632EA" w:rsidP="003F2D77">
      <w:pPr>
        <w:pStyle w:val="SingleTxtG"/>
        <w:keepNext/>
        <w:rPr>
          <w:lang w:val="fr-FR"/>
        </w:rPr>
      </w:pPr>
      <w:r>
        <w:rPr>
          <w:lang w:val="fr-FR"/>
        </w:rPr>
        <w:t>10.</w:t>
      </w:r>
      <w:r>
        <w:rPr>
          <w:lang w:val="fr-FR"/>
        </w:rPr>
        <w:tab/>
        <w:t>Apporter les modifications suivantes à la version française</w:t>
      </w:r>
      <w:r w:rsidR="00D82800">
        <w:rPr>
          <w:lang w:val="fr-FR"/>
        </w:rPr>
        <w:t> :</w:t>
      </w:r>
    </w:p>
    <w:p w14:paraId="7BAF44B0" w14:textId="77777777" w:rsidR="000632EA" w:rsidRPr="000909DC" w:rsidRDefault="000632EA" w:rsidP="007B5E31">
      <w:pPr>
        <w:pStyle w:val="SingleTxtG"/>
        <w:tabs>
          <w:tab w:val="left" w:pos="4256"/>
        </w:tabs>
        <w:ind w:left="1701"/>
        <w:rPr>
          <w:lang w:val="fr-FR"/>
        </w:rPr>
      </w:pPr>
      <w:r>
        <w:rPr>
          <w:lang w:val="fr-FR"/>
        </w:rPr>
        <w:t xml:space="preserve">4.1.9.2.4 e) iii) </w:t>
      </w:r>
      <w:r>
        <w:rPr>
          <w:lang w:val="fr-FR"/>
        </w:rPr>
        <w:tab/>
        <w:t>Remplacer « sûreté » par « sécurité ».</w:t>
      </w:r>
    </w:p>
    <w:p w14:paraId="0DEB1019" w14:textId="77777777" w:rsidR="000632EA" w:rsidRPr="000909DC" w:rsidRDefault="000632EA" w:rsidP="007B5E31">
      <w:pPr>
        <w:pStyle w:val="SingleTxtG"/>
        <w:tabs>
          <w:tab w:val="left" w:pos="4256"/>
        </w:tabs>
        <w:ind w:left="1701"/>
        <w:rPr>
          <w:lang w:val="fr-FR"/>
        </w:rPr>
      </w:pPr>
      <w:r>
        <w:rPr>
          <w:lang w:val="fr-FR"/>
        </w:rPr>
        <w:t>6.4.23.3, phrase introductive</w:t>
      </w:r>
      <w:r>
        <w:rPr>
          <w:lang w:val="fr-FR"/>
        </w:rPr>
        <w:tab/>
        <w:t>Remplacer « sûreté » par « sécurité ».</w:t>
      </w:r>
    </w:p>
    <w:p w14:paraId="0DD541D0" w14:textId="77777777" w:rsidR="000632EA" w:rsidRDefault="000632EA" w:rsidP="007B5E31">
      <w:pPr>
        <w:pStyle w:val="SingleTxtG"/>
        <w:tabs>
          <w:tab w:val="left" w:pos="4256"/>
        </w:tabs>
        <w:ind w:left="1701"/>
        <w:rPr>
          <w:lang w:val="fr-FR"/>
        </w:rPr>
      </w:pPr>
      <w:r>
        <w:rPr>
          <w:lang w:val="fr-FR"/>
        </w:rPr>
        <w:t xml:space="preserve">6.4.23.4 f) </w:t>
      </w:r>
      <w:r>
        <w:rPr>
          <w:lang w:val="fr-FR"/>
        </w:rPr>
        <w:tab/>
        <w:t>Remplacer « sûreté » par « sécurité ».</w:t>
      </w:r>
    </w:p>
    <w:p w14:paraId="494A7AEA" w14:textId="77777777" w:rsidR="00446FE5" w:rsidRDefault="000632EA" w:rsidP="007B5E31">
      <w:pPr>
        <w:pStyle w:val="SingleTxtG"/>
        <w:tabs>
          <w:tab w:val="left" w:pos="4256"/>
        </w:tabs>
        <w:ind w:left="1701"/>
        <w:rPr>
          <w:lang w:val="fr-FR"/>
        </w:rPr>
      </w:pPr>
      <w:r>
        <w:rPr>
          <w:lang w:val="fr-FR"/>
        </w:rPr>
        <w:t>7.1.8.2</w:t>
      </w:r>
      <w:r>
        <w:rPr>
          <w:lang w:val="fr-FR"/>
        </w:rPr>
        <w:tab/>
        <w:t>Remplacer « sûreté » par « sécurité ».</w:t>
      </w:r>
    </w:p>
    <w:p w14:paraId="495A3F3F" w14:textId="77777777" w:rsidR="000632EA" w:rsidRPr="000632EA" w:rsidRDefault="000632EA" w:rsidP="007B5E31">
      <w:pPr>
        <w:pStyle w:val="SingleTxtG"/>
        <w:spacing w:before="120" w:after="0" w:line="240" w:lineRule="auto"/>
        <w:jc w:val="center"/>
        <w:rPr>
          <w:u w:val="single"/>
          <w:lang w:val="fr-FR"/>
        </w:rPr>
      </w:pPr>
      <w:r>
        <w:rPr>
          <w:u w:val="single"/>
          <w:lang w:val="fr-FR"/>
        </w:rPr>
        <w:tab/>
      </w:r>
      <w:r>
        <w:rPr>
          <w:u w:val="single"/>
          <w:lang w:val="fr-FR"/>
        </w:rPr>
        <w:tab/>
      </w:r>
      <w:r>
        <w:rPr>
          <w:u w:val="single"/>
          <w:lang w:val="fr-FR"/>
        </w:rPr>
        <w:tab/>
      </w:r>
    </w:p>
    <w:sectPr w:rsidR="000632EA" w:rsidRPr="000632EA" w:rsidSect="00F87EF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D2A97" w14:textId="77777777" w:rsidR="00D1468E" w:rsidRDefault="00D1468E" w:rsidP="00F95C08">
      <w:pPr>
        <w:spacing w:line="240" w:lineRule="auto"/>
      </w:pPr>
    </w:p>
  </w:endnote>
  <w:endnote w:type="continuationSeparator" w:id="0">
    <w:p w14:paraId="6996B5D4" w14:textId="77777777" w:rsidR="00D1468E" w:rsidRPr="00AC3823" w:rsidRDefault="00D1468E" w:rsidP="00AC3823">
      <w:pPr>
        <w:pStyle w:val="Footer"/>
      </w:pPr>
    </w:p>
  </w:endnote>
  <w:endnote w:type="continuationNotice" w:id="1">
    <w:p w14:paraId="55132972" w14:textId="77777777" w:rsidR="00D1468E" w:rsidRDefault="00D146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831F" w14:textId="77777777" w:rsidR="00F87EF9" w:rsidRPr="00F87EF9" w:rsidRDefault="00F87EF9" w:rsidP="00F87EF9">
    <w:pPr>
      <w:pStyle w:val="Footer"/>
      <w:tabs>
        <w:tab w:val="right" w:pos="9638"/>
      </w:tabs>
    </w:pPr>
    <w:r w:rsidRPr="00F87EF9">
      <w:rPr>
        <w:b/>
        <w:sz w:val="18"/>
      </w:rPr>
      <w:fldChar w:fldCharType="begin"/>
    </w:r>
    <w:r w:rsidRPr="00F87EF9">
      <w:rPr>
        <w:b/>
        <w:sz w:val="18"/>
      </w:rPr>
      <w:instrText xml:space="preserve"> PAGE  \* MERGEFORMAT </w:instrText>
    </w:r>
    <w:r w:rsidRPr="00F87EF9">
      <w:rPr>
        <w:b/>
        <w:sz w:val="18"/>
      </w:rPr>
      <w:fldChar w:fldCharType="separate"/>
    </w:r>
    <w:r w:rsidRPr="00F87EF9">
      <w:rPr>
        <w:b/>
        <w:noProof/>
        <w:sz w:val="18"/>
      </w:rPr>
      <w:t>2</w:t>
    </w:r>
    <w:r w:rsidRPr="00F87EF9">
      <w:rPr>
        <w:b/>
        <w:sz w:val="18"/>
      </w:rPr>
      <w:fldChar w:fldCharType="end"/>
    </w:r>
    <w:r>
      <w:rPr>
        <w:b/>
        <w:sz w:val="18"/>
      </w:rPr>
      <w:tab/>
    </w:r>
    <w:r>
      <w:t>GE.19-15737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696B" w14:textId="77777777" w:rsidR="00F87EF9" w:rsidRPr="00F87EF9" w:rsidRDefault="00F87EF9" w:rsidP="00F87EF9">
    <w:pPr>
      <w:pStyle w:val="Footer"/>
      <w:tabs>
        <w:tab w:val="right" w:pos="9638"/>
      </w:tabs>
      <w:rPr>
        <w:b/>
        <w:sz w:val="18"/>
      </w:rPr>
    </w:pPr>
    <w:r>
      <w:t>GE.19-15737</w:t>
    </w:r>
    <w:r>
      <w:tab/>
    </w:r>
    <w:r w:rsidRPr="00F87EF9">
      <w:rPr>
        <w:b/>
        <w:sz w:val="18"/>
      </w:rPr>
      <w:fldChar w:fldCharType="begin"/>
    </w:r>
    <w:r w:rsidRPr="00F87EF9">
      <w:rPr>
        <w:b/>
        <w:sz w:val="18"/>
      </w:rPr>
      <w:instrText xml:space="preserve"> PAGE  \* MERGEFORMAT </w:instrText>
    </w:r>
    <w:r w:rsidRPr="00F87EF9">
      <w:rPr>
        <w:b/>
        <w:sz w:val="18"/>
      </w:rPr>
      <w:fldChar w:fldCharType="separate"/>
    </w:r>
    <w:r w:rsidRPr="00F87EF9">
      <w:rPr>
        <w:b/>
        <w:noProof/>
        <w:sz w:val="18"/>
      </w:rPr>
      <w:t>3</w:t>
    </w:r>
    <w:r w:rsidRPr="00F87E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CA47" w14:textId="77777777" w:rsidR="0068456F" w:rsidRPr="00F87EF9" w:rsidRDefault="00F87EF9" w:rsidP="00F87EF9">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B29789C" wp14:editId="4104D6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15737  (</w:t>
    </w:r>
    <w:proofErr w:type="gramEnd"/>
    <w:r>
      <w:rPr>
        <w:sz w:val="20"/>
      </w:rPr>
      <w:t>F)</w:t>
    </w:r>
    <w:r w:rsidR="00D82800">
      <w:rPr>
        <w:sz w:val="20"/>
      </w:rPr>
      <w:t xml:space="preserve">    151019    151019</w:t>
    </w:r>
    <w:r>
      <w:rPr>
        <w:sz w:val="20"/>
      </w:rPr>
      <w:br/>
    </w:r>
    <w:r w:rsidRPr="00F87EF9">
      <w:rPr>
        <w:rFonts w:ascii="C39T30Lfz" w:hAnsi="C39T30Lfz"/>
        <w:sz w:val="56"/>
      </w:rPr>
      <w:t></w:t>
    </w:r>
    <w:r w:rsidRPr="00F87EF9">
      <w:rPr>
        <w:rFonts w:ascii="C39T30Lfz" w:hAnsi="C39T30Lfz"/>
        <w:sz w:val="56"/>
      </w:rPr>
      <w:t></w:t>
    </w:r>
    <w:r w:rsidRPr="00F87EF9">
      <w:rPr>
        <w:rFonts w:ascii="C39T30Lfz" w:hAnsi="C39T30Lfz"/>
        <w:sz w:val="56"/>
      </w:rPr>
      <w:t></w:t>
    </w:r>
    <w:r w:rsidRPr="00F87EF9">
      <w:rPr>
        <w:rFonts w:ascii="C39T30Lfz" w:hAnsi="C39T30Lfz"/>
        <w:sz w:val="56"/>
      </w:rPr>
      <w:t></w:t>
    </w:r>
    <w:r w:rsidRPr="00F87EF9">
      <w:rPr>
        <w:rFonts w:ascii="C39T30Lfz" w:hAnsi="C39T30Lfz"/>
        <w:sz w:val="56"/>
      </w:rPr>
      <w:t></w:t>
    </w:r>
    <w:r w:rsidRPr="00F87EF9">
      <w:rPr>
        <w:rFonts w:ascii="C39T30Lfz" w:hAnsi="C39T30Lfz"/>
        <w:sz w:val="56"/>
      </w:rPr>
      <w:t></w:t>
    </w:r>
    <w:r w:rsidRPr="00F87EF9">
      <w:rPr>
        <w:rFonts w:ascii="C39T30Lfz" w:hAnsi="C39T30Lfz"/>
        <w:sz w:val="56"/>
      </w:rPr>
      <w:t></w:t>
    </w:r>
    <w:r w:rsidRPr="00F87EF9">
      <w:rPr>
        <w:rFonts w:ascii="C39T30Lfz" w:hAnsi="C39T30Lfz"/>
        <w:sz w:val="56"/>
      </w:rPr>
      <w:t></w:t>
    </w:r>
    <w:r w:rsidRPr="00F87EF9">
      <w:rPr>
        <w:rFonts w:ascii="C39T30Lfz" w:hAnsi="C39T30Lfz"/>
        <w:sz w:val="56"/>
      </w:rPr>
      <w:t></w:t>
    </w:r>
    <w:r>
      <w:rPr>
        <w:noProof/>
        <w:sz w:val="20"/>
      </w:rPr>
      <w:drawing>
        <wp:anchor distT="0" distB="0" distL="114300" distR="114300" simplePos="0" relativeHeight="251658240" behindDoc="0" locked="0" layoutInCell="1" allowOverlap="1" wp14:anchorId="71A51668" wp14:editId="655978E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7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7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FA55" w14:textId="77777777" w:rsidR="00D1468E" w:rsidRPr="00AC3823" w:rsidRDefault="00D1468E" w:rsidP="00AC3823">
      <w:pPr>
        <w:pStyle w:val="Footer"/>
        <w:tabs>
          <w:tab w:val="right" w:pos="2155"/>
        </w:tabs>
        <w:spacing w:after="80" w:line="240" w:lineRule="atLeast"/>
        <w:ind w:left="680"/>
        <w:rPr>
          <w:u w:val="single"/>
        </w:rPr>
      </w:pPr>
      <w:r>
        <w:rPr>
          <w:u w:val="single"/>
        </w:rPr>
        <w:tab/>
      </w:r>
    </w:p>
  </w:footnote>
  <w:footnote w:type="continuationSeparator" w:id="0">
    <w:p w14:paraId="0BDC02E9" w14:textId="77777777" w:rsidR="00D1468E" w:rsidRPr="00AC3823" w:rsidRDefault="00D1468E" w:rsidP="00AC3823">
      <w:pPr>
        <w:pStyle w:val="Footer"/>
        <w:tabs>
          <w:tab w:val="right" w:pos="2155"/>
        </w:tabs>
        <w:spacing w:after="80" w:line="240" w:lineRule="atLeast"/>
        <w:ind w:left="680"/>
        <w:rPr>
          <w:u w:val="single"/>
        </w:rPr>
      </w:pPr>
      <w:r>
        <w:rPr>
          <w:u w:val="single"/>
        </w:rPr>
        <w:tab/>
      </w:r>
    </w:p>
  </w:footnote>
  <w:footnote w:type="continuationNotice" w:id="1">
    <w:p w14:paraId="484CCDE8" w14:textId="77777777" w:rsidR="00D1468E" w:rsidRPr="00AC3823" w:rsidRDefault="00D1468E">
      <w:pPr>
        <w:spacing w:line="240" w:lineRule="auto"/>
        <w:rPr>
          <w:sz w:val="2"/>
          <w:szCs w:val="2"/>
        </w:rPr>
      </w:pPr>
    </w:p>
  </w:footnote>
  <w:footnote w:id="2">
    <w:p w14:paraId="34814B0E" w14:textId="77777777" w:rsidR="000632EA" w:rsidRPr="000909DC" w:rsidRDefault="00D82800" w:rsidP="000632EA">
      <w:pPr>
        <w:pStyle w:val="FootnoteText"/>
        <w:rPr>
          <w:lang w:val="fr-FR"/>
        </w:rPr>
      </w:pPr>
      <w:r>
        <w:rPr>
          <w:vertAlign w:val="superscript"/>
          <w:lang w:val="fr-FR"/>
        </w:rPr>
        <w:tab/>
      </w:r>
      <w:r w:rsidR="000632EA" w:rsidRPr="00D82800">
        <w:rPr>
          <w:sz w:val="20"/>
          <w:lang w:val="fr-FR"/>
        </w:rPr>
        <w:t>*</w:t>
      </w:r>
      <w:r w:rsidR="000632EA">
        <w:rPr>
          <w:lang w:val="fr-FR"/>
        </w:rPr>
        <w:tab/>
        <w:t>Conformément au programme de travail du Sous-Comité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722D" w14:textId="1ECDD0D4" w:rsidR="00F87EF9" w:rsidRPr="00F87EF9" w:rsidRDefault="000271F7">
    <w:pPr>
      <w:pStyle w:val="Header"/>
    </w:pPr>
    <w:r>
      <w:fldChar w:fldCharType="begin"/>
    </w:r>
    <w:r>
      <w:instrText xml:space="preserve"> TITLE  \* MERGEFORMAT </w:instrText>
    </w:r>
    <w:r>
      <w:fldChar w:fldCharType="separate"/>
    </w:r>
    <w:r>
      <w:t>ST/SG/AC.10/C.3/2019/70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5CDB" w14:textId="65EF1F10" w:rsidR="00F87EF9" w:rsidRPr="00F87EF9" w:rsidRDefault="000271F7" w:rsidP="00F87EF9">
    <w:pPr>
      <w:pStyle w:val="Header"/>
      <w:jc w:val="right"/>
    </w:pPr>
    <w:r>
      <w:fldChar w:fldCharType="begin"/>
    </w:r>
    <w:r>
      <w:instrText xml:space="preserve"> TITLE  \* MERGEFORMAT </w:instrText>
    </w:r>
    <w:r>
      <w:fldChar w:fldCharType="separate"/>
    </w:r>
    <w:r>
      <w:t>ST/SG/AC.10/C.3/2019/70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8E"/>
    <w:rsid w:val="00017F94"/>
    <w:rsid w:val="00023842"/>
    <w:rsid w:val="000271F7"/>
    <w:rsid w:val="000305D3"/>
    <w:rsid w:val="000334F9"/>
    <w:rsid w:val="000632EA"/>
    <w:rsid w:val="0007796D"/>
    <w:rsid w:val="000B7790"/>
    <w:rsid w:val="00111F2F"/>
    <w:rsid w:val="00132EA9"/>
    <w:rsid w:val="0014365E"/>
    <w:rsid w:val="00176178"/>
    <w:rsid w:val="001F525A"/>
    <w:rsid w:val="00223272"/>
    <w:rsid w:val="0024779E"/>
    <w:rsid w:val="00283190"/>
    <w:rsid w:val="002832AC"/>
    <w:rsid w:val="002D7C93"/>
    <w:rsid w:val="003F2D77"/>
    <w:rsid w:val="00441C3B"/>
    <w:rsid w:val="00446FE5"/>
    <w:rsid w:val="00452396"/>
    <w:rsid w:val="004E468C"/>
    <w:rsid w:val="005505B7"/>
    <w:rsid w:val="00573BE5"/>
    <w:rsid w:val="00584DC4"/>
    <w:rsid w:val="00586ED3"/>
    <w:rsid w:val="00596AA9"/>
    <w:rsid w:val="005C6EB8"/>
    <w:rsid w:val="0068456F"/>
    <w:rsid w:val="006879AE"/>
    <w:rsid w:val="0071601D"/>
    <w:rsid w:val="00782697"/>
    <w:rsid w:val="007A62E6"/>
    <w:rsid w:val="007B5E31"/>
    <w:rsid w:val="0080684C"/>
    <w:rsid w:val="00871C75"/>
    <w:rsid w:val="008776DC"/>
    <w:rsid w:val="008B40CD"/>
    <w:rsid w:val="009705C8"/>
    <w:rsid w:val="009C1CF4"/>
    <w:rsid w:val="00A30353"/>
    <w:rsid w:val="00A95FF1"/>
    <w:rsid w:val="00AC3823"/>
    <w:rsid w:val="00AE323C"/>
    <w:rsid w:val="00B00181"/>
    <w:rsid w:val="00B00B0D"/>
    <w:rsid w:val="00B765F7"/>
    <w:rsid w:val="00BA0CA9"/>
    <w:rsid w:val="00C02897"/>
    <w:rsid w:val="00D1468E"/>
    <w:rsid w:val="00D3439C"/>
    <w:rsid w:val="00D82800"/>
    <w:rsid w:val="00DB1831"/>
    <w:rsid w:val="00DD3BFD"/>
    <w:rsid w:val="00DF6678"/>
    <w:rsid w:val="00EF2E22"/>
    <w:rsid w:val="00F01738"/>
    <w:rsid w:val="00F660DF"/>
    <w:rsid w:val="00F730C8"/>
    <w:rsid w:val="00F87EF9"/>
    <w:rsid w:val="00F95C08"/>
    <w:rsid w:val="00FF27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96FA2"/>
  <w15:docId w15:val="{C4F68607-E171-4E8D-8D71-F67C5B39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0632EA"/>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0632EA"/>
    <w:rPr>
      <w:rFonts w:ascii="Times New Roman" w:eastAsiaTheme="minorHAnsi" w:hAnsi="Times New Roman" w:cs="Times New Roman"/>
      <w:sz w:val="20"/>
      <w:szCs w:val="20"/>
      <w:lang w:eastAsia="en-US"/>
    </w:rPr>
  </w:style>
  <w:style w:type="character" w:customStyle="1" w:styleId="H1GChar">
    <w:name w:val="_ H_1_G Char"/>
    <w:link w:val="H1G"/>
    <w:rsid w:val="000632EA"/>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ST/SG/AC.10/C.3/2019/70</vt:lpstr>
      <vt:lpstr>ST/SG/AC.10/C.3/2019/70</vt:lpstr>
    </vt:vector>
  </TitlesOfParts>
  <Company>DCM</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ST/SG/AC.10/C.3/2019/70</dc:title>
  <dc:subject/>
  <dc:creator>Nathalie VITTOZ</dc:creator>
  <cp:keywords/>
  <cp:lastModifiedBy>Laurence Berthet</cp:lastModifiedBy>
  <cp:revision>3</cp:revision>
  <cp:lastPrinted>2019-10-15T13:59:00Z</cp:lastPrinted>
  <dcterms:created xsi:type="dcterms:W3CDTF">2019-10-15T13:59:00Z</dcterms:created>
  <dcterms:modified xsi:type="dcterms:W3CDTF">2019-10-15T14:02:00Z</dcterms:modified>
</cp:coreProperties>
</file>