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38C99F82" w14:textId="77777777" w:rsidTr="00F01738">
        <w:trPr>
          <w:trHeight w:hRule="exact" w:val="851"/>
        </w:trPr>
        <w:tc>
          <w:tcPr>
            <w:tcW w:w="1276" w:type="dxa"/>
            <w:tcBorders>
              <w:bottom w:val="single" w:sz="4" w:space="0" w:color="auto"/>
            </w:tcBorders>
          </w:tcPr>
          <w:p w14:paraId="359B5A6E" w14:textId="77777777" w:rsidR="00132EA9" w:rsidRPr="00DB58B5" w:rsidRDefault="00132EA9" w:rsidP="00646378"/>
        </w:tc>
        <w:tc>
          <w:tcPr>
            <w:tcW w:w="2268" w:type="dxa"/>
            <w:tcBorders>
              <w:bottom w:val="single" w:sz="4" w:space="0" w:color="auto"/>
            </w:tcBorders>
            <w:vAlign w:val="bottom"/>
          </w:tcPr>
          <w:p w14:paraId="23E8F0B9"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3A67BCFA" w14:textId="77777777" w:rsidR="00132EA9" w:rsidRPr="00DB58B5" w:rsidRDefault="00646378" w:rsidP="00646378">
            <w:pPr>
              <w:jc w:val="right"/>
            </w:pPr>
            <w:r w:rsidRPr="00646378">
              <w:rPr>
                <w:sz w:val="40"/>
              </w:rPr>
              <w:t>ST</w:t>
            </w:r>
            <w:r>
              <w:t>/SG/AC.10/C.3/2019/61</w:t>
            </w:r>
          </w:p>
        </w:tc>
      </w:tr>
      <w:tr w:rsidR="00132EA9" w:rsidRPr="00DB58B5" w14:paraId="31EC433D" w14:textId="77777777" w:rsidTr="00F01738">
        <w:trPr>
          <w:trHeight w:hRule="exact" w:val="2835"/>
        </w:trPr>
        <w:tc>
          <w:tcPr>
            <w:tcW w:w="1276" w:type="dxa"/>
            <w:tcBorders>
              <w:top w:val="single" w:sz="4" w:space="0" w:color="auto"/>
              <w:bottom w:val="single" w:sz="12" w:space="0" w:color="auto"/>
            </w:tcBorders>
          </w:tcPr>
          <w:p w14:paraId="29F90C27" w14:textId="77777777" w:rsidR="00132EA9" w:rsidRPr="00DB58B5" w:rsidRDefault="00132EA9" w:rsidP="00F01738">
            <w:pPr>
              <w:spacing w:before="120"/>
              <w:jc w:val="center"/>
            </w:pPr>
            <w:r>
              <w:rPr>
                <w:noProof/>
                <w:lang w:eastAsia="fr-CH"/>
              </w:rPr>
              <w:drawing>
                <wp:inline distT="0" distB="0" distL="0" distR="0" wp14:anchorId="1A2FD8A9" wp14:editId="3897942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2540A69"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7D203A9A" w14:textId="77777777" w:rsidR="00132EA9" w:rsidRDefault="00646378" w:rsidP="00F01738">
            <w:pPr>
              <w:spacing w:before="240"/>
            </w:pPr>
            <w:r>
              <w:t xml:space="preserve">Distr. </w:t>
            </w:r>
            <w:proofErr w:type="gramStart"/>
            <w:r>
              <w:t>générale</w:t>
            </w:r>
            <w:proofErr w:type="gramEnd"/>
          </w:p>
          <w:p w14:paraId="58752BB1" w14:textId="77777777" w:rsidR="00646378" w:rsidRDefault="00646378" w:rsidP="00646378">
            <w:pPr>
              <w:spacing w:line="240" w:lineRule="exact"/>
            </w:pPr>
            <w:r>
              <w:t>1</w:t>
            </w:r>
            <w:r w:rsidR="00645766">
              <w:t>1</w:t>
            </w:r>
            <w:r>
              <w:t xml:space="preserve"> septembre 2019</w:t>
            </w:r>
          </w:p>
          <w:p w14:paraId="221A07FC" w14:textId="77777777" w:rsidR="00646378" w:rsidRDefault="00646378" w:rsidP="00646378">
            <w:pPr>
              <w:spacing w:line="240" w:lineRule="exact"/>
            </w:pPr>
            <w:r>
              <w:t>Français</w:t>
            </w:r>
          </w:p>
          <w:p w14:paraId="5BB10A7D" w14:textId="77777777" w:rsidR="00646378" w:rsidRPr="00DB58B5" w:rsidRDefault="00646378" w:rsidP="00646378">
            <w:pPr>
              <w:spacing w:line="240" w:lineRule="exact"/>
            </w:pPr>
            <w:r>
              <w:t>Original : anglais</w:t>
            </w:r>
          </w:p>
        </w:tc>
      </w:tr>
    </w:tbl>
    <w:p w14:paraId="4FDC4F3B" w14:textId="77777777" w:rsidR="00646378" w:rsidRPr="00CA0680" w:rsidRDefault="00646378" w:rsidP="000305D3">
      <w:pPr>
        <w:spacing w:before="120"/>
        <w:rPr>
          <w:b/>
          <w:sz w:val="24"/>
          <w:szCs w:val="24"/>
        </w:rPr>
      </w:pPr>
      <w:r w:rsidRPr="00CA0680">
        <w:rPr>
          <w:b/>
          <w:sz w:val="24"/>
          <w:szCs w:val="24"/>
        </w:rPr>
        <w:t>Comité d</w:t>
      </w:r>
      <w:r w:rsidR="00EF7D6C">
        <w:rPr>
          <w:b/>
          <w:sz w:val="24"/>
          <w:szCs w:val="24"/>
        </w:rPr>
        <w:t>’</w:t>
      </w:r>
      <w:r w:rsidRPr="00CA0680">
        <w:rPr>
          <w:b/>
          <w:sz w:val="24"/>
          <w:szCs w:val="24"/>
        </w:rPr>
        <w:t>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w:t>
      </w:r>
      <w:r w:rsidR="00EF7D6C">
        <w:rPr>
          <w:b/>
          <w:sz w:val="24"/>
          <w:szCs w:val="24"/>
        </w:rPr>
        <w:t>’</w:t>
      </w:r>
      <w:r w:rsidRPr="00CA0680">
        <w:rPr>
          <w:b/>
          <w:sz w:val="24"/>
          <w:szCs w:val="24"/>
        </w:rPr>
        <w:t>étiquetage</w:t>
      </w:r>
      <w:r>
        <w:rPr>
          <w:b/>
          <w:sz w:val="24"/>
          <w:szCs w:val="24"/>
        </w:rPr>
        <w:t xml:space="preserve"> </w:t>
      </w:r>
      <w:r w:rsidRPr="00CA0680">
        <w:rPr>
          <w:b/>
          <w:sz w:val="24"/>
          <w:szCs w:val="24"/>
        </w:rPr>
        <w:t>des produits chimiques</w:t>
      </w:r>
    </w:p>
    <w:p w14:paraId="51D85CA1" w14:textId="77777777" w:rsidR="00646378" w:rsidRPr="00CA0680" w:rsidRDefault="00646378" w:rsidP="000305D3">
      <w:pPr>
        <w:spacing w:before="120"/>
        <w:rPr>
          <w:b/>
        </w:rPr>
      </w:pPr>
      <w:r w:rsidRPr="00CA0680">
        <w:rPr>
          <w:b/>
        </w:rPr>
        <w:t>Sous</w:t>
      </w:r>
      <w:r>
        <w:rPr>
          <w:b/>
        </w:rPr>
        <w:t>-</w:t>
      </w:r>
      <w:r w:rsidRPr="00CA0680">
        <w:rPr>
          <w:b/>
        </w:rPr>
        <w:t>Comité d</w:t>
      </w:r>
      <w:r w:rsidR="00EF7D6C">
        <w:rPr>
          <w:b/>
        </w:rPr>
        <w:t>’</w:t>
      </w:r>
      <w:r w:rsidRPr="00CA0680">
        <w:rPr>
          <w:b/>
        </w:rPr>
        <w:t>experts du transport des marchandises dangereuses</w:t>
      </w:r>
    </w:p>
    <w:p w14:paraId="7466704A" w14:textId="77777777" w:rsidR="00646378" w:rsidRDefault="00646378" w:rsidP="000305D3">
      <w:pPr>
        <w:spacing w:before="120"/>
        <w:rPr>
          <w:b/>
        </w:rPr>
      </w:pPr>
      <w:r w:rsidRPr="00071DF9">
        <w:rPr>
          <w:b/>
          <w:szCs w:val="24"/>
        </w:rPr>
        <w:t xml:space="preserve">Cinquante-sixième </w:t>
      </w:r>
      <w:r w:rsidRPr="00CA0680">
        <w:rPr>
          <w:b/>
        </w:rPr>
        <w:t>session</w:t>
      </w:r>
    </w:p>
    <w:p w14:paraId="18EEC4FD" w14:textId="77777777" w:rsidR="00646378" w:rsidRDefault="00646378" w:rsidP="000305D3">
      <w:r>
        <w:t xml:space="preserve">Genève, </w:t>
      </w:r>
      <w:r w:rsidRPr="00320630">
        <w:rPr>
          <w:szCs w:val="24"/>
        </w:rPr>
        <w:t>2-11 décembre 2019</w:t>
      </w:r>
    </w:p>
    <w:p w14:paraId="1B07EC5D" w14:textId="77777777" w:rsidR="00646378" w:rsidRDefault="00646378" w:rsidP="000305D3">
      <w:r>
        <w:t>Point 3 de l</w:t>
      </w:r>
      <w:r w:rsidR="00EF7D6C">
        <w:t>’</w:t>
      </w:r>
      <w:r>
        <w:t>ordre du jour provisoire</w:t>
      </w:r>
    </w:p>
    <w:p w14:paraId="1A036615" w14:textId="77777777" w:rsidR="00646378" w:rsidRPr="00320630" w:rsidRDefault="00646378" w:rsidP="00646378">
      <w:pPr>
        <w:rPr>
          <w:b/>
          <w:szCs w:val="24"/>
        </w:rPr>
      </w:pPr>
      <w:r w:rsidRPr="00320630">
        <w:rPr>
          <w:b/>
          <w:bCs/>
          <w:szCs w:val="24"/>
        </w:rPr>
        <w:t>Inscription, classement et emballage</w:t>
      </w:r>
    </w:p>
    <w:p w14:paraId="0F6FF33F" w14:textId="77777777" w:rsidR="00646378" w:rsidRPr="00320630" w:rsidRDefault="00646378" w:rsidP="003B6059">
      <w:pPr>
        <w:pStyle w:val="HChG"/>
      </w:pPr>
      <w:r w:rsidRPr="00320630">
        <w:tab/>
      </w:r>
      <w:r w:rsidRPr="00320630">
        <w:tab/>
        <w:t>Nouvelle rubr</w:t>
      </w:r>
      <w:r>
        <w:t>ique pour les appareils</w:t>
      </w:r>
      <w:r w:rsidRPr="00071DF9">
        <w:t xml:space="preserve"> d</w:t>
      </w:r>
      <w:r w:rsidR="00EF7D6C">
        <w:t>’</w:t>
      </w:r>
      <w:r w:rsidRPr="00071DF9">
        <w:t>extinction d</w:t>
      </w:r>
      <w:r w:rsidR="00EF7D6C">
        <w:t>’</w:t>
      </w:r>
      <w:r w:rsidRPr="00071DF9">
        <w:t xml:space="preserve">incendie </w:t>
      </w:r>
      <w:r>
        <w:br/>
      </w:r>
      <w:proofErr w:type="gramStart"/>
      <w:r>
        <w:t>par</w:t>
      </w:r>
      <w:proofErr w:type="gramEnd"/>
      <w:r>
        <w:t xml:space="preserve"> diffusion d</w:t>
      </w:r>
      <w:r w:rsidR="00EF7D6C">
        <w:t>’</w:t>
      </w:r>
      <w:r>
        <w:t>aérosols</w:t>
      </w:r>
    </w:p>
    <w:p w14:paraId="54D37387" w14:textId="77777777" w:rsidR="00646378" w:rsidRPr="00646378" w:rsidRDefault="00646378" w:rsidP="00646378">
      <w:pPr>
        <w:pStyle w:val="H1G"/>
        <w:rPr>
          <w:szCs w:val="24"/>
        </w:rPr>
      </w:pPr>
      <w:r w:rsidRPr="00320630">
        <w:rPr>
          <w:szCs w:val="24"/>
        </w:rPr>
        <w:tab/>
      </w:r>
      <w:r w:rsidRPr="00320630">
        <w:rPr>
          <w:szCs w:val="24"/>
        </w:rPr>
        <w:tab/>
      </w:r>
      <w:r w:rsidRPr="00646378">
        <w:rPr>
          <w:szCs w:val="24"/>
        </w:rPr>
        <w:t xml:space="preserve">Communication du Council on safe transportation of hazardous </w:t>
      </w:r>
      <w:r>
        <w:rPr>
          <w:szCs w:val="24"/>
        </w:rPr>
        <w:br/>
      </w:r>
      <w:r w:rsidRPr="00646378">
        <w:rPr>
          <w:szCs w:val="24"/>
        </w:rPr>
        <w:t>articles (COSTHA)</w:t>
      </w:r>
      <w:r w:rsidRPr="00646378">
        <w:rPr>
          <w:rStyle w:val="FootnoteReference"/>
          <w:b w:val="0"/>
          <w:sz w:val="20"/>
          <w:vertAlign w:val="baseline"/>
        </w:rPr>
        <w:footnoteReference w:customMarkFollows="1" w:id="2"/>
        <w:t>*</w:t>
      </w:r>
      <w:r w:rsidRPr="00646378">
        <w:rPr>
          <w:rStyle w:val="FootnoteReference"/>
          <w:szCs w:val="24"/>
        </w:rPr>
        <w:t xml:space="preserve"> </w:t>
      </w:r>
    </w:p>
    <w:p w14:paraId="4F03F25C" w14:textId="77777777" w:rsidR="00646378" w:rsidRPr="005F038C" w:rsidRDefault="00646378" w:rsidP="00646378">
      <w:pPr>
        <w:pStyle w:val="HChG"/>
      </w:pPr>
      <w:r w:rsidRPr="00646378">
        <w:tab/>
      </w:r>
      <w:r w:rsidRPr="00646378">
        <w:tab/>
      </w:r>
      <w:r w:rsidRPr="005F038C">
        <w:t>Introduction</w:t>
      </w:r>
    </w:p>
    <w:p w14:paraId="657597F9" w14:textId="77777777" w:rsidR="00646378" w:rsidRPr="001E2404" w:rsidRDefault="00646378" w:rsidP="00646378">
      <w:pPr>
        <w:pStyle w:val="SingleTxtG"/>
      </w:pPr>
      <w:r>
        <w:t>1.</w:t>
      </w:r>
      <w:r>
        <w:tab/>
      </w:r>
      <w:r w:rsidRPr="00B86C19">
        <w:t xml:space="preserve">Il existe plusieurs </w:t>
      </w:r>
      <w:r>
        <w:t>appareils</w:t>
      </w:r>
      <w:r w:rsidRPr="00B86C19">
        <w:t xml:space="preserve"> de sécurité novateur</w:t>
      </w:r>
      <w:r>
        <w:t>s pour l</w:t>
      </w:r>
      <w:r w:rsidR="00EF7D6C">
        <w:t>’</w:t>
      </w:r>
      <w:r>
        <w:t>extinction d</w:t>
      </w:r>
      <w:r w:rsidR="00EF7D6C">
        <w:t>’</w:t>
      </w:r>
      <w:r>
        <w:t>incendie qui dispersent des particules fines à l</w:t>
      </w:r>
      <w:r w:rsidR="00EF7D6C">
        <w:t>’</w:t>
      </w:r>
      <w:r>
        <w:t>aide d</w:t>
      </w:r>
      <w:r w:rsidR="00EF7D6C">
        <w:t>’</w:t>
      </w:r>
      <w:r>
        <w:t xml:space="preserve">un initiateur actionnant une charge explosive, qui sont couramment transportés dans le monde. </w:t>
      </w:r>
      <w:r w:rsidRPr="000A24A3">
        <w:t xml:space="preserve">La classification de ces </w:t>
      </w:r>
      <w:r>
        <w:t>appareils</w:t>
      </w:r>
      <w:r w:rsidRPr="000A24A3">
        <w:t xml:space="preserve"> est parfois </w:t>
      </w:r>
      <w:r>
        <w:t>contestée car ils contiennent une petite quantité d</w:t>
      </w:r>
      <w:r w:rsidR="00EF7D6C">
        <w:t>’</w:t>
      </w:r>
      <w:r>
        <w:t xml:space="preserve">explosif de classe </w:t>
      </w:r>
      <w:r w:rsidRPr="000A24A3">
        <w:t>1.4. Le dispositif explosi</w:t>
      </w:r>
      <w:r>
        <w:t>f</w:t>
      </w:r>
      <w:r w:rsidRPr="000A24A3">
        <w:t xml:space="preserve"> </w:t>
      </w:r>
      <w:r>
        <w:t>sert à disperser les aérosols dans le but d</w:t>
      </w:r>
      <w:r w:rsidR="00EF7D6C">
        <w:t>’</w:t>
      </w:r>
      <w:r>
        <w:t xml:space="preserve">éteindre des incendies. </w:t>
      </w:r>
      <w:r w:rsidRPr="00E52D50">
        <w:t xml:space="preserve">Ces </w:t>
      </w:r>
      <w:r>
        <w:t>appareils</w:t>
      </w:r>
      <w:r w:rsidRPr="00E52D50">
        <w:t xml:space="preserve"> </w:t>
      </w:r>
      <w:r>
        <w:t>s</w:t>
      </w:r>
      <w:r w:rsidRPr="00E52D50">
        <w:t xml:space="preserve">ont </w:t>
      </w:r>
      <w:r>
        <w:t xml:space="preserve">utilisés dans </w:t>
      </w:r>
      <w:r w:rsidRPr="00E52D50">
        <w:t>de nombr</w:t>
      </w:r>
      <w:r>
        <w:t>eux environnements, notamment dans les véhicules, les centrales électriques, les installations de stockage des données, les armoires de stockage de liquides inflammables, les unités de chargement des avions, sur les appareils de cuisson des restaurants</w:t>
      </w:r>
      <w:r w:rsidRPr="000350E7">
        <w:t xml:space="preserve"> </w:t>
      </w:r>
      <w:r>
        <w:t>et dans beaucoup d</w:t>
      </w:r>
      <w:r w:rsidR="00EF7D6C">
        <w:t>’</w:t>
      </w:r>
      <w:r>
        <w:t xml:space="preserve">autres environnements. </w:t>
      </w:r>
      <w:r w:rsidRPr="001E2404">
        <w:t>D</w:t>
      </w:r>
      <w:r w:rsidR="00EF7D6C">
        <w:t>’</w:t>
      </w:r>
      <w:r w:rsidRPr="001E2404">
        <w:t xml:space="preserve">après les statistiques communiquées par un fabricant de ces </w:t>
      </w:r>
      <w:r>
        <w:t>appareils</w:t>
      </w:r>
      <w:r w:rsidRPr="001E2404">
        <w:t>, plus de 400</w:t>
      </w:r>
      <w:r>
        <w:t> </w:t>
      </w:r>
      <w:r w:rsidRPr="001E2404">
        <w:t>000 articles ont ét</w:t>
      </w:r>
      <w:r>
        <w:t>é expédiés dans le monde entier sans qu</w:t>
      </w:r>
      <w:r w:rsidR="00EF7D6C">
        <w:t>’</w:t>
      </w:r>
      <w:r>
        <w:t>une explosion intempestive ou qu</w:t>
      </w:r>
      <w:r w:rsidR="00EF7D6C">
        <w:t>’</w:t>
      </w:r>
      <w:r>
        <w:t>un incendie provoqué par une unité emballée n</w:t>
      </w:r>
      <w:r w:rsidR="00EF7D6C">
        <w:t>’</w:t>
      </w:r>
      <w:r>
        <w:t xml:space="preserve">ait été signalé. </w:t>
      </w:r>
    </w:p>
    <w:p w14:paraId="6B542284" w14:textId="77777777" w:rsidR="00646378" w:rsidRPr="00781734" w:rsidRDefault="00646378" w:rsidP="00646378">
      <w:pPr>
        <w:pStyle w:val="SingleTxtG"/>
      </w:pPr>
      <w:r>
        <w:t>2.</w:t>
      </w:r>
      <w:r>
        <w:tab/>
      </w:r>
      <w:r w:rsidRPr="005857F6">
        <w:t xml:space="preserve">La technologie </w:t>
      </w:r>
      <w:r>
        <w:t>d</w:t>
      </w:r>
      <w:r w:rsidR="00EF7D6C">
        <w:t>’</w:t>
      </w:r>
      <w:r>
        <w:t>extinction</w:t>
      </w:r>
      <w:r w:rsidRPr="005857F6">
        <w:t xml:space="preserve"> d</w:t>
      </w:r>
      <w:r w:rsidR="00EF7D6C">
        <w:t>’</w:t>
      </w:r>
      <w:r w:rsidRPr="005857F6">
        <w:t>incendie par aérosol</w:t>
      </w:r>
      <w:r>
        <w:t>s</w:t>
      </w:r>
      <w:r w:rsidRPr="005857F6">
        <w:t xml:space="preserve"> est reconnue co</w:t>
      </w:r>
      <w:r>
        <w:t>mme étant distincte de toutes les autres technologies d</w:t>
      </w:r>
      <w:r w:rsidR="00EF7D6C">
        <w:t>’</w:t>
      </w:r>
      <w:r>
        <w:t>extinction d</w:t>
      </w:r>
      <w:r w:rsidR="00EF7D6C">
        <w:t>’</w:t>
      </w:r>
      <w:r>
        <w:t xml:space="preserve">incendie. </w:t>
      </w:r>
      <w:r w:rsidRPr="005857F6">
        <w:t>La National Fire Protection Association (NFPA) (Association nationale de protection contre les incendies</w:t>
      </w:r>
      <w:r>
        <w:t xml:space="preserve"> des</w:t>
      </w:r>
      <w:r w:rsidRPr="005857F6">
        <w:t xml:space="preserve"> États-Unis d</w:t>
      </w:r>
      <w:r w:rsidR="00EF7D6C">
        <w:t>’</w:t>
      </w:r>
      <w:r w:rsidRPr="005857F6">
        <w:t>Amériq</w:t>
      </w:r>
      <w:r>
        <w:t xml:space="preserve">ue) a émis la norme </w:t>
      </w:r>
      <w:r w:rsidRPr="00A54FCF">
        <w:t>NFPA 2010</w:t>
      </w:r>
      <w:r>
        <w:t> : Systèmes fixes de lutte contre l</w:t>
      </w:r>
      <w:r w:rsidR="00EF7D6C">
        <w:t>’</w:t>
      </w:r>
      <w:r>
        <w:t>incendie par aérosols, qui régit cette technologie.</w:t>
      </w:r>
      <w:r w:rsidRPr="005857F6">
        <w:t xml:space="preserve"> </w:t>
      </w:r>
      <w:r w:rsidRPr="00A54FCF">
        <w:t xml:space="preserve">Selon </w:t>
      </w:r>
      <w:r>
        <w:t xml:space="preserve">la norme </w:t>
      </w:r>
      <w:r w:rsidRPr="00A54FCF">
        <w:t xml:space="preserve">NFPA 2010, les produits correspondant à cette </w:t>
      </w:r>
      <w:r>
        <w:t>catégorie spécifique sont répertoriés en tant qu</w:t>
      </w:r>
      <w:r w:rsidR="00EF7D6C">
        <w:t>’</w:t>
      </w:r>
      <w:r>
        <w:t>agents « aérosols condensés »</w:t>
      </w:r>
      <w:r w:rsidRPr="00A54FCF">
        <w:t xml:space="preserve">. </w:t>
      </w:r>
      <w:r w:rsidRPr="00064A06">
        <w:t>Un « </w:t>
      </w:r>
      <w:r>
        <w:t>a</w:t>
      </w:r>
      <w:r w:rsidRPr="00064A06">
        <w:t xml:space="preserve">érosol condensé » se définit comme un </w:t>
      </w:r>
      <w:r>
        <w:t>moyen</w:t>
      </w:r>
      <w:r w:rsidRPr="00064A06">
        <w:t xml:space="preserve"> d</w:t>
      </w:r>
      <w:r w:rsidR="00EF7D6C">
        <w:t>’</w:t>
      </w:r>
      <w:r w:rsidRPr="00064A06">
        <w:t>extinction composé de particules solides divisées en fines unités</w:t>
      </w:r>
      <w:r>
        <w:t>, en général d</w:t>
      </w:r>
      <w:r w:rsidR="00EF7D6C">
        <w:t>’</w:t>
      </w:r>
      <w:r>
        <w:t xml:space="preserve">un diamètre inférieur à </w:t>
      </w:r>
      <w:r w:rsidRPr="00064A06">
        <w:t>10 microns</w:t>
      </w:r>
      <w:r>
        <w:t>, et d</w:t>
      </w:r>
      <w:r w:rsidR="00EF7D6C">
        <w:t>’</w:t>
      </w:r>
      <w:r>
        <w:t>une matière gazeuse, générée par un processus de combustion d</w:t>
      </w:r>
      <w:r w:rsidR="00EF7D6C">
        <w:t>’</w:t>
      </w:r>
      <w:r>
        <w:t>un composé solide produisant des aérosols</w:t>
      </w:r>
      <w:r w:rsidRPr="00064A06">
        <w:t xml:space="preserve">. </w:t>
      </w:r>
      <w:r w:rsidRPr="00016ACC">
        <w:t xml:space="preserve">Les particules solides </w:t>
      </w:r>
      <w:r>
        <w:t>d</w:t>
      </w:r>
      <w:r w:rsidR="00EF7D6C">
        <w:t>’</w:t>
      </w:r>
      <w:r>
        <w:t>extinction d</w:t>
      </w:r>
      <w:r w:rsidR="00EF7D6C">
        <w:t>’</w:t>
      </w:r>
      <w:r w:rsidRPr="00016ACC">
        <w:t xml:space="preserve">incendie qui sont dispersées par </w:t>
      </w:r>
      <w:r>
        <w:t>l</w:t>
      </w:r>
      <w:r w:rsidR="00EF7D6C">
        <w:t>’</w:t>
      </w:r>
      <w:r>
        <w:t>appareil ne forment pas une « fumée »</w:t>
      </w:r>
      <w:r w:rsidRPr="00016ACC">
        <w:t xml:space="preserve"> </w:t>
      </w:r>
      <w:r>
        <w:t>combustible résultant d</w:t>
      </w:r>
      <w:r w:rsidR="00EF7D6C">
        <w:t>’</w:t>
      </w:r>
      <w:r>
        <w:t xml:space="preserve">une combustion </w:t>
      </w:r>
      <w:r>
        <w:lastRenderedPageBreak/>
        <w:t>pyrotechnique classique ou d</w:t>
      </w:r>
      <w:r w:rsidR="00EF7D6C">
        <w:t>’</w:t>
      </w:r>
      <w:r>
        <w:t xml:space="preserve">une explosion ; ce sont des sels de métaux alcalins comme le carbonate de potassium </w:t>
      </w:r>
      <w:r w:rsidRPr="00016ACC">
        <w:t>K</w:t>
      </w:r>
      <w:r w:rsidRPr="00016ACC">
        <w:rPr>
          <w:vertAlign w:val="subscript"/>
        </w:rPr>
        <w:t>2</w:t>
      </w:r>
      <w:r w:rsidRPr="00016ACC">
        <w:t>CO</w:t>
      </w:r>
      <w:r w:rsidRPr="00016ACC">
        <w:rPr>
          <w:vertAlign w:val="subscript"/>
        </w:rPr>
        <w:t>3</w:t>
      </w:r>
      <w:r w:rsidRPr="00016ACC">
        <w:t xml:space="preserve"> </w:t>
      </w:r>
      <w:r>
        <w:t xml:space="preserve">et le </w:t>
      </w:r>
      <w:r w:rsidRPr="00016ACC">
        <w:t xml:space="preserve">bicarbonate </w:t>
      </w:r>
      <w:r>
        <w:t xml:space="preserve">de potassium </w:t>
      </w:r>
      <w:r w:rsidRPr="00016ACC">
        <w:t>KHCO</w:t>
      </w:r>
      <w:r w:rsidRPr="00016ACC">
        <w:rPr>
          <w:vertAlign w:val="subscript"/>
        </w:rPr>
        <w:t>3</w:t>
      </w:r>
      <w:r w:rsidRPr="00016ACC">
        <w:t xml:space="preserve">. </w:t>
      </w:r>
      <w:r w:rsidRPr="000965DC">
        <w:t>L</w:t>
      </w:r>
      <w:r w:rsidR="00EF7D6C">
        <w:t>’</w:t>
      </w:r>
      <w:r w:rsidRPr="000965DC">
        <w:t xml:space="preserve">aérosol </w:t>
      </w:r>
      <w:r>
        <w:t>extincteur</w:t>
      </w:r>
      <w:r w:rsidRPr="000965DC">
        <w:t xml:space="preserve"> d</w:t>
      </w:r>
      <w:r w:rsidR="00EF7D6C">
        <w:t>’</w:t>
      </w:r>
      <w:r w:rsidRPr="000965DC">
        <w:t>incendie éteint le</w:t>
      </w:r>
      <w:r>
        <w:t>s flammes par contact des microparticules avec la flamme, déclenchant un système d</w:t>
      </w:r>
      <w:r w:rsidR="00EF7D6C">
        <w:t>’</w:t>
      </w:r>
      <w:r>
        <w:t>extinction par saturation</w:t>
      </w:r>
      <w:r w:rsidRPr="0001639C">
        <w:t xml:space="preserve">. </w:t>
      </w:r>
      <w:r w:rsidRPr="0029417F">
        <w:t>La décomposition thermique de la particule d</w:t>
      </w:r>
      <w:r w:rsidR="00EF7D6C">
        <w:t>’</w:t>
      </w:r>
      <w:r w:rsidRPr="0029417F">
        <w:t>aérosol à base de potassium arrête le processus de combustion produisant la f</w:t>
      </w:r>
      <w:r>
        <w:t>lamme lorsque le radical de potassium est libéré de la particule d</w:t>
      </w:r>
      <w:r w:rsidR="00EF7D6C">
        <w:t>’</w:t>
      </w:r>
      <w:r>
        <w:t xml:space="preserve">aérosol et se lie aux radicaux libres de la flamme. </w:t>
      </w:r>
      <w:r w:rsidRPr="00E85B27">
        <w:t>Cette réaction en continu entre les aérosols formant un nuage dense autour de la flamme prive celle-ci</w:t>
      </w:r>
      <w:r>
        <w:t xml:space="preserve"> des radicaux libres impliqués dans le processus de combustion, ce qui provoque l</w:t>
      </w:r>
      <w:r w:rsidR="00EF7D6C">
        <w:t>’</w:t>
      </w:r>
      <w:r>
        <w:t>étouffement, puis l</w:t>
      </w:r>
      <w:r w:rsidR="00EF7D6C">
        <w:t>’</w:t>
      </w:r>
      <w:r>
        <w:t>extinction de la flamme.</w:t>
      </w:r>
      <w:r w:rsidRPr="00E85B27">
        <w:t xml:space="preserve"> </w:t>
      </w:r>
      <w:r w:rsidRPr="00781734">
        <w:t>En d</w:t>
      </w:r>
      <w:r w:rsidR="00EF7D6C">
        <w:t>’</w:t>
      </w:r>
      <w:r w:rsidRPr="00781734">
        <w:t>autres termes, cet agent suppresseur d</w:t>
      </w:r>
      <w:r>
        <w:t>u</w:t>
      </w:r>
      <w:r w:rsidRPr="00781734">
        <w:t xml:space="preserve"> feu </w:t>
      </w:r>
      <w:r>
        <w:t>inhibe</w:t>
      </w:r>
      <w:r w:rsidRPr="00781734">
        <w:t xml:space="preserve"> l</w:t>
      </w:r>
      <w:r>
        <w:t>es</w:t>
      </w:r>
      <w:r w:rsidRPr="00781734">
        <w:t xml:space="preserve"> ré</w:t>
      </w:r>
      <w:r>
        <w:t>actions chimiques en chaîne qui alimentent la combustion et la flamme.</w:t>
      </w:r>
    </w:p>
    <w:p w14:paraId="15BD13D9" w14:textId="77777777" w:rsidR="00646378" w:rsidRPr="008305CC" w:rsidRDefault="00646378" w:rsidP="00646378">
      <w:pPr>
        <w:pStyle w:val="SingleTxtG"/>
        <w:kinsoku/>
        <w:overflowPunct/>
        <w:autoSpaceDE/>
        <w:autoSpaceDN/>
        <w:adjustRightInd/>
        <w:snapToGrid/>
        <w:rPr>
          <w:szCs w:val="24"/>
        </w:rPr>
      </w:pPr>
      <w:r>
        <w:rPr>
          <w:szCs w:val="24"/>
        </w:rPr>
        <w:t>3</w:t>
      </w:r>
      <w:r w:rsidRPr="008305CC">
        <w:rPr>
          <w:szCs w:val="24"/>
        </w:rPr>
        <w:t>.</w:t>
      </w:r>
      <w:r w:rsidRPr="008305CC">
        <w:rPr>
          <w:szCs w:val="24"/>
        </w:rPr>
        <w:tab/>
      </w:r>
      <w:r w:rsidRPr="00781734">
        <w:rPr>
          <w:szCs w:val="24"/>
        </w:rPr>
        <w:t xml:space="preserve">Les produits suppresseurs de feu sont des </w:t>
      </w:r>
      <w:r>
        <w:rPr>
          <w:szCs w:val="24"/>
        </w:rPr>
        <w:t xml:space="preserve">appareils et non des substances, qui peuvent être considérés comme des dispositifs de sécurité. </w:t>
      </w:r>
      <w:r w:rsidRPr="00F00AC2">
        <w:rPr>
          <w:szCs w:val="24"/>
        </w:rPr>
        <w:t xml:space="preserve">Ils ne sont pas conçus pour avoir un effet explosif </w:t>
      </w:r>
      <w:r>
        <w:rPr>
          <w:szCs w:val="24"/>
        </w:rPr>
        <w:t>ou</w:t>
      </w:r>
      <w:r w:rsidRPr="00F00AC2">
        <w:rPr>
          <w:szCs w:val="24"/>
        </w:rPr>
        <w:t xml:space="preserve"> pyrotechnique et ont donc été </w:t>
      </w:r>
      <w:r>
        <w:rPr>
          <w:szCs w:val="24"/>
        </w:rPr>
        <w:t>approuvés par le Département des transports des États-Unis d</w:t>
      </w:r>
      <w:r w:rsidR="00EF7D6C">
        <w:rPr>
          <w:szCs w:val="24"/>
        </w:rPr>
        <w:t>’</w:t>
      </w:r>
      <w:r>
        <w:rPr>
          <w:szCs w:val="24"/>
        </w:rPr>
        <w:t xml:space="preserve">Amérique </w:t>
      </w:r>
      <w:r w:rsidRPr="00F00AC2">
        <w:rPr>
          <w:szCs w:val="24"/>
        </w:rPr>
        <w:t xml:space="preserve">(US DOT) </w:t>
      </w:r>
      <w:r>
        <w:rPr>
          <w:szCs w:val="24"/>
        </w:rPr>
        <w:t>selon le classement</w:t>
      </w:r>
      <w:r w:rsidRPr="00F00AC2">
        <w:rPr>
          <w:szCs w:val="24"/>
        </w:rPr>
        <w:t xml:space="preserve"> DOT-SP</w:t>
      </w:r>
      <w:r>
        <w:rPr>
          <w:szCs w:val="24"/>
        </w:rPr>
        <w:t xml:space="preserve"> (Dispositions spéciales)</w:t>
      </w:r>
      <w:r w:rsidRPr="00F00AC2">
        <w:rPr>
          <w:szCs w:val="24"/>
        </w:rPr>
        <w:t xml:space="preserve"> 20600 </w:t>
      </w:r>
      <w:r>
        <w:rPr>
          <w:szCs w:val="24"/>
        </w:rPr>
        <w:t xml:space="preserve">pour le transport en tant que Dispositifs de sécurité (No ONU </w:t>
      </w:r>
      <w:r w:rsidRPr="00F00AC2">
        <w:rPr>
          <w:szCs w:val="24"/>
        </w:rPr>
        <w:t>3268</w:t>
      </w:r>
      <w:r>
        <w:rPr>
          <w:szCs w:val="24"/>
        </w:rPr>
        <w:t>)</w:t>
      </w:r>
      <w:r w:rsidRPr="00F00AC2">
        <w:rPr>
          <w:szCs w:val="24"/>
        </w:rPr>
        <w:t xml:space="preserve">. </w:t>
      </w:r>
      <w:r w:rsidRPr="00FB2059">
        <w:rPr>
          <w:szCs w:val="24"/>
        </w:rPr>
        <w:t>Le DOT les a approuvés en tant que dispositifs de sécurité sur la base des éléments techniques et des données des essais communiqués et en se fondant sur le fait q</w:t>
      </w:r>
      <w:r>
        <w:rPr>
          <w:szCs w:val="24"/>
        </w:rPr>
        <w:t>u</w:t>
      </w:r>
      <w:r w:rsidR="00EF7D6C">
        <w:rPr>
          <w:szCs w:val="24"/>
        </w:rPr>
        <w:t>’</w:t>
      </w:r>
      <w:r>
        <w:rPr>
          <w:szCs w:val="24"/>
        </w:rPr>
        <w:t xml:space="preserve">ils sont soumis aux épreuves </w:t>
      </w:r>
      <w:r w:rsidRPr="00FB2059">
        <w:rPr>
          <w:szCs w:val="24"/>
        </w:rPr>
        <w:t>6</w:t>
      </w:r>
      <w:r>
        <w:rPr>
          <w:szCs w:val="24"/>
        </w:rPr>
        <w:t xml:space="preserve"> </w:t>
      </w:r>
      <w:r w:rsidRPr="00FB2059">
        <w:rPr>
          <w:szCs w:val="24"/>
        </w:rPr>
        <w:t xml:space="preserve">c) </w:t>
      </w:r>
      <w:r>
        <w:rPr>
          <w:szCs w:val="24"/>
        </w:rPr>
        <w:t xml:space="preserve">de la première partie </w:t>
      </w:r>
      <w:r w:rsidRPr="00D63C70">
        <w:rPr>
          <w:szCs w:val="24"/>
        </w:rPr>
        <w:t>du Manuel d</w:t>
      </w:r>
      <w:r w:rsidR="00EF7D6C">
        <w:rPr>
          <w:szCs w:val="24"/>
        </w:rPr>
        <w:t>’</w:t>
      </w:r>
      <w:r w:rsidRPr="00D63C70">
        <w:rPr>
          <w:szCs w:val="24"/>
        </w:rPr>
        <w:t>épreuves et de critères</w:t>
      </w:r>
      <w:r>
        <w:rPr>
          <w:szCs w:val="24"/>
        </w:rPr>
        <w:t xml:space="preserve"> </w:t>
      </w:r>
      <w:r w:rsidRPr="00FB2059">
        <w:rPr>
          <w:szCs w:val="24"/>
        </w:rPr>
        <w:t>sans qu</w:t>
      </w:r>
      <w:r w:rsidR="00EF7D6C">
        <w:rPr>
          <w:szCs w:val="24"/>
        </w:rPr>
        <w:t>’</w:t>
      </w:r>
      <w:r w:rsidRPr="00FB2059">
        <w:rPr>
          <w:szCs w:val="24"/>
        </w:rPr>
        <w:t>il soit observé d</w:t>
      </w:r>
      <w:r w:rsidR="00EF7D6C">
        <w:rPr>
          <w:szCs w:val="24"/>
        </w:rPr>
        <w:t>’</w:t>
      </w:r>
      <w:r w:rsidRPr="00FB2059">
        <w:rPr>
          <w:szCs w:val="24"/>
        </w:rPr>
        <w:t>explosion du dispositif, de fragmentation de l</w:t>
      </w:r>
      <w:r w:rsidR="00EF7D6C">
        <w:rPr>
          <w:szCs w:val="24"/>
        </w:rPr>
        <w:t>’</w:t>
      </w:r>
      <w:r w:rsidRPr="00FB2059">
        <w:rPr>
          <w:szCs w:val="24"/>
        </w:rPr>
        <w:t>enveloppe du dispositif ou du récipient à pression, ni de risque de projection ou d</w:t>
      </w:r>
      <w:r w:rsidR="00EF7D6C">
        <w:rPr>
          <w:szCs w:val="24"/>
        </w:rPr>
        <w:t>’</w:t>
      </w:r>
      <w:r w:rsidRPr="00FB2059">
        <w:rPr>
          <w:szCs w:val="24"/>
        </w:rPr>
        <w:t>effet thermique qui puissent entraver notablement les activités de lutte contre l</w:t>
      </w:r>
      <w:r w:rsidR="00EF7D6C">
        <w:rPr>
          <w:szCs w:val="24"/>
        </w:rPr>
        <w:t>’</w:t>
      </w:r>
      <w:r w:rsidRPr="00FB2059">
        <w:rPr>
          <w:szCs w:val="24"/>
        </w:rPr>
        <w:t>incendie ou autres interventions d</w:t>
      </w:r>
      <w:r w:rsidR="00EF7D6C">
        <w:rPr>
          <w:szCs w:val="24"/>
        </w:rPr>
        <w:t>’</w:t>
      </w:r>
      <w:r w:rsidRPr="00FB2059">
        <w:rPr>
          <w:szCs w:val="24"/>
        </w:rPr>
        <w:t>urgence au voisinage immédiat. Bien qu</w:t>
      </w:r>
      <w:r w:rsidR="00EF7D6C">
        <w:rPr>
          <w:szCs w:val="24"/>
        </w:rPr>
        <w:t>’</w:t>
      </w:r>
      <w:r w:rsidRPr="00FB2059">
        <w:rPr>
          <w:szCs w:val="24"/>
        </w:rPr>
        <w:t xml:space="preserve">ils soient utilisés comme dispositifs de sécurité dans les véhicules, ils ont </w:t>
      </w:r>
      <w:r>
        <w:rPr>
          <w:szCs w:val="24"/>
        </w:rPr>
        <w:t xml:space="preserve">de nombreuses autres utilisations qui remettent parfois en cause leur désignation sous le No ONU </w:t>
      </w:r>
      <w:r w:rsidRPr="00FB2059">
        <w:rPr>
          <w:szCs w:val="24"/>
        </w:rPr>
        <w:t xml:space="preserve">3268 </w:t>
      </w:r>
      <w:r>
        <w:rPr>
          <w:szCs w:val="24"/>
        </w:rPr>
        <w:t xml:space="preserve">et la disposition spéciale </w:t>
      </w:r>
      <w:r w:rsidRPr="00FB2059">
        <w:rPr>
          <w:szCs w:val="24"/>
        </w:rPr>
        <w:t>280</w:t>
      </w:r>
      <w:r>
        <w:rPr>
          <w:szCs w:val="24"/>
        </w:rPr>
        <w:t xml:space="preserve"> qui s</w:t>
      </w:r>
      <w:r w:rsidR="00EF7D6C">
        <w:rPr>
          <w:szCs w:val="24"/>
        </w:rPr>
        <w:t>’</w:t>
      </w:r>
      <w:r>
        <w:rPr>
          <w:szCs w:val="24"/>
        </w:rPr>
        <w:t>applique aux véhicules, bateaux ou aéronefs</w:t>
      </w:r>
      <w:r w:rsidRPr="00FB2059">
        <w:rPr>
          <w:szCs w:val="24"/>
        </w:rPr>
        <w:t xml:space="preserve">. </w:t>
      </w:r>
      <w:r w:rsidRPr="008305CC">
        <w:rPr>
          <w:szCs w:val="24"/>
        </w:rPr>
        <w:t>Les expéditeurs de ces appareils ont rencontré des difficul</w:t>
      </w:r>
      <w:r>
        <w:rPr>
          <w:szCs w:val="24"/>
        </w:rPr>
        <w:t>tés pour expédier leurs articles à l</w:t>
      </w:r>
      <w:r w:rsidR="00EF7D6C">
        <w:rPr>
          <w:szCs w:val="24"/>
        </w:rPr>
        <w:t>’</w:t>
      </w:r>
      <w:r>
        <w:rPr>
          <w:szCs w:val="24"/>
        </w:rPr>
        <w:t>étranger en raison des incertitudes liées à la classification de ceux-ci</w:t>
      </w:r>
      <w:r w:rsidRPr="008305CC">
        <w:rPr>
          <w:szCs w:val="24"/>
        </w:rPr>
        <w:t xml:space="preserve">.  </w:t>
      </w:r>
    </w:p>
    <w:p w14:paraId="11AF22E8" w14:textId="77777777" w:rsidR="00646378" w:rsidRPr="005F038C" w:rsidRDefault="00646378" w:rsidP="00646378">
      <w:pPr>
        <w:pStyle w:val="H1G"/>
      </w:pPr>
      <w:bookmarkStart w:id="0" w:name="_Toc17122256"/>
      <w:r w:rsidRPr="008305CC">
        <w:tab/>
      </w:r>
      <w:r w:rsidRPr="008305CC">
        <w:tab/>
      </w:r>
      <w:r>
        <w:t>D</w:t>
      </w:r>
      <w:r w:rsidRPr="005F038C">
        <w:t xml:space="preserve">escription </w:t>
      </w:r>
      <w:bookmarkEnd w:id="0"/>
      <w:r>
        <w:t>et fonctionnement du dispositif</w:t>
      </w:r>
    </w:p>
    <w:p w14:paraId="06DAE52B" w14:textId="77777777" w:rsidR="00646378" w:rsidRPr="00492A62" w:rsidRDefault="00646378" w:rsidP="00646378">
      <w:pPr>
        <w:pStyle w:val="SingleTxtG"/>
      </w:pPr>
      <w:r>
        <w:t>4</w:t>
      </w:r>
      <w:r w:rsidRPr="00492A62">
        <w:t>.</w:t>
      </w:r>
      <w:r w:rsidRPr="00492A62">
        <w:tab/>
        <w:t>Le dispositif peut être enclenché SEULEMENT lorsqu</w:t>
      </w:r>
      <w:r w:rsidR="00EF7D6C">
        <w:t>’</w:t>
      </w:r>
      <w:r w:rsidRPr="00492A62">
        <w:t xml:space="preserve">il est </w:t>
      </w:r>
      <w:r>
        <w:t xml:space="preserve">incorporé dans un système complet. </w:t>
      </w:r>
      <w:r w:rsidRPr="00492A62">
        <w:t>Il y a deux façons possibles de le mettre en</w:t>
      </w:r>
      <w:r>
        <w:t xml:space="preserve"> marche </w:t>
      </w:r>
      <w:r w:rsidRPr="00492A62">
        <w:t>:</w:t>
      </w:r>
    </w:p>
    <w:p w14:paraId="16964FA8" w14:textId="77777777" w:rsidR="00646378" w:rsidRPr="00DB6A59" w:rsidRDefault="00646378" w:rsidP="00B72A39">
      <w:pPr>
        <w:pStyle w:val="SingleTxtG"/>
        <w:ind w:left="2268" w:hanging="567"/>
      </w:pPr>
      <w:r w:rsidRPr="00DB6A59">
        <w:t>a)</w:t>
      </w:r>
      <w:r w:rsidRPr="00DB6A59">
        <w:tab/>
      </w:r>
      <w:r w:rsidRPr="00211960">
        <w:t xml:space="preserve">Activation électrique. </w:t>
      </w:r>
      <w:r w:rsidRPr="00DB6A59">
        <w:t>Un activateur électrique est placé au centre de la « pastille » et est amorcé électriquement à partir d</w:t>
      </w:r>
      <w:r w:rsidR="00EF7D6C">
        <w:t>’</w:t>
      </w:r>
      <w:r w:rsidRPr="00DB6A59">
        <w:t>une boîte ou d</w:t>
      </w:r>
      <w:r w:rsidR="00EF7D6C">
        <w:t>’</w:t>
      </w:r>
      <w:r w:rsidRPr="00DB6A59">
        <w:t>un panneau de cont</w:t>
      </w:r>
      <w:r>
        <w:t>rôle</w:t>
      </w:r>
      <w:r w:rsidRPr="00DB6A59">
        <w:t>. En général, le panneau de contrôle interprète le signal d</w:t>
      </w:r>
      <w:r w:rsidR="00EF7D6C">
        <w:t>’</w:t>
      </w:r>
      <w:r w:rsidRPr="00DB6A59">
        <w:t xml:space="preserve">un </w:t>
      </w:r>
      <w:r>
        <w:t>dispositif</w:t>
      </w:r>
      <w:r w:rsidRPr="00DB6A59">
        <w:t xml:space="preserve"> de </w:t>
      </w:r>
      <w:r>
        <w:t xml:space="preserve">détection des </w:t>
      </w:r>
      <w:proofErr w:type="gramStart"/>
      <w:r>
        <w:t xml:space="preserve">incendies </w:t>
      </w:r>
      <w:r w:rsidRPr="00DB6A59">
        <w:t xml:space="preserve"> (</w:t>
      </w:r>
      <w:proofErr w:type="gramEnd"/>
      <w:r>
        <w:t xml:space="preserve">actionné par la </w:t>
      </w:r>
      <w:r w:rsidRPr="00DB6A59">
        <w:t>flam</w:t>
      </w:r>
      <w:r>
        <w:t>me</w:t>
      </w:r>
      <w:r w:rsidRPr="00DB6A59">
        <w:t xml:space="preserve">, </w:t>
      </w:r>
      <w:r>
        <w:t>la fumée ou la chaleur</w:t>
      </w:r>
      <w:r w:rsidRPr="00DB6A59">
        <w:t xml:space="preserve">), </w:t>
      </w:r>
      <w:r>
        <w:t>puis déclenche l</w:t>
      </w:r>
      <w:r w:rsidR="00EF7D6C">
        <w:t>’</w:t>
      </w:r>
      <w:r>
        <w:t>allumeur électrique.</w:t>
      </w:r>
    </w:p>
    <w:p w14:paraId="1F7A99E1" w14:textId="77777777" w:rsidR="00646378" w:rsidRPr="00492A62" w:rsidRDefault="00646378" w:rsidP="00646378">
      <w:pPr>
        <w:pStyle w:val="SingleTxtG"/>
        <w:spacing w:before="120"/>
        <w:jc w:val="left"/>
        <w:rPr>
          <w:b/>
          <w:bCs/>
          <w:szCs w:val="24"/>
        </w:rPr>
      </w:pPr>
      <w:r w:rsidRPr="00646378">
        <w:rPr>
          <w:bCs/>
          <w:szCs w:val="24"/>
        </w:rPr>
        <w:t>Figure I</w:t>
      </w:r>
      <w:r w:rsidRPr="00646378">
        <w:rPr>
          <w:bCs/>
          <w:szCs w:val="24"/>
        </w:rPr>
        <w:br/>
      </w:r>
      <w:r w:rsidRPr="00492A62">
        <w:rPr>
          <w:b/>
          <w:bCs/>
          <w:szCs w:val="24"/>
        </w:rPr>
        <w:t>Composants types du généra</w:t>
      </w:r>
      <w:r>
        <w:rPr>
          <w:b/>
          <w:bCs/>
          <w:szCs w:val="24"/>
        </w:rPr>
        <w:t>teur d</w:t>
      </w:r>
      <w:r w:rsidR="00EF7D6C">
        <w:rPr>
          <w:b/>
          <w:bCs/>
          <w:szCs w:val="24"/>
        </w:rPr>
        <w:t>’</w:t>
      </w:r>
      <w:r>
        <w:rPr>
          <w:b/>
          <w:bCs/>
          <w:szCs w:val="24"/>
        </w:rPr>
        <w:t>aérosols</w:t>
      </w:r>
    </w:p>
    <w:p w14:paraId="3D6E08E8" w14:textId="77777777" w:rsidR="00646378" w:rsidRPr="005F038C" w:rsidRDefault="00646378" w:rsidP="00646378">
      <w:pPr>
        <w:jc w:val="center"/>
        <w:rPr>
          <w:szCs w:val="24"/>
        </w:rPr>
      </w:pPr>
      <w:r w:rsidRPr="005F038C">
        <w:rPr>
          <w:noProof/>
          <w:szCs w:val="24"/>
        </w:rPr>
        <mc:AlternateContent>
          <mc:Choice Requires="wpg">
            <w:drawing>
              <wp:anchor distT="0" distB="0" distL="114300" distR="114300" simplePos="0" relativeHeight="251667968" behindDoc="0" locked="0" layoutInCell="1" allowOverlap="1" wp14:anchorId="2421E914" wp14:editId="43F75FFC">
                <wp:simplePos x="0" y="0"/>
                <wp:positionH relativeFrom="column">
                  <wp:posOffset>822960</wp:posOffset>
                </wp:positionH>
                <wp:positionV relativeFrom="paragraph">
                  <wp:posOffset>268605</wp:posOffset>
                </wp:positionV>
                <wp:extent cx="3592286" cy="1362076"/>
                <wp:effectExtent l="0" t="0" r="27305" b="28575"/>
                <wp:wrapNone/>
                <wp:docPr id="23" name="Group 23"/>
                <wp:cNvGraphicFramePr/>
                <a:graphic xmlns:a="http://schemas.openxmlformats.org/drawingml/2006/main">
                  <a:graphicData uri="http://schemas.microsoft.com/office/word/2010/wordprocessingGroup">
                    <wpg:wgp>
                      <wpg:cNvGrpSpPr/>
                      <wpg:grpSpPr>
                        <a:xfrm>
                          <a:off x="0" y="0"/>
                          <a:ext cx="3592286" cy="1362076"/>
                          <a:chOff x="0" y="0"/>
                          <a:chExt cx="3592286" cy="1362076"/>
                        </a:xfrm>
                      </wpg:grpSpPr>
                      <wps:wsp>
                        <wps:cNvPr id="16" name="Text Box 2"/>
                        <wps:cNvSpPr txBox="1">
                          <a:spLocks noChangeArrowheads="1"/>
                        </wps:cNvSpPr>
                        <wps:spPr bwMode="auto">
                          <a:xfrm>
                            <a:off x="0" y="76200"/>
                            <a:ext cx="822960" cy="561975"/>
                          </a:xfrm>
                          <a:prstGeom prst="rect">
                            <a:avLst/>
                          </a:prstGeom>
                          <a:solidFill>
                            <a:srgbClr val="FFFFFF"/>
                          </a:solidFill>
                          <a:ln w="9525">
                            <a:solidFill>
                              <a:srgbClr val="000000"/>
                            </a:solidFill>
                            <a:miter lim="800000"/>
                            <a:headEnd/>
                            <a:tailEnd/>
                          </a:ln>
                        </wps:spPr>
                        <wps:txbx>
                          <w:txbxContent>
                            <w:p w14:paraId="7A17604B" w14:textId="77777777" w:rsidR="00646378" w:rsidRPr="00946B20" w:rsidRDefault="00646378" w:rsidP="00646378">
                              <w:pPr>
                                <w:jc w:val="center"/>
                              </w:pPr>
                              <w:r>
                                <w:t>Cavité pour la pastille aérosol</w:t>
                              </w:r>
                            </w:p>
                          </w:txbxContent>
                        </wps:txbx>
                        <wps:bodyPr rot="0" vert="horz" wrap="square" lIns="91440" tIns="45720" rIns="91440" bIns="45720" anchor="t" anchorCtr="0">
                          <a:noAutofit/>
                        </wps:bodyPr>
                      </wps:wsp>
                      <wps:wsp>
                        <wps:cNvPr id="20" name="Text Box 2"/>
                        <wps:cNvSpPr txBox="1">
                          <a:spLocks noChangeArrowheads="1"/>
                        </wps:cNvSpPr>
                        <wps:spPr bwMode="auto">
                          <a:xfrm>
                            <a:off x="13063" y="887916"/>
                            <a:ext cx="822960" cy="474160"/>
                          </a:xfrm>
                          <a:prstGeom prst="rect">
                            <a:avLst/>
                          </a:prstGeom>
                          <a:solidFill>
                            <a:srgbClr val="FFFFFF"/>
                          </a:solidFill>
                          <a:ln w="9525">
                            <a:solidFill>
                              <a:srgbClr val="000000"/>
                            </a:solidFill>
                            <a:miter lim="800000"/>
                            <a:headEnd/>
                            <a:tailEnd/>
                          </a:ln>
                        </wps:spPr>
                        <wps:txbx>
                          <w:txbxContent>
                            <w:p w14:paraId="4A48B5B2" w14:textId="77777777" w:rsidR="00646378" w:rsidRPr="00946B20" w:rsidRDefault="00646378" w:rsidP="00646378">
                              <w:pPr>
                                <w:jc w:val="center"/>
                              </w:pPr>
                              <w:r>
                                <w:t>Générateur d’aérosols</w:t>
                              </w:r>
                            </w:p>
                          </w:txbxContent>
                        </wps:txbx>
                        <wps:bodyPr rot="0" vert="horz" wrap="square" lIns="91440" tIns="45720" rIns="91440" bIns="45720" anchor="t" anchorCtr="0">
                          <a:noAutofit/>
                        </wps:bodyPr>
                      </wps:wsp>
                      <wps:wsp>
                        <wps:cNvPr id="21" name="Text Box 2"/>
                        <wps:cNvSpPr txBox="1">
                          <a:spLocks noChangeArrowheads="1"/>
                        </wps:cNvSpPr>
                        <wps:spPr bwMode="auto">
                          <a:xfrm>
                            <a:off x="2743200" y="0"/>
                            <a:ext cx="822960" cy="418011"/>
                          </a:xfrm>
                          <a:prstGeom prst="rect">
                            <a:avLst/>
                          </a:prstGeom>
                          <a:solidFill>
                            <a:srgbClr val="FFFFFF"/>
                          </a:solidFill>
                          <a:ln w="9525">
                            <a:solidFill>
                              <a:srgbClr val="000000"/>
                            </a:solidFill>
                            <a:miter lim="800000"/>
                            <a:headEnd/>
                            <a:tailEnd/>
                          </a:ln>
                        </wps:spPr>
                        <wps:txbx>
                          <w:txbxContent>
                            <w:p w14:paraId="5FCC8BEA" w14:textId="77777777" w:rsidR="00646378" w:rsidRPr="00946B20" w:rsidRDefault="00646378" w:rsidP="00646378">
                              <w:pPr>
                                <w:jc w:val="center"/>
                              </w:pPr>
                              <w:r>
                                <w:t>Allumeur électrique</w:t>
                              </w:r>
                            </w:p>
                          </w:txbxContent>
                        </wps:txbx>
                        <wps:bodyPr rot="0" vert="horz" wrap="square" lIns="91440" tIns="45720" rIns="91440" bIns="45720" anchor="t" anchorCtr="0">
                          <a:noAutofit/>
                        </wps:bodyPr>
                      </wps:wsp>
                      <wps:wsp>
                        <wps:cNvPr id="22" name="Text Box 2"/>
                        <wps:cNvSpPr txBox="1">
                          <a:spLocks noChangeArrowheads="1"/>
                        </wps:cNvSpPr>
                        <wps:spPr bwMode="auto">
                          <a:xfrm>
                            <a:off x="2769326" y="587828"/>
                            <a:ext cx="822960" cy="418011"/>
                          </a:xfrm>
                          <a:prstGeom prst="rect">
                            <a:avLst/>
                          </a:prstGeom>
                          <a:solidFill>
                            <a:srgbClr val="FFFFFF"/>
                          </a:solidFill>
                          <a:ln w="9525">
                            <a:solidFill>
                              <a:srgbClr val="000000"/>
                            </a:solidFill>
                            <a:miter lim="800000"/>
                            <a:headEnd/>
                            <a:tailEnd/>
                          </a:ln>
                        </wps:spPr>
                        <wps:txbx>
                          <w:txbxContent>
                            <w:p w14:paraId="0CB97FC2" w14:textId="77777777" w:rsidR="00646378" w:rsidRPr="00946B20" w:rsidRDefault="00646378" w:rsidP="00646378">
                              <w:pPr>
                                <w:jc w:val="center"/>
                              </w:pPr>
                              <w:r>
                                <w:t>Pastille aérosol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421E914" id="Group 23" o:spid="_x0000_s1026" style="position:absolute;left:0;text-align:left;margin-left:64.8pt;margin-top:21.15pt;width:282.85pt;height:107.25pt;z-index:251667968;mso-height-relative:margin" coordsize="35922,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sBBwMAAMUNAAAOAAAAZHJzL2Uyb0RvYy54bWzsV9tu2zAMfR+wfxD0vtpWEtsx6hRdbxjQ&#10;bQXafYAiyxfMljxJid19/SjZuaztOqDDgACtHxRRF4o8PGKo45O+qdGaK11JkeLgyMeICyazShQp&#10;/nZ3+SHGSBsqMlpLwVN8zzU+Wbx/d9y1CSeylHXGFQIlQiddm+LSmDbxPM1K3lB9JFsuYDKXqqEG&#10;RFV4maIdaG9qj/h+6HVSZa2SjGsNo+fDJF44/XnOmfma55obVKcYbDOuVa5d2tZbHNOkULQtKzaa&#10;QV9gRUMrAYduVZ1TQ9FKVY9UNRVTUsvcHDHZeDLPK8adD+BN4D/w5krJVet8KZKuaLcwAbQPcHqx&#10;WvZlfaNQlaWYTDAStIEYuWMRyABO1xYJrLlS7W17o8aBYpCsv32uGvsLnqDewXq/hZX3BjEYnMzm&#10;hMQhRgzmgklI/CgcgGclROfRPlZe/GWntznYs/ZtzelaIJHe4aT/Dafbkrbcwa8tBiNOATgy4HRn&#10;Hfwoe0QGpNwqCxMyPQyDr44Sur2W7LtGQp6VVBT8VCnZlZxmYF5gd4IT260WcZ1oq2TZfZYZhIOu&#10;jHSKnsQ6AjhHGm/wjgmZh0B2C/csDObRzJ2ywYwmrdLmissG2U6KFdwSdwBdX2tjDdotsbHVsq6y&#10;y6qunaCK5Vmt0JrCjbp036j9t2W1QF2K5zMyGzD4owrffU+paCoDqaGumhTH20U0schdiAzMpImh&#10;VT30weRajFBa9AYcTb/sHWd1spTZPYCq5JACIGVBp5TqJ0YdXP8U6x8rqjhG9ScBgZkH06nNF06Y&#10;ziICgtqfWe7PUMFAVYoNRkP3zLgcY20U8hQCmFcOWBvcwZLRVqDrYOp/56314CB4G0z8EHINkDOO&#10;ozlcJxfKp8g7jaYBEHlg5Ib9r4q8LjO7JLFjzmvmcHAgHCbRdGLzrmXxM9l3GsR+MOT4V5p9h9LC&#10;XuE3AtsiixwMgcP5hEApY2uEOIpJ/EwafmOxLZDHenjzB36YadgVxPBWcEXc+K6xj5F92ZUeu9fX&#10;4hcAAAD//wMAUEsDBBQABgAIAAAAIQDL+JSE4AAAAAoBAAAPAAAAZHJzL2Rvd25yZXYueG1sTI/B&#10;aoNAEIbvhb7DMoHemlVTJTGuIYS2p1BoUii9bXSiEndW3I2at+/01NzmZz7++SbbTKYVA/ausaQg&#10;nAcgkApbNlQp+Dq+PS9BOK+p1K0lVHBDB5v88SHTaWlH+sTh4CvBJeRSraD2vkuldEWNRru57ZB4&#10;d7a90Z5jX8my1yOXm1ZGQZBIoxviC7XucFdjcTlcjYL3UY/bRfg67C/n3e3nGH9870NU6mk2bdcg&#10;PE7+H4Y/fVaHnJ1O9kqlEy3naJUwquAlWoBgIFnFPJwURHGyBJln8v6F/BcAAP//AwBQSwECLQAU&#10;AAYACAAAACEAtoM4kv4AAADhAQAAEwAAAAAAAAAAAAAAAAAAAAAAW0NvbnRlbnRfVHlwZXNdLnht&#10;bFBLAQItABQABgAIAAAAIQA4/SH/1gAAAJQBAAALAAAAAAAAAAAAAAAAAC8BAABfcmVscy8ucmVs&#10;c1BLAQItABQABgAIAAAAIQBtl6sBBwMAAMUNAAAOAAAAAAAAAAAAAAAAAC4CAABkcnMvZTJvRG9j&#10;LnhtbFBLAQItABQABgAIAAAAIQDL+JSE4AAAAAoBAAAPAAAAAAAAAAAAAAAAAGEFAABkcnMvZG93&#10;bnJldi54bWxQSwUGAAAAAAQABADzAAAAbgYAAAAA&#10;">
                <v:shapetype id="_x0000_t202" coordsize="21600,21600" o:spt="202" path="m,l,21600r21600,l21600,xe">
                  <v:stroke joinstyle="miter"/>
                  <v:path gradientshapeok="t" o:connecttype="rect"/>
                </v:shapetype>
                <v:shape id="_x0000_s1027" type="#_x0000_t202" style="position:absolute;top:762;width:822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7A17604B" w14:textId="77777777" w:rsidR="00646378" w:rsidRPr="00946B20" w:rsidRDefault="00646378" w:rsidP="00646378">
                        <w:pPr>
                          <w:jc w:val="center"/>
                        </w:pPr>
                        <w:r>
                          <w:t>Cavité pour la pastille aérosol</w:t>
                        </w:r>
                      </w:p>
                    </w:txbxContent>
                  </v:textbox>
                </v:shape>
                <v:shape id="_x0000_s1028" type="#_x0000_t202" style="position:absolute;left:130;top:8879;width:8230;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4A48B5B2" w14:textId="77777777" w:rsidR="00646378" w:rsidRPr="00946B20" w:rsidRDefault="00646378" w:rsidP="00646378">
                        <w:pPr>
                          <w:jc w:val="center"/>
                        </w:pPr>
                        <w:r>
                          <w:t>Générateur d’aérosols</w:t>
                        </w:r>
                      </w:p>
                    </w:txbxContent>
                  </v:textbox>
                </v:shape>
                <v:shape id="_x0000_s1029" type="#_x0000_t202" style="position:absolute;left:27432;width:8229;height: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FCC8BEA" w14:textId="77777777" w:rsidR="00646378" w:rsidRPr="00946B20" w:rsidRDefault="00646378" w:rsidP="00646378">
                        <w:pPr>
                          <w:jc w:val="center"/>
                        </w:pPr>
                        <w:r>
                          <w:t>Allumeur électrique</w:t>
                        </w:r>
                      </w:p>
                    </w:txbxContent>
                  </v:textbox>
                </v:shape>
                <v:shape id="_x0000_s1030" type="#_x0000_t202" style="position:absolute;left:27693;top:5878;width:8229;height: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0CB97FC2" w14:textId="77777777" w:rsidR="00646378" w:rsidRPr="00946B20" w:rsidRDefault="00646378" w:rsidP="00646378">
                        <w:pPr>
                          <w:jc w:val="center"/>
                        </w:pPr>
                        <w:r>
                          <w:t>Pastille aérosol</w:t>
                        </w:r>
                      </w:p>
                    </w:txbxContent>
                  </v:textbox>
                </v:shape>
              </v:group>
            </w:pict>
          </mc:Fallback>
        </mc:AlternateContent>
      </w:r>
      <w:r w:rsidRPr="005F038C">
        <w:rPr>
          <w:noProof/>
          <w:szCs w:val="24"/>
        </w:rPr>
        <w:drawing>
          <wp:inline distT="0" distB="0" distL="0" distR="0" wp14:anchorId="042A1779" wp14:editId="5DD33706">
            <wp:extent cx="2795270" cy="181546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270" cy="1815465"/>
                    </a:xfrm>
                    <a:prstGeom prst="rect">
                      <a:avLst/>
                    </a:prstGeom>
                    <a:noFill/>
                    <a:ln>
                      <a:noFill/>
                    </a:ln>
                  </pic:spPr>
                </pic:pic>
              </a:graphicData>
            </a:graphic>
          </wp:inline>
        </w:drawing>
      </w:r>
    </w:p>
    <w:p w14:paraId="415880A7" w14:textId="77777777" w:rsidR="00646378" w:rsidRDefault="00646378" w:rsidP="00646378">
      <w:pPr>
        <w:pStyle w:val="SingleTxtG"/>
        <w:ind w:left="1701"/>
        <w:rPr>
          <w:szCs w:val="24"/>
        </w:rPr>
      </w:pPr>
      <w:r w:rsidRPr="006C2C5F">
        <w:rPr>
          <w:szCs w:val="24"/>
        </w:rPr>
        <w:t xml:space="preserve">On voit sur la figure I les éléments qui </w:t>
      </w:r>
      <w:r>
        <w:rPr>
          <w:szCs w:val="24"/>
        </w:rPr>
        <w:t>composent habituellement le générateur d</w:t>
      </w:r>
      <w:r w:rsidR="00EF7D6C">
        <w:rPr>
          <w:szCs w:val="24"/>
        </w:rPr>
        <w:t>’</w:t>
      </w:r>
      <w:r>
        <w:rPr>
          <w:szCs w:val="24"/>
        </w:rPr>
        <w:t xml:space="preserve">aérosols. </w:t>
      </w:r>
      <w:r w:rsidRPr="006C2C5F">
        <w:rPr>
          <w:szCs w:val="24"/>
        </w:rPr>
        <w:t>L</w:t>
      </w:r>
      <w:r w:rsidR="00EF7D6C">
        <w:rPr>
          <w:szCs w:val="24"/>
        </w:rPr>
        <w:t>’</w:t>
      </w:r>
      <w:r w:rsidRPr="006C2C5F">
        <w:rPr>
          <w:szCs w:val="24"/>
        </w:rPr>
        <w:t xml:space="preserve">activateur électrique est </w:t>
      </w:r>
      <w:r>
        <w:rPr>
          <w:szCs w:val="24"/>
        </w:rPr>
        <w:t>installé par le haut de l</w:t>
      </w:r>
      <w:r w:rsidR="00EF7D6C">
        <w:rPr>
          <w:szCs w:val="24"/>
        </w:rPr>
        <w:t>’</w:t>
      </w:r>
      <w:r>
        <w:rPr>
          <w:szCs w:val="24"/>
        </w:rPr>
        <w:t>appareil</w:t>
      </w:r>
      <w:r w:rsidRPr="006C2C5F">
        <w:rPr>
          <w:szCs w:val="24"/>
        </w:rPr>
        <w:t xml:space="preserve"> et </w:t>
      </w:r>
      <w:r>
        <w:rPr>
          <w:szCs w:val="24"/>
        </w:rPr>
        <w:t>inséré dans la pastille aérosol. Il</w:t>
      </w:r>
      <w:r w:rsidRPr="00F21EFE">
        <w:rPr>
          <w:szCs w:val="24"/>
        </w:rPr>
        <w:t xml:space="preserve"> est constitué d</w:t>
      </w:r>
      <w:r w:rsidR="00EF7D6C">
        <w:rPr>
          <w:szCs w:val="24"/>
        </w:rPr>
        <w:t>’</w:t>
      </w:r>
      <w:r w:rsidRPr="00F21EFE">
        <w:rPr>
          <w:szCs w:val="24"/>
        </w:rPr>
        <w:t>un allumeur électrique et d</w:t>
      </w:r>
      <w:r w:rsidR="00EF7D6C">
        <w:rPr>
          <w:szCs w:val="24"/>
        </w:rPr>
        <w:t>’</w:t>
      </w:r>
      <w:r>
        <w:rPr>
          <w:szCs w:val="24"/>
        </w:rPr>
        <w:t xml:space="preserve">une capsule molle </w:t>
      </w:r>
      <w:bookmarkStart w:id="1" w:name="_GoBack"/>
      <w:bookmarkEnd w:id="1"/>
      <w:r>
        <w:rPr>
          <w:szCs w:val="24"/>
        </w:rPr>
        <w:t>remplie d</w:t>
      </w:r>
      <w:r w:rsidR="00EF7D6C">
        <w:rPr>
          <w:szCs w:val="24"/>
        </w:rPr>
        <w:t>’</w:t>
      </w:r>
      <w:r>
        <w:rPr>
          <w:szCs w:val="24"/>
        </w:rPr>
        <w:t>une petite quantité de poudre explosive</w:t>
      </w:r>
      <w:r w:rsidRPr="00F21EFE">
        <w:rPr>
          <w:szCs w:val="24"/>
        </w:rPr>
        <w:t xml:space="preserve">. </w:t>
      </w:r>
      <w:r w:rsidRPr="00504DC3">
        <w:rPr>
          <w:szCs w:val="24"/>
        </w:rPr>
        <w:t>L</w:t>
      </w:r>
      <w:r w:rsidR="00EF7D6C">
        <w:rPr>
          <w:szCs w:val="24"/>
        </w:rPr>
        <w:t>’</w:t>
      </w:r>
      <w:r w:rsidRPr="00504DC3">
        <w:rPr>
          <w:szCs w:val="24"/>
        </w:rPr>
        <w:t xml:space="preserve">activateur électrique est mis en court-circuit et stocké sous le couvercle de protection </w:t>
      </w:r>
      <w:r>
        <w:rPr>
          <w:szCs w:val="24"/>
        </w:rPr>
        <w:t>pour l</w:t>
      </w:r>
      <w:r w:rsidR="00EF7D6C">
        <w:rPr>
          <w:szCs w:val="24"/>
        </w:rPr>
        <w:t>’</w:t>
      </w:r>
      <w:r>
        <w:rPr>
          <w:szCs w:val="24"/>
        </w:rPr>
        <w:t>expédition, comme indiqué sur la f</w:t>
      </w:r>
      <w:r w:rsidRPr="00C92CF8">
        <w:rPr>
          <w:szCs w:val="24"/>
        </w:rPr>
        <w:t xml:space="preserve">igure II. </w:t>
      </w:r>
      <w:r>
        <w:rPr>
          <w:szCs w:val="24"/>
        </w:rPr>
        <w:t>Il ne peut être connecté à</w:t>
      </w:r>
      <w:r w:rsidRPr="00C92CF8">
        <w:rPr>
          <w:szCs w:val="24"/>
        </w:rPr>
        <w:t xml:space="preserve"> aucune charge électrique pendant </w:t>
      </w:r>
      <w:r w:rsidRPr="00C92CF8">
        <w:rPr>
          <w:szCs w:val="24"/>
        </w:rPr>
        <w:lastRenderedPageBreak/>
        <w:t>l</w:t>
      </w:r>
      <w:r w:rsidR="00EF7D6C">
        <w:rPr>
          <w:szCs w:val="24"/>
        </w:rPr>
        <w:t>’</w:t>
      </w:r>
      <w:r w:rsidRPr="00C92CF8">
        <w:rPr>
          <w:szCs w:val="24"/>
        </w:rPr>
        <w:t>expédition. Dans ce scénario, le plus grand activateur él</w:t>
      </w:r>
      <w:r>
        <w:rPr>
          <w:szCs w:val="24"/>
        </w:rPr>
        <w:t xml:space="preserve">ectrique contient environ </w:t>
      </w:r>
      <w:r w:rsidRPr="00C92CF8">
        <w:rPr>
          <w:szCs w:val="24"/>
        </w:rPr>
        <w:t>4</w:t>
      </w:r>
      <w:r>
        <w:rPr>
          <w:szCs w:val="24"/>
        </w:rPr>
        <w:t>,</w:t>
      </w:r>
      <w:r w:rsidRPr="00C92CF8">
        <w:rPr>
          <w:szCs w:val="24"/>
        </w:rPr>
        <w:t>4</w:t>
      </w:r>
      <w:r>
        <w:rPr>
          <w:szCs w:val="24"/>
        </w:rPr>
        <w:t> </w:t>
      </w:r>
      <w:r w:rsidRPr="00C92CF8">
        <w:rPr>
          <w:szCs w:val="24"/>
        </w:rPr>
        <w:t>gram</w:t>
      </w:r>
      <w:r>
        <w:rPr>
          <w:szCs w:val="24"/>
        </w:rPr>
        <w:t>mes</w:t>
      </w:r>
      <w:r w:rsidRPr="00C92CF8">
        <w:rPr>
          <w:szCs w:val="24"/>
        </w:rPr>
        <w:t xml:space="preserve"> </w:t>
      </w:r>
      <w:r>
        <w:rPr>
          <w:szCs w:val="24"/>
        </w:rPr>
        <w:t>de poudre explosive.</w:t>
      </w:r>
    </w:p>
    <w:p w14:paraId="7B4C4E5F" w14:textId="77777777" w:rsidR="00646378" w:rsidRPr="00BE40CB" w:rsidRDefault="00646378" w:rsidP="00646378">
      <w:pPr>
        <w:pStyle w:val="SingleTxtG"/>
        <w:spacing w:before="120"/>
        <w:jc w:val="left"/>
        <w:rPr>
          <w:b/>
          <w:bCs/>
          <w:szCs w:val="24"/>
        </w:rPr>
      </w:pPr>
      <w:r w:rsidRPr="00646378">
        <w:rPr>
          <w:bCs/>
          <w:szCs w:val="24"/>
        </w:rPr>
        <w:t>Figure II</w:t>
      </w:r>
      <w:r w:rsidRPr="00646378">
        <w:rPr>
          <w:bCs/>
          <w:szCs w:val="24"/>
        </w:rPr>
        <w:br/>
      </w:r>
      <w:r w:rsidRPr="00BE40CB">
        <w:rPr>
          <w:b/>
          <w:bCs/>
          <w:szCs w:val="24"/>
        </w:rPr>
        <w:t xml:space="preserve">Activateur électrique installé. Fils </w:t>
      </w:r>
      <w:r>
        <w:rPr>
          <w:b/>
          <w:bCs/>
          <w:szCs w:val="24"/>
        </w:rPr>
        <w:t>connecteurs</w:t>
      </w:r>
      <w:r w:rsidRPr="00BE40CB">
        <w:rPr>
          <w:b/>
          <w:bCs/>
          <w:szCs w:val="24"/>
        </w:rPr>
        <w:t xml:space="preserve"> enroulés et mis en court-circuit avant l</w:t>
      </w:r>
      <w:r w:rsidR="00EF7D6C">
        <w:rPr>
          <w:b/>
          <w:bCs/>
          <w:szCs w:val="24"/>
        </w:rPr>
        <w:t>’</w:t>
      </w:r>
      <w:r w:rsidRPr="00BE40CB">
        <w:rPr>
          <w:b/>
          <w:bCs/>
          <w:szCs w:val="24"/>
        </w:rPr>
        <w:t>installation du co</w:t>
      </w:r>
      <w:r>
        <w:rPr>
          <w:b/>
          <w:bCs/>
          <w:szCs w:val="24"/>
        </w:rPr>
        <w:t>uvercle de protection</w:t>
      </w:r>
      <w:r w:rsidRPr="00BE40CB">
        <w:rPr>
          <w:b/>
          <w:bCs/>
          <w:szCs w:val="24"/>
        </w:rPr>
        <w:t xml:space="preserve"> </w:t>
      </w:r>
    </w:p>
    <w:p w14:paraId="39678C32" w14:textId="77777777" w:rsidR="00646378" w:rsidRPr="005F038C" w:rsidRDefault="00646378" w:rsidP="00176FD9">
      <w:pPr>
        <w:spacing w:before="120" w:after="120"/>
        <w:ind w:left="720"/>
        <w:jc w:val="center"/>
        <w:rPr>
          <w:szCs w:val="24"/>
        </w:rPr>
      </w:pPr>
      <w:r w:rsidRPr="005F038C">
        <w:rPr>
          <w:noProof/>
          <w:szCs w:val="24"/>
        </w:rPr>
        <mc:AlternateContent>
          <mc:Choice Requires="wps">
            <w:drawing>
              <wp:anchor distT="0" distB="0" distL="114300" distR="114300" simplePos="0" relativeHeight="251663872" behindDoc="0" locked="0" layoutInCell="1" allowOverlap="1" wp14:anchorId="0AF2D89E" wp14:editId="216CED68">
                <wp:simplePos x="0" y="0"/>
                <wp:positionH relativeFrom="column">
                  <wp:posOffset>1489709</wp:posOffset>
                </wp:positionH>
                <wp:positionV relativeFrom="paragraph">
                  <wp:posOffset>71755</wp:posOffset>
                </wp:positionV>
                <wp:extent cx="813435" cy="419100"/>
                <wp:effectExtent l="0" t="0" r="2476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19100"/>
                        </a:xfrm>
                        <a:prstGeom prst="rect">
                          <a:avLst/>
                        </a:prstGeom>
                        <a:solidFill>
                          <a:srgbClr val="FFFFFF"/>
                        </a:solidFill>
                        <a:ln w="9525">
                          <a:solidFill>
                            <a:srgbClr val="000000"/>
                          </a:solidFill>
                          <a:miter lim="800000"/>
                          <a:headEnd/>
                          <a:tailEnd/>
                        </a:ln>
                      </wps:spPr>
                      <wps:txbx>
                        <w:txbxContent>
                          <w:p w14:paraId="60149284" w14:textId="77777777" w:rsidR="00646378" w:rsidRPr="00946B20" w:rsidRDefault="00646378" w:rsidP="00646378">
                            <w:pPr>
                              <w:jc w:val="center"/>
                            </w:pPr>
                            <w:r>
                              <w:t>Avant la fin de l’assemblage</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2D89E" id="Text Box 2" o:spid="_x0000_s1031" type="#_x0000_t202" style="position:absolute;left:0;text-align:left;margin-left:117.3pt;margin-top:5.65pt;width:64.05pt;height: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nCIgIAAEQEAAAOAAAAZHJzL2Uyb0RvYy54bWysU9tuGyEQfa/Uf0C813uJ3SQrr6PUqatK&#10;6UVK+gEsy3pRgaGAvZt+fQbWdq20fanKAxqG4TBzzszyZtSK7IXzEkxNi1lOiTAcWmm2Nf32uHlz&#10;RYkPzLRMgRE1fRKe3qxev1oOthIl9KBa4QiCGF8NtqZ9CLbKMs97oZmfgRUGLztwmgU8um3WOjYg&#10;ulZZmedvswFcax1w4T1676ZLukr4XSd4+NJ1XgSiaoq5hbS7tDdxz1ZLVm0ds73khzTYP2ShmTT4&#10;6QnqjgVGdk7+BqUld+ChCzMOOoOuk1ykGrCaIn9RzUPPrEi1IDnenmjy/w+Wf95/dUS2NS2LS0oM&#10;0yjSoxgDeQcjKSM/g/UVhj1YDAwjulHnVKu398C/e2Jg3TOzFbfOwdAL1mJ+RXyZnT2dcHwEaYZP&#10;0OI3bBcgAY2d05E8pIMgOur0dNImpsLReVVczC8WlHC8mhfXRZ60y1h1fGydDx8EaBKNmjqUPoGz&#10;/b0PMRlWHUPiXx6UbDdSqXRw22atHNkzbJNNWin/F2HKkKGm14tyMdX/V4g8rT9BaBmw35XUWNEp&#10;iFWRtfemTd0YmFSTjSkrc6AxMjdxGMZmTIrNj+o00D4hrw6m9sZxRKMH95OSAVu7pv7HjjlBifpo&#10;UJs4B8mYLy5LPLijtzn3MsMRoqaBkslchzQ3kS8Dt6hdJxOvUeQpg0Oq2KqJ7sNYxVk4P6eoX8O/&#10;egYAAP//AwBQSwMEFAAGAAgAAAAhAKxBn3ffAAAACQEAAA8AAABkcnMvZG93bnJldi54bWxMj11L&#10;xDAQRd8F/0MYwZfFTT+WVmrTRRYEUVywCr5O27EpNklpst367x2f9HG4h3vPlPvVjGKh2Q/OKoi3&#10;EQiyresG2yt4f3u4uQXhA9oOR2dJwTd52FeXFyUWnTvbV1rq0Asusb5ABTqEqZDSt5oM+q2byHL2&#10;6WaDgc+5l92MZy43o0yiKJMGB8sLGic6aGq/6pNRsPiwiR8x/qhfpid9aNpmszs+K3V9td7fgQi0&#10;hj8YfvVZHSp2atzJdl6MCpJ0lzHKQZyCYCDNkhxEoyDPU5BVKf9/UP0AAAD//wMAUEsBAi0AFAAG&#10;AAgAAAAhALaDOJL+AAAA4QEAABMAAAAAAAAAAAAAAAAAAAAAAFtDb250ZW50X1R5cGVzXS54bWxQ&#10;SwECLQAUAAYACAAAACEAOP0h/9YAAACUAQAACwAAAAAAAAAAAAAAAAAvAQAAX3JlbHMvLnJlbHNQ&#10;SwECLQAUAAYACAAAACEAgjJ5wiICAABEBAAADgAAAAAAAAAAAAAAAAAuAgAAZHJzL2Uyb0RvYy54&#10;bWxQSwECLQAUAAYACAAAACEArEGfd98AAAAJAQAADwAAAAAAAAAAAAAAAAB8BAAAZHJzL2Rvd25y&#10;ZXYueG1sUEsFBgAAAAAEAAQA8wAAAIgFAAAAAA==&#10;">
                <v:textbox inset="0,,0">
                  <w:txbxContent>
                    <w:p w14:paraId="60149284" w14:textId="77777777" w:rsidR="00646378" w:rsidRPr="00946B20" w:rsidRDefault="00646378" w:rsidP="00646378">
                      <w:pPr>
                        <w:jc w:val="center"/>
                      </w:pPr>
                      <w:r>
                        <w:t>Avant la fin de l’assemblage</w:t>
                      </w:r>
                    </w:p>
                  </w:txbxContent>
                </v:textbox>
              </v:shape>
            </w:pict>
          </mc:Fallback>
        </mc:AlternateContent>
      </w:r>
      <w:r w:rsidRPr="005F038C">
        <w:rPr>
          <w:noProof/>
          <w:szCs w:val="24"/>
        </w:rPr>
        <mc:AlternateContent>
          <mc:Choice Requires="wps">
            <w:drawing>
              <wp:anchor distT="0" distB="0" distL="114300" distR="114300" simplePos="0" relativeHeight="251665920" behindDoc="0" locked="0" layoutInCell="1" allowOverlap="1" wp14:anchorId="6ADC779C" wp14:editId="26E58ACB">
                <wp:simplePos x="0" y="0"/>
                <wp:positionH relativeFrom="column">
                  <wp:posOffset>2297430</wp:posOffset>
                </wp:positionH>
                <wp:positionV relativeFrom="paragraph">
                  <wp:posOffset>331833</wp:posOffset>
                </wp:positionV>
                <wp:extent cx="613954" cy="182880"/>
                <wp:effectExtent l="0" t="0" r="34290" b="26670"/>
                <wp:wrapNone/>
                <wp:docPr id="13" name="Straight Connector 13"/>
                <wp:cNvGraphicFramePr/>
                <a:graphic xmlns:a="http://schemas.openxmlformats.org/drawingml/2006/main">
                  <a:graphicData uri="http://schemas.microsoft.com/office/word/2010/wordprocessingShape">
                    <wps:wsp>
                      <wps:cNvCnPr/>
                      <wps:spPr>
                        <a:xfrm>
                          <a:off x="0" y="0"/>
                          <a:ext cx="613954"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A800C" id="Straight Connector 13"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80.9pt,26.15pt" to="229.2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Tf1gEAAAkEAAAOAAAAZHJzL2Uyb0RvYy54bWysU02P0zAQvSPxHyzft2m6sCpR0z10tVwQ&#10;VCz8AK8zbiz5S2PTpP+esdOmK0BCoL04GXvem3nP4839aA07AkbtXcvrxZIzcNJ32h1a/v3b482a&#10;s5iE64TxDlp+gsjvt2/fbIbQwMr33nSAjEhcbIbQ8j6l0FRVlD1YERc+gKND5dGKRCEeqg7FQOzW&#10;VKvl8q4aPHYBvYQYafdhOuTbwq8UyPRFqQiJmZZTb6msWNbnvFbbjWgOKEKv5bkN8R9dWKEdFZ2p&#10;HkQS7Afq36isluijV2khva28UlpC0UBq6uUvap56EaBoIXNimG2Kr0crPx/3yHRHd3fLmROW7ugp&#10;odCHPrGdd44c9MjokJwaQmwIsHN7PEcx7DHLHhXa/CVBbCzunmZ3YUxM0uZdffvh/TvOJB3V69V6&#10;XdyvruCAMX0Eb1n+abnRLosXjTh+iokKUuolJW8bl9foje4etTElyGMDO4PsKOjC01jntgn3Ioui&#10;jKyymKn98pdOBibWr6DIEGq4LtXLKF45hZTg0oXXOMrOMEUdzMDl34Hn/AyFMqb/Ap4RpbJ3aQZb&#10;7Tz+qfrVCjXlXxyYdGcLnn13KhdbrKF5K86d30Ye6JdxgV9f8PYnAAAA//8DAFBLAwQUAAYACAAA&#10;ACEAuBRKaN8AAAAJAQAADwAAAGRycy9kb3ducmV2LnhtbEyPMW+DMBSE90r9D9aL1K0xJAEhiomq&#10;ql2qLtAM7ebgF4yCnwk2gf77ulMznu50912xX0zPrji6zpKAeB0BQ2qs6qgVcPh8e8yAOS9Jyd4S&#10;CvhBB/vy/q6QubIzVXitfctCCblcCtDeDznnrtFopFvbASl4Jzsa6YMcW65GOYdy0/NNFKXcyI7C&#10;gpYDvmhszvVkBLxfPtxhl1av1dclq+fv06Rbi0I8rJbnJ2AeF/8fhj/8gA5lYDraiZRjvYBtGgd0&#10;LyDZbIGFwC7JEmBHAVkcAy8Lfvug/AUAAP//AwBQSwECLQAUAAYACAAAACEAtoM4kv4AAADhAQAA&#10;EwAAAAAAAAAAAAAAAAAAAAAAW0NvbnRlbnRfVHlwZXNdLnhtbFBLAQItABQABgAIAAAAIQA4/SH/&#10;1gAAAJQBAAALAAAAAAAAAAAAAAAAAC8BAABfcmVscy8ucmVsc1BLAQItABQABgAIAAAAIQCh0oTf&#10;1gEAAAkEAAAOAAAAAAAAAAAAAAAAAC4CAABkcnMvZTJvRG9jLnhtbFBLAQItABQABgAIAAAAIQC4&#10;FEpo3wAAAAkBAAAPAAAAAAAAAAAAAAAAADAEAABkcnMvZG93bnJldi54bWxQSwUGAAAAAAQABADz&#10;AAAAPAUAAAAA&#10;" strokecolor="black [3213]"/>
            </w:pict>
          </mc:Fallback>
        </mc:AlternateContent>
      </w:r>
      <w:r w:rsidRPr="005F038C">
        <w:rPr>
          <w:noProof/>
          <w:szCs w:val="24"/>
        </w:rPr>
        <w:drawing>
          <wp:inline distT="0" distB="0" distL="0" distR="0" wp14:anchorId="4F0A4F9C" wp14:editId="599CE08C">
            <wp:extent cx="876300"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123950"/>
                    </a:xfrm>
                    <a:prstGeom prst="rect">
                      <a:avLst/>
                    </a:prstGeom>
                    <a:noFill/>
                    <a:ln>
                      <a:noFill/>
                    </a:ln>
                  </pic:spPr>
                </pic:pic>
              </a:graphicData>
            </a:graphic>
          </wp:inline>
        </w:drawing>
      </w:r>
    </w:p>
    <w:p w14:paraId="547A3367" w14:textId="77777777" w:rsidR="00646378" w:rsidRPr="00633F51" w:rsidRDefault="00646378" w:rsidP="00645766">
      <w:pPr>
        <w:pStyle w:val="SingleTxtG"/>
        <w:ind w:left="2268" w:hanging="567"/>
      </w:pPr>
      <w:r w:rsidRPr="00633F51">
        <w:t>b)</w:t>
      </w:r>
      <w:r w:rsidRPr="00633F51">
        <w:tab/>
      </w:r>
      <w:r w:rsidRPr="00211960">
        <w:t xml:space="preserve">Tête </w:t>
      </w:r>
      <w:r>
        <w:t xml:space="preserve">à </w:t>
      </w:r>
      <w:r w:rsidRPr="00211960">
        <w:t xml:space="preserve">activation thermique. </w:t>
      </w:r>
      <w:r w:rsidRPr="009816E7">
        <w:t xml:space="preserve">Les unités à commande thermique sont actionnées UNIQUEMENT par une tête </w:t>
      </w:r>
      <w:r>
        <w:t xml:space="preserve">à </w:t>
      </w:r>
      <w:r w:rsidRPr="009816E7">
        <w:t>activation thermique, fixée au sommet de l</w:t>
      </w:r>
      <w:r w:rsidR="00EF7D6C">
        <w:t>’</w:t>
      </w:r>
      <w:r w:rsidRPr="009816E7">
        <w:t>unité. Ces unités ont des composants intérieurs lég</w:t>
      </w:r>
      <w:r>
        <w:t>è</w:t>
      </w:r>
      <w:r w:rsidRPr="009816E7">
        <w:t xml:space="preserve">rement différents, </w:t>
      </w:r>
      <w:r>
        <w:t>qui déclenchent</w:t>
      </w:r>
      <w:r w:rsidRPr="009816E7">
        <w:t xml:space="preserve"> une activation par un mécanisme </w:t>
      </w:r>
      <w:r>
        <w:t>d</w:t>
      </w:r>
      <w:r w:rsidR="00EF7D6C">
        <w:t>’</w:t>
      </w:r>
      <w:r>
        <w:t xml:space="preserve">impact à ressort, après que les matières thermosensibles ont fondu et actionné le déclencheur. </w:t>
      </w:r>
      <w:r w:rsidRPr="00F36894">
        <w:t xml:space="preserve">La clavette heurte une amorce, qui </w:t>
      </w:r>
      <w:r>
        <w:t>à</w:t>
      </w:r>
      <w:r w:rsidRPr="00F36894">
        <w:t xml:space="preserve"> son tour enflam</w:t>
      </w:r>
      <w:r>
        <w:t>m</w:t>
      </w:r>
      <w:r w:rsidRPr="00F36894">
        <w:t>e un</w:t>
      </w:r>
      <w:r>
        <w:t>e</w:t>
      </w:r>
      <w:r w:rsidRPr="00F36894">
        <w:t xml:space="preserve"> </w:t>
      </w:r>
      <w:proofErr w:type="gramStart"/>
      <w:r w:rsidRPr="00F36894">
        <w:t>petit</w:t>
      </w:r>
      <w:r>
        <w:t>e</w:t>
      </w:r>
      <w:proofErr w:type="gramEnd"/>
      <w:r w:rsidRPr="00F36894">
        <w:t xml:space="preserve"> </w:t>
      </w:r>
      <w:r>
        <w:t>poche contenant de la poudre explosive, déclenchant ainsi la réaction génératrice d</w:t>
      </w:r>
      <w:r w:rsidR="00EF7D6C">
        <w:t>’</w:t>
      </w:r>
      <w:r>
        <w:t>aérosols.</w:t>
      </w:r>
      <w:r w:rsidRPr="00F36894">
        <w:t xml:space="preserve"> </w:t>
      </w:r>
      <w:r w:rsidRPr="00E46D00">
        <w:t>Les plus grandes unités à activation thermique contiennent en</w:t>
      </w:r>
      <w:r>
        <w:t>viron 3,0 grammes de poudre explosive à l</w:t>
      </w:r>
      <w:r w:rsidR="00EF7D6C">
        <w:t>’</w:t>
      </w:r>
      <w:r>
        <w:t xml:space="preserve">intérieur de la poche. </w:t>
      </w:r>
      <w:r w:rsidRPr="00E46D00">
        <w:t xml:space="preserve">Les têtes </w:t>
      </w:r>
      <w:r>
        <w:t xml:space="preserve">à </w:t>
      </w:r>
      <w:r w:rsidRPr="00E46D00">
        <w:t>activation thermique et l</w:t>
      </w:r>
      <w:r w:rsidR="00EF7D6C">
        <w:t>’</w:t>
      </w:r>
      <w:r w:rsidRPr="00E46D00">
        <w:t>unité génératrice d</w:t>
      </w:r>
      <w:r w:rsidR="00EF7D6C">
        <w:t>’</w:t>
      </w:r>
      <w:r w:rsidRPr="00E46D00">
        <w:t>aérosol</w:t>
      </w:r>
      <w:r>
        <w:t>s</w:t>
      </w:r>
      <w:r w:rsidRPr="00E46D00">
        <w:t xml:space="preserve"> sont</w:t>
      </w:r>
      <w:r>
        <w:t xml:space="preserve"> TOUJOURS expédiées séparément.</w:t>
      </w:r>
      <w:r w:rsidRPr="00E46D00">
        <w:t xml:space="preserve"> On voit sur la </w:t>
      </w:r>
      <w:r w:rsidR="00645766">
        <w:t>f</w:t>
      </w:r>
      <w:r w:rsidRPr="00E46D00">
        <w:t xml:space="preserve">igure 3 la tête </w:t>
      </w:r>
      <w:r>
        <w:t xml:space="preserve">à </w:t>
      </w:r>
      <w:r w:rsidRPr="00E46D00">
        <w:t>activation thermique détachée de l</w:t>
      </w:r>
      <w:r w:rsidR="00EF7D6C">
        <w:t>’</w:t>
      </w:r>
      <w:r w:rsidRPr="00E46D00">
        <w:t>appareil (c</w:t>
      </w:r>
      <w:r>
        <w:t>omme pendant l</w:t>
      </w:r>
      <w:r w:rsidR="00EF7D6C">
        <w:t>’</w:t>
      </w:r>
      <w:r>
        <w:t>expédition) et fixée sur le générateur</w:t>
      </w:r>
      <w:r w:rsidRPr="00E46D00">
        <w:t xml:space="preserve"> (</w:t>
      </w:r>
      <w:r>
        <w:t>telle qu</w:t>
      </w:r>
      <w:r w:rsidR="00EF7D6C">
        <w:t>’</w:t>
      </w:r>
      <w:r>
        <w:t>installée sur l</w:t>
      </w:r>
      <w:r w:rsidR="00EF7D6C">
        <w:t>’</w:t>
      </w:r>
      <w:r>
        <w:t>appareil</w:t>
      </w:r>
      <w:r w:rsidRPr="00E46D00">
        <w:t xml:space="preserve">).  </w:t>
      </w:r>
      <w:r w:rsidRPr="00633F51">
        <w:t>L</w:t>
      </w:r>
      <w:r w:rsidR="00EF7D6C">
        <w:t>’</w:t>
      </w:r>
      <w:r w:rsidRPr="00633F51">
        <w:t>amorce est équipée d</w:t>
      </w:r>
      <w:r w:rsidR="00EF7D6C">
        <w:t>’</w:t>
      </w:r>
      <w:r w:rsidRPr="00633F51">
        <w:t xml:space="preserve">un </w:t>
      </w:r>
      <w:r>
        <w:t>bouchon</w:t>
      </w:r>
      <w:r w:rsidRPr="00633F51">
        <w:t xml:space="preserve"> de transport qui la protège contre les chocs accidentels pendan</w:t>
      </w:r>
      <w:r>
        <w:t>t le transport et la manutention.</w:t>
      </w:r>
    </w:p>
    <w:p w14:paraId="6F12DD11" w14:textId="77777777" w:rsidR="00176FD9" w:rsidRDefault="00646378" w:rsidP="00176FD9">
      <w:pPr>
        <w:pStyle w:val="Heading1"/>
      </w:pPr>
      <w:r w:rsidRPr="00633F51">
        <w:t>Figure III</w:t>
      </w:r>
    </w:p>
    <w:p w14:paraId="41B7CF89" w14:textId="22A3713A" w:rsidR="00646378" w:rsidRDefault="00646378" w:rsidP="00176FD9">
      <w:pPr>
        <w:pStyle w:val="Heading1"/>
        <w:rPr>
          <w:b/>
        </w:rPr>
      </w:pPr>
      <w:r w:rsidRPr="00176FD9">
        <w:rPr>
          <w:b/>
        </w:rPr>
        <w:t xml:space="preserve">Photographie de différentes têtes à activation thermique.  Schéma illustrant la façon dont </w:t>
      </w:r>
      <w:r w:rsidR="00F23648">
        <w:rPr>
          <w:b/>
        </w:rPr>
        <w:br/>
      </w:r>
      <w:r w:rsidRPr="00176FD9">
        <w:rPr>
          <w:b/>
        </w:rPr>
        <w:t>le dispositif d</w:t>
      </w:r>
      <w:r w:rsidR="00EF7D6C">
        <w:rPr>
          <w:b/>
        </w:rPr>
        <w:t>’</w:t>
      </w:r>
      <w:r w:rsidRPr="00176FD9">
        <w:rPr>
          <w:b/>
        </w:rPr>
        <w:t>activation thermique est fixé sur le générateur d</w:t>
      </w:r>
      <w:r w:rsidR="00EF7D6C">
        <w:rPr>
          <w:b/>
        </w:rPr>
        <w:t>’</w:t>
      </w:r>
      <w:r w:rsidRPr="00176FD9">
        <w:rPr>
          <w:b/>
        </w:rPr>
        <w:t xml:space="preserve">aérosols AU MOMENT </w:t>
      </w:r>
      <w:r w:rsidR="00F23648">
        <w:rPr>
          <w:b/>
        </w:rPr>
        <w:br/>
      </w:r>
      <w:r w:rsidRPr="00176FD9">
        <w:rPr>
          <w:b/>
        </w:rPr>
        <w:t>de l</w:t>
      </w:r>
      <w:r w:rsidR="00EF7D6C">
        <w:rPr>
          <w:b/>
        </w:rPr>
        <w:t>’</w:t>
      </w:r>
      <w:r w:rsidRPr="00176FD9">
        <w:rPr>
          <w:b/>
        </w:rPr>
        <w:t xml:space="preserve">installation </w:t>
      </w:r>
    </w:p>
    <w:p w14:paraId="43A18613" w14:textId="77777777" w:rsidR="00176FD9" w:rsidRPr="00176FD9" w:rsidRDefault="0040240E" w:rsidP="00176FD9">
      <w:pPr>
        <w:pStyle w:val="SingleTxtG"/>
      </w:pPr>
      <w:r w:rsidRPr="005F038C">
        <w:rPr>
          <w:noProof/>
          <w:szCs w:val="24"/>
          <w:lang w:val="en-US"/>
        </w:rPr>
        <mc:AlternateContent>
          <mc:Choice Requires="wps">
            <w:drawing>
              <wp:anchor distT="0" distB="0" distL="114300" distR="114300" simplePos="0" relativeHeight="251653632" behindDoc="0" locked="0" layoutInCell="1" allowOverlap="1" wp14:anchorId="725F42A2" wp14:editId="4B8C30A5">
                <wp:simplePos x="0" y="0"/>
                <wp:positionH relativeFrom="column">
                  <wp:posOffset>3423285</wp:posOffset>
                </wp:positionH>
                <wp:positionV relativeFrom="paragraph">
                  <wp:posOffset>49530</wp:posOffset>
                </wp:positionV>
                <wp:extent cx="1663700" cy="485775"/>
                <wp:effectExtent l="0" t="0" r="622300" b="314325"/>
                <wp:wrapNone/>
                <wp:docPr id="7" name="Callout: Bent Line 7"/>
                <wp:cNvGraphicFramePr/>
                <a:graphic xmlns:a="http://schemas.openxmlformats.org/drawingml/2006/main">
                  <a:graphicData uri="http://schemas.microsoft.com/office/word/2010/wordprocessingShape">
                    <wps:wsp>
                      <wps:cNvSpPr/>
                      <wps:spPr>
                        <a:xfrm flipH="1">
                          <a:off x="0" y="0"/>
                          <a:ext cx="1663700" cy="485775"/>
                        </a:xfrm>
                        <a:prstGeom prst="borderCallout2">
                          <a:avLst>
                            <a:gd name="adj1" fmla="val 18750"/>
                            <a:gd name="adj2" fmla="val -8333"/>
                            <a:gd name="adj3" fmla="val 18750"/>
                            <a:gd name="adj4" fmla="val -16667"/>
                            <a:gd name="adj5" fmla="val 156838"/>
                            <a:gd name="adj6" fmla="val -3661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40DAC" w14:textId="77777777" w:rsidR="00646378" w:rsidRPr="00633F51" w:rsidRDefault="00646378" w:rsidP="00646378">
                            <w:pPr>
                              <w:jc w:val="center"/>
                              <w:rPr>
                                <w:color w:val="000000" w:themeColor="text1"/>
                              </w:rPr>
                            </w:pPr>
                            <w:r>
                              <w:rPr>
                                <w:color w:val="000000" w:themeColor="text1"/>
                              </w:rPr>
                              <w:t>Tête à activation thermique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42A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 o:spid="_x0000_s1032" type="#_x0000_t48" style="position:absolute;left:0;text-align:left;margin-left:269.55pt;margin-top:3.9pt;width:131pt;height:38.2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gIAAJcGAAAOAAAAZHJzL2Uyb0RvYy54bWysVV1v2yAUfZ+0/4B4Tx3nw8miOlWWqtuk&#10;qq3WTn0mGBomDAxI4uzX74JxYq3ty7Q8WFw4HO499yOXV00t0Z5ZJ7QqcX4xxIgpqiuhXkr84+lm&#10;MMfIeaIqIrViJT4yh6+WHz9cHsyCjfRWy4pZBCTKLQ6mxFvvzSLLHN2ymrgLbZiCQ65tTTyY9iWr&#10;LDkAey2z0XBYZAdtK2M1Zc7B7nV7iJeRn3NG/T3njnkkSwy++fi18bsJ32x5SRYvlpitoMkN8g9e&#10;1EQoePREdU08QTsrXlHVglrtNPcXVNeZ5lxQFmOAaPLhX9E8bolhMRYQx5mTTO7/0dK7/YNFoirx&#10;DCNFakjRmkipd36BPjPl0a1QDM2CTgfjFgB/NA82WQ6WIeiG2xpxKcxXKIEoAwSGmqjy8aQyazyi&#10;sJkXxXg2hGRQOJvMp7PZNNBnLU/gM9b5L0zXKCxKvIEUM5vcGkV+sr91PupdJa9J9TPHiNcS0rcn&#10;EuXz2bRLbw8z6mMG8/F4nEqghxn3Me/wTPqYAYRURI2gAHpE0z4onxbz8fz1a0UfNBgXRR7dBjlS&#10;kLDqBAkRK30jpIx1K1XYcFqKKuxFIzQOW0uLQIQS+yZP2vZQQBhuZiGhbQrjyh8lCxRSfWccSgJS&#10;1Yodm/HMSSiFwmjz7LakYu1T0yH8usc6L2JaI2Fg5uDkiTsRdMiWpONu6yHhw1UWe/l0eRir4B3H&#10;2sunG/Flrfzpci2Utm8RSIgqvdziO5FaaYJKvtk0sV1izYadja6O0EJWt7PFGXojoGxvifMPxEI1&#10;QqXDgPT38OFSH0qs0wqjrba/39oPeOhxOMXoAMOpxO7XjliGkfymoPs/5ZNJmGbRmExnIzBs/2TT&#10;P1G7eq2hGKA/wLu4DHgvuyW3un6GJluFV+GIKApvl5h62xlr3w5NmMSUrVYRBhPMEH+rHg3t+j4U&#10;6lPzTKxJveuh6+90N8hSTbcan7EhQ0qvdl5z4cPhWddkwPSLpZQmdRivfTuizv8nyz8AAAD//wMA&#10;UEsDBBQABgAIAAAAIQDWOZql3gAAAAgBAAAPAAAAZHJzL2Rvd25yZXYueG1sTI9BS8NAEIXvgv9h&#10;GcGb3cS22sZsSrFU8CJaRfA2zU6TaHY2ZDdt/PeOJ73N4z3efC9fja5VR+pD49lAOklAEZfeNlwZ&#10;eHvdXi1AhYhssfVMBr4pwKo4P8sxs/7EL3TcxUpJCYcMDdQxdpnWoazJYZj4jli8g+8dRpF9pW2P&#10;Jyl3rb5OkhvtsGH5UGNH9zWVX7vBGXiaP6w37zNEHD6Xz4fNR7e14dGYy4txfQcq0hj/wvCLL+hQ&#10;CNPeD2yDag3Mp8tUogZuZYH4iyQVvZdjNgVd5Pr/gOIHAAD//wMAUEsBAi0AFAAGAAgAAAAhALaD&#10;OJL+AAAA4QEAABMAAAAAAAAAAAAAAAAAAAAAAFtDb250ZW50X1R5cGVzXS54bWxQSwECLQAUAAYA&#10;CAAAACEAOP0h/9YAAACUAQAACwAAAAAAAAAAAAAAAAAvAQAAX3JlbHMvLnJlbHNQSwECLQAUAAYA&#10;CAAAACEAW/w/s/4CAACXBgAADgAAAAAAAAAAAAAAAAAuAgAAZHJzL2Uyb0RvYy54bWxQSwECLQAU&#10;AAYACAAAACEA1jmapd4AAAAIAQAADwAAAAAAAAAAAAAAAABYBQAAZHJzL2Rvd25yZXYueG1sUEsF&#10;BgAAAAAEAAQA8wAAAGMGAAAAAA==&#10;" adj="-7908,33877" filled="f" strokecolor="black [3213]" strokeweight="2pt">
                <v:textbox>
                  <w:txbxContent>
                    <w:p w14:paraId="5D240DAC" w14:textId="77777777" w:rsidR="00646378" w:rsidRPr="00633F51" w:rsidRDefault="00646378" w:rsidP="00646378">
                      <w:pPr>
                        <w:jc w:val="center"/>
                        <w:rPr>
                          <w:color w:val="000000" w:themeColor="text1"/>
                        </w:rPr>
                      </w:pPr>
                      <w:r>
                        <w:rPr>
                          <w:color w:val="000000" w:themeColor="text1"/>
                        </w:rPr>
                        <w:t>Tête à activation thermique</w:t>
                      </w:r>
                    </w:p>
                  </w:txbxContent>
                </v:textbox>
                <o:callout v:ext="edit" minusy="t"/>
              </v:shape>
            </w:pict>
          </mc:Fallback>
        </mc:AlternateContent>
      </w:r>
    </w:p>
    <w:p w14:paraId="26A14F6F" w14:textId="77777777" w:rsidR="00646378" w:rsidRPr="005F038C" w:rsidRDefault="00646378" w:rsidP="00646378">
      <w:pPr>
        <w:jc w:val="right"/>
        <w:rPr>
          <w:szCs w:val="24"/>
        </w:rPr>
      </w:pPr>
      <w:r w:rsidRPr="005F038C">
        <w:rPr>
          <w:rFonts w:ascii="Arial" w:hAnsi="Arial" w:cs="Arial"/>
          <w:noProof/>
          <w:color w:val="000000"/>
          <w:szCs w:val="24"/>
          <w:lang w:val="en-US"/>
        </w:rPr>
        <mc:AlternateContent>
          <mc:Choice Requires="wps">
            <w:drawing>
              <wp:anchor distT="0" distB="0" distL="114300" distR="114300" simplePos="0" relativeHeight="251657728" behindDoc="0" locked="0" layoutInCell="1" allowOverlap="1" wp14:anchorId="5C330414" wp14:editId="2C3060D0">
                <wp:simplePos x="0" y="0"/>
                <wp:positionH relativeFrom="column">
                  <wp:posOffset>3058972</wp:posOffset>
                </wp:positionH>
                <wp:positionV relativeFrom="paragraph">
                  <wp:posOffset>76885</wp:posOffset>
                </wp:positionV>
                <wp:extent cx="332079" cy="87223"/>
                <wp:effectExtent l="19050" t="19050" r="11430" b="27305"/>
                <wp:wrapNone/>
                <wp:docPr id="10" name="Straight Connector 10"/>
                <wp:cNvGraphicFramePr/>
                <a:graphic xmlns:a="http://schemas.openxmlformats.org/drawingml/2006/main">
                  <a:graphicData uri="http://schemas.microsoft.com/office/word/2010/wordprocessingShape">
                    <wps:wsp>
                      <wps:cNvCnPr/>
                      <wps:spPr>
                        <a:xfrm flipH="1">
                          <a:off x="0" y="0"/>
                          <a:ext cx="332079" cy="8722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5903A" id="Straight Connector 1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85pt,6.05pt" to="26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JGzQEAANcDAAAOAAAAZHJzL2Uyb0RvYy54bWysU12P0zAQfEfiP1h+p0lTHS1R03voCXhA&#10;UHHHD/A5dmNhe621adp/z9rphRMfEkK8RLZ3Zzwz3mxvz86yk8JowHd8uag5U15Cb/yx418e3r7a&#10;cBaT8L2w4FXHLyry293LF9sxtKqBAWyvkBGJj+0YOj6kFNqqinJQTsQFBOWpqAGdSLTFY9WjGInd&#10;2aqp69fVCNgHBKlipNO7qch3hV9rJdMnraNKzHactKXyxfJ9zN9qtxXtEUUYjLzKEP+gwgnj6dKZ&#10;6k4kwb6h+YXKGYkQQaeFBFeB1kaq4oHcLOuf3NwPIqjihcKJYY4p/j9a+fF0QGZ6ejuKxwtHb3Sf&#10;UJjjkNgevKcEARkVKakxxJYAe3/A6y6GA2bbZ42OaWvCeyIqQZA1di45X+ac1TkxSYerVVOv33Am&#10;qbRZN80qk1cTS2YLGNM7BY7lRcet8TkF0YrTh5im1qeWfGw9GzvebG7WN4Uoy5yElVW6WDW1fVaa&#10;rJKASWIZMrW3yE6CxqP/urzqsJ46M0Qba2dQXTT8EXTtzTBVBu9vgXN3uRF8moHOeMDf3ZrOT1L1&#10;1E/xPfOal4/QX8ozlQJNT0n4Oul5PJ/vC/zH/7j7DgAA//8DAFBLAwQUAAYACAAAACEAiHPPY9wA&#10;AAAJAQAADwAAAGRycy9kb3ducmV2LnhtbEyPwU7DMBBE70j8g7VI3KiTtKVRGqcKiBx7IMDdjbdO&#10;RGxHsdu4f89yguNqnmbflIdoRnbF2Q/OCkhXCTC0nVOD1QI+P5qnHJgP0io5OosCbujhUN3flbJQ&#10;brHveG2DZlRifSEF9CFMBee+69FIv3ITWsrObjYy0Dlrrma5ULkZeZYkz9zIwdKHXk742mP33V6M&#10;gK+2brBultvu+KL9Wr1FPRyjEI8Psd4DCxjDHwy/+qQOFTmd3MUqz0YBmzzdEUpBlgIjYLve0LiT&#10;gGybA69K/n9B9QMAAP//AwBQSwECLQAUAAYACAAAACEAtoM4kv4AAADhAQAAEwAAAAAAAAAAAAAA&#10;AAAAAAAAW0NvbnRlbnRfVHlwZXNdLnhtbFBLAQItABQABgAIAAAAIQA4/SH/1gAAAJQBAAALAAAA&#10;AAAAAAAAAAAAAC8BAABfcmVscy8ucmVsc1BLAQItABQABgAIAAAAIQDYrTJGzQEAANcDAAAOAAAA&#10;AAAAAAAAAAAAAC4CAABkcnMvZTJvRG9jLnhtbFBLAQItABQABgAIAAAAIQCIc89j3AAAAAkBAAAP&#10;AAAAAAAAAAAAAAAAACcEAABkcnMvZG93bnJldi54bWxQSwUGAAAAAAQABADzAAAAMAUAAAAA&#10;" strokecolor="black [3040]" strokeweight="2.25pt"/>
            </w:pict>
          </mc:Fallback>
        </mc:AlternateContent>
      </w:r>
      <w:r w:rsidRPr="005F038C">
        <w:rPr>
          <w:rFonts w:ascii="Arial" w:hAnsi="Arial" w:cs="Arial"/>
          <w:noProof/>
          <w:color w:val="000000"/>
          <w:szCs w:val="24"/>
          <w:lang w:val="en-US"/>
        </w:rPr>
        <w:drawing>
          <wp:anchor distT="0" distB="0" distL="114300" distR="114300" simplePos="0" relativeHeight="251655680" behindDoc="0" locked="0" layoutInCell="1" allowOverlap="1" wp14:anchorId="56FED477" wp14:editId="0929CF52">
            <wp:simplePos x="0" y="0"/>
            <wp:positionH relativeFrom="margin">
              <wp:posOffset>2155989</wp:posOffset>
            </wp:positionH>
            <wp:positionV relativeFrom="paragraph">
              <wp:posOffset>423965</wp:posOffset>
            </wp:positionV>
            <wp:extent cx="1351915" cy="634141"/>
            <wp:effectExtent l="0" t="2857" r="0" b="0"/>
            <wp:wrapNone/>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3088" t="20872" r="23442" b="26210"/>
                    <a:stretch/>
                  </pic:blipFill>
                  <pic:spPr bwMode="auto">
                    <a:xfrm rot="5400000">
                      <a:off x="0" y="0"/>
                      <a:ext cx="1351915" cy="634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038C">
        <w:rPr>
          <w:noProof/>
          <w:szCs w:val="24"/>
          <w:lang w:val="en-US"/>
        </w:rPr>
        <mc:AlternateContent>
          <mc:Choice Requires="wps">
            <w:drawing>
              <wp:anchor distT="0" distB="0" distL="114300" distR="114300" simplePos="0" relativeHeight="251650560" behindDoc="0" locked="0" layoutInCell="1" allowOverlap="1" wp14:anchorId="24033A75" wp14:editId="2AE660CA">
                <wp:simplePos x="0" y="0"/>
                <wp:positionH relativeFrom="column">
                  <wp:posOffset>5585612</wp:posOffset>
                </wp:positionH>
                <wp:positionV relativeFrom="paragraph">
                  <wp:posOffset>322503</wp:posOffset>
                </wp:positionV>
                <wp:extent cx="468834" cy="639419"/>
                <wp:effectExtent l="0" t="0" r="26670" b="27940"/>
                <wp:wrapNone/>
                <wp:docPr id="5" name="Oval 5"/>
                <wp:cNvGraphicFramePr/>
                <a:graphic xmlns:a="http://schemas.openxmlformats.org/drawingml/2006/main">
                  <a:graphicData uri="http://schemas.microsoft.com/office/word/2010/wordprocessingShape">
                    <wps:wsp>
                      <wps:cNvSpPr/>
                      <wps:spPr>
                        <a:xfrm>
                          <a:off x="0" y="0"/>
                          <a:ext cx="468834" cy="639419"/>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5E497" id="Oval 5" o:spid="_x0000_s1026" style="position:absolute;margin-left:439.8pt;margin-top:25.4pt;width:36.9pt;height:50.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ydmwIAAIwFAAAOAAAAZHJzL2Uyb0RvYy54bWysVMFu2zAMvQ/YPwi6r3bSpGuMOkXWosOA&#10;oinWDj0rshQbkEVNUuJkXz9Kst1gLXYY5oMsieQjH0Xy6vrQKrIX1jWgSzo5yykRmkPV6G1Jfzzf&#10;fbqkxHmmK6ZAi5IehaPXy48frjpTiCnUoCphCYJoV3SmpLX3psgyx2vRMncGRmgUSrAt83i026yy&#10;rEP0VmXTPL/IOrCVscCFc3h7m4R0GfGlFNyvpXTCE1VSjM3H1cZ1E9ZsecWKrWWmbngfBvuHKFrW&#10;aHQ6Qt0yz8jONm+g2oZbcCD9GYc2AykbLiIHZDPJ/2DzVDMjIhdMjjNjmtz/g+UP+0dLmqqkc0o0&#10;a/GJ1numyDxkpjOuQIUn82j7k8NtoHmQtg1/JEAOMZvHMZvi4AnHy9nF5eX5jBKOoovzxWyyCJjZ&#10;q7Gxzn8V0JKwKalQqjEu8GUF2987n7QHrXCt4a5RCu9ZoTTpsOAW+TyPFg5UUwVpEDq73dwoS5AJ&#10;hpV/CUoJ7UQNI1EaAwosE6+480clkoPvQmJmkMk0eQg1KUZYxrnQfpJENatE8jbP8RucDRaRttII&#10;GJAlRjli9wCDZgIZsFPMvX4wFbGkR+Oe+t+MR4voGbQfjdtGg32PmUJWveekPyQppSZkaQPVEevG&#10;QmooZ/hdg494z5x/ZBY7CHsNp4Jf4yIV4EtBv6OkBvvrvfugj4WNUko67MiSup87ZgUl6pvGkl9M&#10;ZrPQwvEwm3+e4sGeSjanEr1rbwBff4Lzx/C4DfpeDVtpoX3B4bEKXlHENEffJeXeDocbnyYFjh8u&#10;Vquohm1rmL/XT4YH8JDVUKHPhxdmTV/JHlvgAYbufVPNSTdYaljtPMgmlvprXvt8Y8vHwunHU5gp&#10;p+eo9TpEl78BAAD//wMAUEsDBBQABgAIAAAAIQCKafvU4AAAAAoBAAAPAAAAZHJzL2Rvd25yZXYu&#10;eG1sTI9BT4NAEIXvJv6HzZh4swsqtUWWpproTaO0jR637AhEdhbZLVB/veNJj5P58t73stVkWzFg&#10;7xtHCuJZBAKpdKahSsF283CxAOGDJqNbR6jgiB5W+elJplPjRnrFoQiV4BDyqVZQh9ClUvqyRqv9&#10;zHVI/PtwvdWBz76Sptcjh9tWXkbRXFrdEDfUusP7GsvP4mAVDI/D3fv09PX2Epv1dleMeAzfz0qd&#10;n03rWxABp/AHw68+q0POTnt3IONFq2Bxs5wzqiCJeAIDy+TqGsSeySROQOaZ/D8h/wEAAP//AwBQ&#10;SwECLQAUAAYACAAAACEAtoM4kv4AAADhAQAAEwAAAAAAAAAAAAAAAAAAAAAAW0NvbnRlbnRfVHlw&#10;ZXNdLnhtbFBLAQItABQABgAIAAAAIQA4/SH/1gAAAJQBAAALAAAAAAAAAAAAAAAAAC8BAABfcmVs&#10;cy8ucmVsc1BLAQItABQABgAIAAAAIQA6doydmwIAAIwFAAAOAAAAAAAAAAAAAAAAAC4CAABkcnMv&#10;ZTJvRG9jLnhtbFBLAQItABQABgAIAAAAIQCKafvU4AAAAAoBAAAPAAAAAAAAAAAAAAAAAPUEAABk&#10;cnMvZG93bnJldi54bWxQSwUGAAAAAAQABADzAAAAAgYAAAAA&#10;" filled="f" strokecolor="#00b050" strokeweight="1.5pt"/>
            </w:pict>
          </mc:Fallback>
        </mc:AlternateContent>
      </w:r>
      <w:r w:rsidRPr="005F038C">
        <w:rPr>
          <w:noProof/>
          <w:szCs w:val="24"/>
          <w:lang w:val="en-US"/>
        </w:rPr>
        <w:drawing>
          <wp:anchor distT="0" distB="0" distL="114300" distR="114300" simplePos="0" relativeHeight="251648512" behindDoc="0" locked="0" layoutInCell="1" allowOverlap="1" wp14:anchorId="631BE765" wp14:editId="4088E881">
            <wp:simplePos x="0" y="0"/>
            <wp:positionH relativeFrom="column">
              <wp:posOffset>38684</wp:posOffset>
            </wp:positionH>
            <wp:positionV relativeFrom="paragraph">
              <wp:posOffset>376453</wp:posOffset>
            </wp:positionV>
            <wp:extent cx="2146935" cy="793115"/>
            <wp:effectExtent l="0" t="0" r="571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478"/>
                    <a:stretch/>
                  </pic:blipFill>
                  <pic:spPr bwMode="auto">
                    <a:xfrm>
                      <a:off x="0" y="0"/>
                      <a:ext cx="2146935" cy="79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F038C">
        <w:rPr>
          <w:noProof/>
          <w:szCs w:val="24"/>
          <w:lang w:val="en-US"/>
        </w:rPr>
        <w:drawing>
          <wp:inline distT="0" distB="0" distL="0" distR="0" wp14:anchorId="5F4C7C65" wp14:editId="144D1F3D">
            <wp:extent cx="1553294" cy="1520879"/>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9914" cy="1537152"/>
                    </a:xfrm>
                    <a:prstGeom prst="rect">
                      <a:avLst/>
                    </a:prstGeom>
                  </pic:spPr>
                </pic:pic>
              </a:graphicData>
            </a:graphic>
          </wp:inline>
        </w:drawing>
      </w:r>
    </w:p>
    <w:p w14:paraId="15712893" w14:textId="77777777" w:rsidR="00646378" w:rsidRPr="00862336" w:rsidRDefault="00646378" w:rsidP="00646378">
      <w:pPr>
        <w:pStyle w:val="H1G"/>
        <w:rPr>
          <w:szCs w:val="24"/>
        </w:rPr>
      </w:pPr>
      <w:r w:rsidRPr="005F038C">
        <w:rPr>
          <w:szCs w:val="24"/>
        </w:rPr>
        <w:tab/>
      </w:r>
      <w:r w:rsidRPr="005F038C">
        <w:rPr>
          <w:szCs w:val="24"/>
        </w:rPr>
        <w:tab/>
      </w:r>
      <w:r w:rsidRPr="00862336">
        <w:rPr>
          <w:szCs w:val="24"/>
        </w:rPr>
        <w:t>Avantages pour la sécurité et cont</w:t>
      </w:r>
      <w:r>
        <w:rPr>
          <w:szCs w:val="24"/>
        </w:rPr>
        <w:t>ribution à la sécurité publique</w:t>
      </w:r>
    </w:p>
    <w:p w14:paraId="312E3B50" w14:textId="77777777" w:rsidR="00646378" w:rsidRPr="00862336" w:rsidRDefault="007F6B0D" w:rsidP="00176FD9">
      <w:pPr>
        <w:pStyle w:val="SingleTxtG"/>
      </w:pPr>
      <w:bookmarkStart w:id="2" w:name="_Hlk18415617"/>
      <w:r>
        <w:t>5</w:t>
      </w:r>
      <w:r w:rsidR="00646378" w:rsidRPr="00862336">
        <w:t>.</w:t>
      </w:r>
      <w:r w:rsidR="00646378" w:rsidRPr="00862336">
        <w:tab/>
        <w:t>On trouvera ci-après des exemples de la manière dont ces appareils</w:t>
      </w:r>
      <w:r w:rsidR="00646378">
        <w:t xml:space="preserve"> ont contribué à la sécurité </w:t>
      </w:r>
      <w:bookmarkEnd w:id="2"/>
      <w:r w:rsidR="00646378">
        <w:t>publique</w:t>
      </w:r>
      <w:r w:rsidR="00176FD9">
        <w:t> </w:t>
      </w:r>
      <w:r w:rsidR="00646378" w:rsidRPr="00862336">
        <w:t>:</w:t>
      </w:r>
    </w:p>
    <w:p w14:paraId="55A63079" w14:textId="77777777" w:rsidR="00646378" w:rsidRPr="00606B3B" w:rsidRDefault="00646378" w:rsidP="0040240E">
      <w:pPr>
        <w:pStyle w:val="SingleTxtG"/>
        <w:ind w:left="1701" w:firstLine="567"/>
      </w:pPr>
      <w:r w:rsidRPr="00043869">
        <w:t>a)</w:t>
      </w:r>
      <w:r w:rsidRPr="00043869">
        <w:tab/>
        <w:t xml:space="preserve">Protection des véhicules. </w:t>
      </w:r>
      <w:r w:rsidRPr="00484814">
        <w:t>Les générateurs d</w:t>
      </w:r>
      <w:r w:rsidR="00EF7D6C">
        <w:t>’</w:t>
      </w:r>
      <w:r w:rsidRPr="00484814">
        <w:t xml:space="preserve">aérosols constituent une excellente </w:t>
      </w:r>
      <w:r>
        <w:t>option</w:t>
      </w:r>
      <w:r w:rsidRPr="00484814">
        <w:t xml:space="preserve"> pour la protection du compartiment moteur des véhicules blindés de combat de l</w:t>
      </w:r>
      <w:r w:rsidR="00EF7D6C">
        <w:t>’</w:t>
      </w:r>
      <w:r w:rsidRPr="00484814">
        <w:t>ar</w:t>
      </w:r>
      <w:r>
        <w:t>mée américaine</w:t>
      </w:r>
      <w:r w:rsidRPr="00484814">
        <w:t xml:space="preserve">, des </w:t>
      </w:r>
      <w:r>
        <w:t>véhicules utilitaires</w:t>
      </w:r>
      <w:r w:rsidRPr="00484814">
        <w:t xml:space="preserve">, </w:t>
      </w:r>
      <w:r>
        <w:t>des engins d</w:t>
      </w:r>
      <w:r w:rsidR="00EF7D6C">
        <w:t>’</w:t>
      </w:r>
      <w:r>
        <w:t>exploitation minière</w:t>
      </w:r>
      <w:r w:rsidRPr="00484814">
        <w:t xml:space="preserve">, </w:t>
      </w:r>
      <w:r>
        <w:t>des camions</w:t>
      </w:r>
      <w:r w:rsidRPr="00484814">
        <w:t xml:space="preserve">, </w:t>
      </w:r>
      <w:r>
        <w:t xml:space="preserve">des autobus commerciaux et des autobus scolaires. </w:t>
      </w:r>
      <w:r w:rsidRPr="00606B3B">
        <w:t xml:space="preserve">Récemment, le National Transportation Safety Board (NTSB) (Conseil national de la sécurité des transports) </w:t>
      </w:r>
      <w:r>
        <w:t xml:space="preserve">des États-Unis </w:t>
      </w:r>
      <w:r w:rsidRPr="00606B3B">
        <w:t>a publié</w:t>
      </w:r>
      <w:r>
        <w:t xml:space="preserve"> le</w:t>
      </w:r>
      <w:r w:rsidRPr="00606B3B">
        <w:t xml:space="preserve"> document HWY18MH003 </w:t>
      </w:r>
      <w:r>
        <w:t>qui recommande l</w:t>
      </w:r>
      <w:r w:rsidR="00EF7D6C">
        <w:t>’</w:t>
      </w:r>
      <w:r>
        <w:t>installation de dispositifs d</w:t>
      </w:r>
      <w:r w:rsidR="00EF7D6C">
        <w:t>’</w:t>
      </w:r>
      <w:r>
        <w:t>extinction du feu dans tous les autobus scolaires, neufs et en service, circulant sur le territoire</w:t>
      </w:r>
      <w:r w:rsidRPr="00606B3B">
        <w:t>. Les générateurs d</w:t>
      </w:r>
      <w:r w:rsidR="00EF7D6C">
        <w:t>’</w:t>
      </w:r>
      <w:r w:rsidRPr="00606B3B">
        <w:t>aérosol</w:t>
      </w:r>
      <w:r>
        <w:t>s</w:t>
      </w:r>
      <w:r w:rsidRPr="00606B3B">
        <w:t xml:space="preserve"> sont une excellente </w:t>
      </w:r>
      <w:r w:rsidRPr="00606B3B">
        <w:lastRenderedPageBreak/>
        <w:t>solution</w:t>
      </w:r>
      <w:r>
        <w:t xml:space="preserve"> pour lutter contre ce risque d</w:t>
      </w:r>
      <w:r w:rsidR="00EF7D6C">
        <w:t>’</w:t>
      </w:r>
      <w:r>
        <w:t>incendie connu qui peut avoir des conséquences tragiques.</w:t>
      </w:r>
    </w:p>
    <w:p w14:paraId="639E6593" w14:textId="77777777" w:rsidR="00646378" w:rsidRPr="00043869" w:rsidRDefault="00646378" w:rsidP="0040240E">
      <w:pPr>
        <w:pStyle w:val="SingleTxtG"/>
        <w:ind w:left="1701" w:firstLine="567"/>
      </w:pPr>
      <w:r w:rsidRPr="00BF72C9">
        <w:t>b)</w:t>
      </w:r>
      <w:r w:rsidRPr="00BF72C9">
        <w:tab/>
      </w:r>
      <w:hyperlink r:id="rId15" w:history="1">
        <w:r w:rsidRPr="00BF72C9">
          <w:rPr>
            <w:rStyle w:val="Hyperlink"/>
            <w:szCs w:val="24"/>
          </w:rPr>
          <w:t>https://statx.com/testimonial/stat-x-protect-western-australia-mine-major-damage/</w:t>
        </w:r>
      </w:hyperlink>
      <w:r w:rsidRPr="00BF72C9">
        <w:br/>
      </w:r>
      <w:r>
        <w:t>L</w:t>
      </w:r>
      <w:r w:rsidR="00EF7D6C">
        <w:t>’</w:t>
      </w:r>
      <w:r w:rsidRPr="00BF72C9">
        <w:t xml:space="preserve">incident décrit sur la page </w:t>
      </w:r>
      <w:r>
        <w:t>dont l</w:t>
      </w:r>
      <w:r w:rsidR="00EF7D6C">
        <w:t>’</w:t>
      </w:r>
      <w:r>
        <w:t>adresse est indiquée</w:t>
      </w:r>
      <w:r w:rsidRPr="00BF72C9">
        <w:t xml:space="preserve"> ci-dessus</w:t>
      </w:r>
      <w:r>
        <w:t xml:space="preserve"> met en scène</w:t>
      </w:r>
      <w:r w:rsidRPr="00BF72C9">
        <w:t xml:space="preserve"> un systèm</w:t>
      </w:r>
      <w:r>
        <w:t>e d</w:t>
      </w:r>
      <w:r w:rsidR="00EF7D6C">
        <w:t>’</w:t>
      </w:r>
      <w:r>
        <w:t>extinction des incendies placé dans la salle d</w:t>
      </w:r>
      <w:r w:rsidR="00EF7D6C">
        <w:t>’</w:t>
      </w:r>
      <w:r>
        <w:t>appareillage électrique d</w:t>
      </w:r>
      <w:r w:rsidR="00EF7D6C">
        <w:t>’</w:t>
      </w:r>
      <w:r>
        <w:t>un gros véhicule minier.</w:t>
      </w:r>
      <w:r w:rsidRPr="00BF72C9">
        <w:t xml:space="preserve"> </w:t>
      </w:r>
      <w:r w:rsidRPr="006C18FF">
        <w:t>L</w:t>
      </w:r>
      <w:r w:rsidR="00EF7D6C">
        <w:t>’</w:t>
      </w:r>
      <w:r w:rsidRPr="006C18FF">
        <w:t xml:space="preserve">installateur a déclaré : « le client a été satisfait du système </w:t>
      </w:r>
      <w:r>
        <w:t>d</w:t>
      </w:r>
      <w:r w:rsidR="00EF7D6C">
        <w:t>’</w:t>
      </w:r>
      <w:r>
        <w:t>extinction</w:t>
      </w:r>
      <w:r w:rsidRPr="006C18FF">
        <w:t xml:space="preserve"> d</w:t>
      </w:r>
      <w:r w:rsidR="00EF7D6C">
        <w:t>’</w:t>
      </w:r>
      <w:r w:rsidRPr="006C18FF">
        <w:t xml:space="preserve">incendie qui a rapidement éteint le feu et a évité </w:t>
      </w:r>
      <w:r>
        <w:t>d</w:t>
      </w:r>
      <w:r w:rsidR="00EF7D6C">
        <w:t>’</w:t>
      </w:r>
      <w:r>
        <w:t>autres dégâts sur une machine d</w:t>
      </w:r>
      <w:r w:rsidR="00EF7D6C">
        <w:t>’</w:t>
      </w:r>
      <w:r>
        <w:t>une valeur de plusieurs millions de dollars </w:t>
      </w:r>
      <w:r w:rsidRPr="006C18FF">
        <w:t>». Comme pour presque toutes les applications, l</w:t>
      </w:r>
      <w:r w:rsidR="00EF7D6C">
        <w:t>’</w:t>
      </w:r>
      <w:r w:rsidRPr="006C18FF">
        <w:t xml:space="preserve">objectif est de sauver des vies et de protéger des </w:t>
      </w:r>
      <w:r>
        <w:t xml:space="preserve">biens, ce qui a été réalisé avec succès dans cette installation. </w:t>
      </w:r>
    </w:p>
    <w:p w14:paraId="4EABAD84" w14:textId="77777777" w:rsidR="00646378" w:rsidRPr="00176FD9" w:rsidRDefault="00646378" w:rsidP="0040240E">
      <w:pPr>
        <w:pStyle w:val="SingleTxtG"/>
        <w:ind w:left="1701" w:firstLine="567"/>
        <w:rPr>
          <w:rStyle w:val="Hyperlink"/>
          <w:color w:val="auto"/>
          <w:szCs w:val="24"/>
        </w:rPr>
      </w:pPr>
      <w:r w:rsidRPr="00176FD9">
        <w:rPr>
          <w:rStyle w:val="Hyperlink"/>
          <w:color w:val="auto"/>
          <w:szCs w:val="24"/>
        </w:rPr>
        <w:t>c)</w:t>
      </w:r>
      <w:r w:rsidRPr="00176FD9">
        <w:rPr>
          <w:rStyle w:val="Hyperlink"/>
          <w:color w:val="auto"/>
          <w:szCs w:val="24"/>
        </w:rPr>
        <w:tab/>
        <w:t>Énergie renouvelable. Des systèmes à aérosols sont utilisés actuellement pour la protection d</w:t>
      </w:r>
      <w:r w:rsidR="00EF7D6C">
        <w:rPr>
          <w:rStyle w:val="Hyperlink"/>
          <w:color w:val="auto"/>
          <w:szCs w:val="24"/>
        </w:rPr>
        <w:t>’</w:t>
      </w:r>
      <w:r w:rsidRPr="00176FD9">
        <w:rPr>
          <w:rStyle w:val="Hyperlink"/>
          <w:color w:val="auto"/>
          <w:szCs w:val="24"/>
        </w:rPr>
        <w:t>applications industrielles en pleine expansion comme les générateurs de turbines éoliennes et les systèmes de stockage de l</w:t>
      </w:r>
      <w:r w:rsidR="00EF7D6C">
        <w:rPr>
          <w:rStyle w:val="Hyperlink"/>
          <w:color w:val="auto"/>
          <w:szCs w:val="24"/>
        </w:rPr>
        <w:t>’</w:t>
      </w:r>
      <w:r w:rsidRPr="00176FD9">
        <w:rPr>
          <w:rStyle w:val="Hyperlink"/>
          <w:color w:val="auto"/>
          <w:szCs w:val="24"/>
        </w:rPr>
        <w:t>énergie. Les générateurs d</w:t>
      </w:r>
      <w:r w:rsidR="00EF7D6C">
        <w:rPr>
          <w:rStyle w:val="Hyperlink"/>
          <w:color w:val="auto"/>
          <w:szCs w:val="24"/>
        </w:rPr>
        <w:t>’</w:t>
      </w:r>
      <w:r w:rsidRPr="00176FD9">
        <w:rPr>
          <w:rStyle w:val="Hyperlink"/>
          <w:color w:val="auto"/>
          <w:szCs w:val="24"/>
        </w:rPr>
        <w:t>aérosols sont une excellente solution pour les turbines éoliennes en raison de leur facilité d</w:t>
      </w:r>
      <w:r w:rsidR="00EF7D6C">
        <w:rPr>
          <w:rStyle w:val="Hyperlink"/>
          <w:color w:val="auto"/>
          <w:szCs w:val="24"/>
        </w:rPr>
        <w:t>’</w:t>
      </w:r>
      <w:r w:rsidRPr="00176FD9">
        <w:rPr>
          <w:rStyle w:val="Hyperlink"/>
          <w:color w:val="auto"/>
          <w:szCs w:val="24"/>
        </w:rPr>
        <w:t>installation, de leur faible encombrement, de leur légèreté et de la simplicité de leur maintenance. Les fabricants de générateurs de turbines éoliennes et leurs utilisateurs finaux ont estimé que les générateurs d</w:t>
      </w:r>
      <w:r w:rsidR="00EF7D6C">
        <w:rPr>
          <w:rStyle w:val="Hyperlink"/>
          <w:color w:val="auto"/>
          <w:szCs w:val="24"/>
        </w:rPr>
        <w:t>’</w:t>
      </w:r>
      <w:r w:rsidRPr="00176FD9">
        <w:rPr>
          <w:rStyle w:val="Hyperlink"/>
          <w:color w:val="auto"/>
          <w:szCs w:val="24"/>
        </w:rPr>
        <w:t>aérosols réduisaient les risques pour la collectivité et les équipes de premiers secours, tout en répondant aux critères des assurances, et que le système d</w:t>
      </w:r>
      <w:r w:rsidR="00EF7D6C">
        <w:rPr>
          <w:rStyle w:val="Hyperlink"/>
          <w:color w:val="auto"/>
          <w:szCs w:val="24"/>
        </w:rPr>
        <w:t>’</w:t>
      </w:r>
      <w:r w:rsidRPr="00176FD9">
        <w:rPr>
          <w:rStyle w:val="Hyperlink"/>
          <w:color w:val="auto"/>
          <w:szCs w:val="24"/>
        </w:rPr>
        <w:t>extinction d</w:t>
      </w:r>
      <w:r w:rsidR="00EF7D6C">
        <w:rPr>
          <w:rStyle w:val="Hyperlink"/>
          <w:color w:val="auto"/>
          <w:szCs w:val="24"/>
        </w:rPr>
        <w:t>’</w:t>
      </w:r>
      <w:r w:rsidRPr="00176FD9">
        <w:rPr>
          <w:rStyle w:val="Hyperlink"/>
          <w:color w:val="auto"/>
          <w:szCs w:val="24"/>
        </w:rPr>
        <w:t>incendie était économique. De plus, les aérosols se sont avérés efficaces pour contenir, et dans certains cas, éteindre des incendies de batterie de stockage qui se produisent souvent dans les exploitations agricoles utilisant des énergies renouvelables. Nombre de ces systèmes de stockage d</w:t>
      </w:r>
      <w:r w:rsidR="00EF7D6C">
        <w:rPr>
          <w:rStyle w:val="Hyperlink"/>
          <w:color w:val="auto"/>
          <w:szCs w:val="24"/>
        </w:rPr>
        <w:t>’</w:t>
      </w:r>
      <w:r w:rsidRPr="00176FD9">
        <w:rPr>
          <w:rStyle w:val="Hyperlink"/>
          <w:color w:val="auto"/>
          <w:szCs w:val="24"/>
        </w:rPr>
        <w:t>énergie sont intégrés au réseau électrique ou aux centrales électriques pour continuer à alimenter le service public de l</w:t>
      </w:r>
      <w:r w:rsidR="00EF7D6C">
        <w:rPr>
          <w:rStyle w:val="Hyperlink"/>
          <w:color w:val="auto"/>
          <w:szCs w:val="24"/>
        </w:rPr>
        <w:t>’</w:t>
      </w:r>
      <w:r w:rsidRPr="00176FD9">
        <w:rPr>
          <w:rStyle w:val="Hyperlink"/>
          <w:color w:val="auto"/>
          <w:szCs w:val="24"/>
        </w:rPr>
        <w:t xml:space="preserve">électricité et à approvisionner les consommateurs finaux pendant les périodes de pointe. </w:t>
      </w:r>
    </w:p>
    <w:p w14:paraId="2B2C771F" w14:textId="77777777" w:rsidR="00646378" w:rsidRPr="00261138" w:rsidRDefault="00646378" w:rsidP="0040240E">
      <w:pPr>
        <w:pStyle w:val="SingleTxtG"/>
        <w:ind w:left="1701" w:firstLine="567"/>
      </w:pPr>
      <w:r w:rsidRPr="005F038C">
        <w:rPr>
          <w:noProof/>
          <w:sz w:val="24"/>
          <w:lang w:val="en-US"/>
        </w:rPr>
        <w:drawing>
          <wp:anchor distT="0" distB="0" distL="114300" distR="114300" simplePos="0" relativeHeight="251661824" behindDoc="0" locked="0" layoutInCell="1" allowOverlap="1" wp14:anchorId="6DB413E4" wp14:editId="306BFC87">
            <wp:simplePos x="0" y="0"/>
            <wp:positionH relativeFrom="margin">
              <wp:align>right</wp:align>
            </wp:positionH>
            <wp:positionV relativeFrom="paragraph">
              <wp:posOffset>13818</wp:posOffset>
            </wp:positionV>
            <wp:extent cx="6120765" cy="23634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2363470"/>
                    </a:xfrm>
                    <a:prstGeom prst="rect">
                      <a:avLst/>
                    </a:prstGeom>
                  </pic:spPr>
                </pic:pic>
              </a:graphicData>
            </a:graphic>
          </wp:anchor>
        </w:drawing>
      </w:r>
      <w:r w:rsidRPr="00151D3A">
        <w:t>d)</w:t>
      </w:r>
      <w:r w:rsidRPr="00151D3A">
        <w:tab/>
        <w:t>Protection de la salle des machines</w:t>
      </w:r>
      <w:r>
        <w:t xml:space="preserve"> des bateaux</w:t>
      </w:r>
      <w:r w:rsidRPr="00151D3A">
        <w:t xml:space="preserve">. </w:t>
      </w:r>
      <w:r w:rsidRPr="00A32CB7">
        <w:t xml:space="preserve">Les composants et </w:t>
      </w:r>
      <w:r>
        <w:t>la performance</w:t>
      </w:r>
      <w:r w:rsidRPr="00A32CB7">
        <w:t xml:space="preserve"> des systèmes à a</w:t>
      </w:r>
      <w:r>
        <w:t>é</w:t>
      </w:r>
      <w:r w:rsidRPr="00A32CB7">
        <w:t>rosol</w:t>
      </w:r>
      <w:r>
        <w:t>s</w:t>
      </w:r>
      <w:r w:rsidRPr="00A32CB7">
        <w:t xml:space="preserve"> ont </w:t>
      </w:r>
      <w:r>
        <w:t>été mis à l</w:t>
      </w:r>
      <w:r w:rsidR="00EF7D6C">
        <w:t>’</w:t>
      </w:r>
      <w:r>
        <w:t xml:space="preserve">essai et approuvés par les autorités maritimes nationales et par différentes sociétés de classification pour la protection de la salle des machines des bateaux. </w:t>
      </w:r>
      <w:r w:rsidRPr="00A32CB7">
        <w:t>Ces systèmes protègent les bateaux navals et</w:t>
      </w:r>
      <w:r>
        <w:t xml:space="preserve"> les bateaux du service public, les petits navires civils, les navires de pêche et les navires de service pour la desserte des plateformes de forage</w:t>
      </w:r>
      <w:r w:rsidRPr="00261138">
        <w:t>.</w:t>
      </w:r>
    </w:p>
    <w:p w14:paraId="63E2B5C1" w14:textId="77777777" w:rsidR="00646378" w:rsidRPr="008C4DC6" w:rsidRDefault="00646378" w:rsidP="003B6059">
      <w:pPr>
        <w:pStyle w:val="SingleTxtG"/>
        <w:keepNext/>
        <w:ind w:left="1701" w:firstLine="567"/>
        <w:rPr>
          <w:szCs w:val="24"/>
        </w:rPr>
      </w:pPr>
      <w:r w:rsidRPr="00261138">
        <w:rPr>
          <w:szCs w:val="24"/>
        </w:rPr>
        <w:t>e)</w:t>
      </w:r>
      <w:r w:rsidRPr="00261138">
        <w:rPr>
          <w:szCs w:val="24"/>
        </w:rPr>
        <w:tab/>
        <w:t xml:space="preserve">Au moins deux systèmes </w:t>
      </w:r>
      <w:r>
        <w:rPr>
          <w:szCs w:val="24"/>
        </w:rPr>
        <w:t>d</w:t>
      </w:r>
      <w:r w:rsidR="00EF7D6C">
        <w:rPr>
          <w:szCs w:val="24"/>
        </w:rPr>
        <w:t>’</w:t>
      </w:r>
      <w:r>
        <w:rPr>
          <w:szCs w:val="24"/>
        </w:rPr>
        <w:t>extinction</w:t>
      </w:r>
      <w:r w:rsidRPr="00261138">
        <w:rPr>
          <w:szCs w:val="24"/>
        </w:rPr>
        <w:t xml:space="preserve"> des incendies à aérosol</w:t>
      </w:r>
      <w:r>
        <w:rPr>
          <w:szCs w:val="24"/>
        </w:rPr>
        <w:t xml:space="preserve">s </w:t>
      </w:r>
      <w:r w:rsidRPr="00261138">
        <w:rPr>
          <w:szCs w:val="24"/>
        </w:rPr>
        <w:t>so</w:t>
      </w:r>
      <w:r>
        <w:rPr>
          <w:szCs w:val="24"/>
        </w:rPr>
        <w:t>nt mis à l</w:t>
      </w:r>
      <w:r w:rsidR="00EF7D6C">
        <w:rPr>
          <w:szCs w:val="24"/>
        </w:rPr>
        <w:t>’</w:t>
      </w:r>
      <w:r>
        <w:rPr>
          <w:szCs w:val="24"/>
        </w:rPr>
        <w:t xml:space="preserve">essai et </w:t>
      </w:r>
      <w:r w:rsidRPr="0040240E">
        <w:t>répertoriés</w:t>
      </w:r>
      <w:r>
        <w:rPr>
          <w:szCs w:val="24"/>
        </w:rPr>
        <w:t xml:space="preserve"> sous la norme </w:t>
      </w:r>
      <w:r w:rsidRPr="00261138">
        <w:rPr>
          <w:szCs w:val="24"/>
        </w:rPr>
        <w:t xml:space="preserve">UL2775, </w:t>
      </w:r>
      <w:r>
        <w:rPr>
          <w:szCs w:val="24"/>
        </w:rPr>
        <w:t>« </w:t>
      </w:r>
      <w:r w:rsidRPr="00261138">
        <w:rPr>
          <w:szCs w:val="24"/>
        </w:rPr>
        <w:t>Standard for Fixed Condensed Aerosol Extinguishing Systems Units</w:t>
      </w:r>
      <w:r>
        <w:rPr>
          <w:szCs w:val="24"/>
        </w:rPr>
        <w:t> » (Norme pour les systèmes fixes d</w:t>
      </w:r>
      <w:r w:rsidR="00EF7D6C">
        <w:rPr>
          <w:szCs w:val="24"/>
        </w:rPr>
        <w:t>’</w:t>
      </w:r>
      <w:r>
        <w:rPr>
          <w:szCs w:val="24"/>
        </w:rPr>
        <w:t>extinction par aérosols condensés), dont le champ d</w:t>
      </w:r>
      <w:r w:rsidR="00EF7D6C">
        <w:rPr>
          <w:szCs w:val="24"/>
        </w:rPr>
        <w:t>’</w:t>
      </w:r>
      <w:r>
        <w:rPr>
          <w:szCs w:val="24"/>
        </w:rPr>
        <w:t>application est le suivant :</w:t>
      </w:r>
    </w:p>
    <w:p w14:paraId="0B63909F" w14:textId="77777777" w:rsidR="00646378" w:rsidRPr="002A6D86" w:rsidRDefault="00646378" w:rsidP="003B6059">
      <w:pPr>
        <w:pStyle w:val="SingleTxtG"/>
        <w:keepNext/>
        <w:ind w:left="1701"/>
        <w:rPr>
          <w:i/>
          <w:iCs/>
          <w:szCs w:val="24"/>
        </w:rPr>
      </w:pPr>
      <w:r w:rsidRPr="008C4DC6">
        <w:rPr>
          <w:i/>
          <w:iCs/>
          <w:szCs w:val="24"/>
        </w:rPr>
        <w:t>Ces prescriptions portent sur la construction et l</w:t>
      </w:r>
      <w:r w:rsidR="00EF7D6C">
        <w:rPr>
          <w:i/>
          <w:iCs/>
          <w:szCs w:val="24"/>
        </w:rPr>
        <w:t>’</w:t>
      </w:r>
      <w:r w:rsidRPr="008C4DC6">
        <w:rPr>
          <w:i/>
          <w:iCs/>
          <w:szCs w:val="24"/>
        </w:rPr>
        <w:t>exploitation de systèmes fixes d</w:t>
      </w:r>
      <w:r w:rsidR="00EF7D6C">
        <w:rPr>
          <w:i/>
          <w:iCs/>
          <w:szCs w:val="24"/>
        </w:rPr>
        <w:t>’</w:t>
      </w:r>
      <w:r w:rsidRPr="008C4DC6">
        <w:rPr>
          <w:i/>
          <w:iCs/>
          <w:szCs w:val="24"/>
        </w:rPr>
        <w:t>extinction par aérosol</w:t>
      </w:r>
      <w:r>
        <w:rPr>
          <w:i/>
          <w:iCs/>
          <w:szCs w:val="24"/>
        </w:rPr>
        <w:t>s</w:t>
      </w:r>
      <w:r w:rsidRPr="008C4DC6">
        <w:rPr>
          <w:i/>
          <w:iCs/>
          <w:szCs w:val="24"/>
        </w:rPr>
        <w:t xml:space="preserve"> condensé</w:t>
      </w:r>
      <w:r>
        <w:rPr>
          <w:i/>
          <w:iCs/>
          <w:szCs w:val="24"/>
        </w:rPr>
        <w:t>s</w:t>
      </w:r>
      <w:r w:rsidRPr="008C4DC6">
        <w:rPr>
          <w:i/>
          <w:iCs/>
          <w:szCs w:val="24"/>
        </w:rPr>
        <w:t>, y compris des systèmes d</w:t>
      </w:r>
      <w:r w:rsidR="00EF7D6C">
        <w:rPr>
          <w:i/>
          <w:iCs/>
          <w:szCs w:val="24"/>
        </w:rPr>
        <w:t>’</w:t>
      </w:r>
      <w:r w:rsidRPr="008C4DC6">
        <w:rPr>
          <w:i/>
          <w:iCs/>
          <w:szCs w:val="24"/>
        </w:rPr>
        <w:t>extinction générateurs d</w:t>
      </w:r>
      <w:r w:rsidR="00EF7D6C">
        <w:rPr>
          <w:i/>
          <w:iCs/>
          <w:szCs w:val="24"/>
        </w:rPr>
        <w:t>’</w:t>
      </w:r>
      <w:r w:rsidRPr="008C4DC6">
        <w:rPr>
          <w:i/>
          <w:iCs/>
          <w:szCs w:val="24"/>
        </w:rPr>
        <w:t>aérosol</w:t>
      </w:r>
      <w:r>
        <w:rPr>
          <w:i/>
          <w:iCs/>
          <w:szCs w:val="24"/>
        </w:rPr>
        <w:t>s</w:t>
      </w:r>
      <w:r w:rsidRPr="008C4DC6">
        <w:rPr>
          <w:i/>
          <w:iCs/>
          <w:szCs w:val="24"/>
        </w:rPr>
        <w:t xml:space="preserve"> et </w:t>
      </w:r>
      <w:r>
        <w:rPr>
          <w:i/>
          <w:iCs/>
          <w:szCs w:val="24"/>
        </w:rPr>
        <w:t>des appareils générant automatiquement des aérosols destinés à produire un phénomène de saturation lorsqu</w:t>
      </w:r>
      <w:r w:rsidR="00EF7D6C">
        <w:rPr>
          <w:i/>
          <w:iCs/>
          <w:szCs w:val="24"/>
        </w:rPr>
        <w:t>’</w:t>
      </w:r>
      <w:r>
        <w:rPr>
          <w:i/>
          <w:iCs/>
          <w:szCs w:val="24"/>
        </w:rPr>
        <w:t xml:space="preserve">ils sont installés, inspectés, testés et </w:t>
      </w:r>
      <w:r>
        <w:rPr>
          <w:i/>
          <w:iCs/>
          <w:szCs w:val="24"/>
        </w:rPr>
        <w:lastRenderedPageBreak/>
        <w:t>entretenus conformément à la Norme pour les systèmes fixes d</w:t>
      </w:r>
      <w:r w:rsidR="00EF7D6C">
        <w:rPr>
          <w:i/>
          <w:iCs/>
          <w:szCs w:val="24"/>
        </w:rPr>
        <w:t>’</w:t>
      </w:r>
      <w:r>
        <w:rPr>
          <w:i/>
          <w:iCs/>
          <w:szCs w:val="24"/>
        </w:rPr>
        <w:t>extinction des incendies par aérosols</w:t>
      </w:r>
      <w:r w:rsidRPr="008C4DC6">
        <w:rPr>
          <w:i/>
          <w:iCs/>
          <w:szCs w:val="24"/>
        </w:rPr>
        <w:t xml:space="preserve"> </w:t>
      </w:r>
      <w:r w:rsidRPr="002A6D86">
        <w:rPr>
          <w:i/>
          <w:iCs/>
          <w:szCs w:val="24"/>
        </w:rPr>
        <w:t>NFPA</w:t>
      </w:r>
      <w:r w:rsidR="00EF7D6C">
        <w:rPr>
          <w:i/>
          <w:iCs/>
          <w:szCs w:val="24"/>
        </w:rPr>
        <w:t> </w:t>
      </w:r>
      <w:r w:rsidRPr="002A6D86">
        <w:rPr>
          <w:i/>
          <w:iCs/>
          <w:szCs w:val="24"/>
        </w:rPr>
        <w:t>2010.</w:t>
      </w:r>
    </w:p>
    <w:p w14:paraId="05AFDFA2" w14:textId="77777777" w:rsidR="00646378" w:rsidRPr="00F22DEC" w:rsidRDefault="00646378" w:rsidP="0040240E">
      <w:pPr>
        <w:pStyle w:val="SingleTxtG"/>
        <w:ind w:left="1701" w:firstLine="567"/>
      </w:pPr>
      <w:r w:rsidRPr="005F4D15">
        <w:t>f)</w:t>
      </w:r>
      <w:r w:rsidRPr="005F4D15">
        <w:tab/>
        <w:t>L</w:t>
      </w:r>
      <w:r w:rsidR="00EF7D6C">
        <w:t>’</w:t>
      </w:r>
      <w:r w:rsidRPr="005F4D15">
        <w:t>Agence de protection de l</w:t>
      </w:r>
      <w:r w:rsidR="00EF7D6C">
        <w:t>’</w:t>
      </w:r>
      <w:r w:rsidRPr="005F4D15">
        <w:t>environnement des États-Unis (EPA) a inclus au moins de</w:t>
      </w:r>
      <w:r>
        <w:t xml:space="preserve">ux systèmes commerciaux sur sa liste </w:t>
      </w:r>
      <w:r w:rsidRPr="005F4D15">
        <w:t xml:space="preserve">SNAP (Significant New Alternatives Policy) </w:t>
      </w:r>
      <w:r>
        <w:t xml:space="preserve">pour leur utilisation dans des espaces occupés. </w:t>
      </w:r>
      <w:r w:rsidRPr="00F22DEC">
        <w:t>Pour en savoir plus, consulter</w:t>
      </w:r>
      <w:r w:rsidR="00176FD9">
        <w:t> </w:t>
      </w:r>
      <w:r w:rsidRPr="00F22DEC">
        <w:t>:</w:t>
      </w:r>
    </w:p>
    <w:p w14:paraId="47230259" w14:textId="77777777" w:rsidR="00646378" w:rsidRPr="00F22DEC" w:rsidRDefault="00646378" w:rsidP="00176FD9">
      <w:pPr>
        <w:pStyle w:val="SingleTxtG"/>
        <w:ind w:left="1701"/>
      </w:pPr>
      <w:r w:rsidRPr="00F22DEC">
        <w:t>40</w:t>
      </w:r>
      <w:r w:rsidRPr="00F22DEC">
        <w:tab/>
        <w:t>CFR Partie 82</w:t>
      </w:r>
    </w:p>
    <w:p w14:paraId="251DE886" w14:textId="77777777" w:rsidR="00646378" w:rsidRPr="00F22DEC" w:rsidRDefault="00646378" w:rsidP="00176FD9">
      <w:pPr>
        <w:pStyle w:val="SingleTxtG"/>
        <w:ind w:left="2835"/>
        <w:rPr>
          <w:szCs w:val="24"/>
        </w:rPr>
      </w:pPr>
      <w:r w:rsidRPr="00F22DEC">
        <w:rPr>
          <w:szCs w:val="24"/>
        </w:rPr>
        <w:tab/>
        <w:t>I.</w:t>
      </w:r>
      <w:r w:rsidRPr="00F22DEC">
        <w:rPr>
          <w:szCs w:val="24"/>
        </w:rPr>
        <w:tab/>
        <w:t xml:space="preserve">Liste des nouveaux </w:t>
      </w:r>
      <w:r>
        <w:rPr>
          <w:szCs w:val="24"/>
        </w:rPr>
        <w:t>substituts acceptables</w:t>
      </w:r>
    </w:p>
    <w:p w14:paraId="076E2E81" w14:textId="77777777" w:rsidR="00646378" w:rsidRPr="00F22DEC" w:rsidRDefault="00646378" w:rsidP="00645766">
      <w:pPr>
        <w:pStyle w:val="SingleTxtG"/>
        <w:ind w:left="3969" w:hanging="567"/>
        <w:rPr>
          <w:szCs w:val="24"/>
        </w:rPr>
      </w:pPr>
      <w:r w:rsidRPr="00043869">
        <w:rPr>
          <w:szCs w:val="24"/>
        </w:rPr>
        <w:t>C.</w:t>
      </w:r>
      <w:r w:rsidRPr="00043869">
        <w:rPr>
          <w:szCs w:val="24"/>
        </w:rPr>
        <w:tab/>
      </w:r>
      <w:r w:rsidRPr="00F22DEC">
        <w:rPr>
          <w:szCs w:val="24"/>
        </w:rPr>
        <w:t>Suppression des incendie</w:t>
      </w:r>
      <w:r>
        <w:rPr>
          <w:szCs w:val="24"/>
        </w:rPr>
        <w:t>s et protection contre les explosions</w:t>
      </w:r>
    </w:p>
    <w:p w14:paraId="28FACBD4" w14:textId="77777777" w:rsidR="00646378" w:rsidRPr="009656D4" w:rsidRDefault="00646378" w:rsidP="00176FD9">
      <w:pPr>
        <w:pStyle w:val="SingleTxtG"/>
        <w:ind w:left="3402"/>
        <w:rPr>
          <w:szCs w:val="24"/>
        </w:rPr>
      </w:pPr>
      <w:r w:rsidRPr="00F22DEC">
        <w:rPr>
          <w:szCs w:val="24"/>
        </w:rPr>
        <w:tab/>
      </w:r>
      <w:r w:rsidRPr="009656D4">
        <w:rPr>
          <w:szCs w:val="24"/>
        </w:rPr>
        <w:t>6.</w:t>
      </w:r>
      <w:r w:rsidRPr="009656D4">
        <w:rPr>
          <w:szCs w:val="24"/>
        </w:rPr>
        <w:tab/>
        <w:t xml:space="preserve">Aérosols </w:t>
      </w:r>
      <w:r>
        <w:rPr>
          <w:szCs w:val="24"/>
        </w:rPr>
        <w:t>libérés</w:t>
      </w:r>
      <w:r w:rsidRPr="009656D4">
        <w:rPr>
          <w:szCs w:val="24"/>
        </w:rPr>
        <w:t xml:space="preserve"> D (Aero-K, Stat-X)</w:t>
      </w:r>
    </w:p>
    <w:p w14:paraId="386A4A00" w14:textId="77777777" w:rsidR="00646378" w:rsidRPr="006B637C" w:rsidRDefault="00646378" w:rsidP="00176FD9">
      <w:pPr>
        <w:pStyle w:val="SingleTxtG"/>
      </w:pPr>
      <w:r w:rsidRPr="00A60F7B">
        <w:t>6.</w:t>
      </w:r>
      <w:r w:rsidRPr="00A60F7B">
        <w:tab/>
        <w:t xml:space="preserve">En résumé, </w:t>
      </w:r>
      <w:r>
        <w:t xml:space="preserve">le </w:t>
      </w:r>
      <w:r w:rsidRPr="00A60F7B">
        <w:t>COSTHA estime qu</w:t>
      </w:r>
      <w:r w:rsidR="00EF7D6C">
        <w:t>’</w:t>
      </w:r>
      <w:r w:rsidRPr="00A60F7B">
        <w:t>il serait dans l</w:t>
      </w:r>
      <w:r w:rsidR="00EF7D6C">
        <w:t>’</w:t>
      </w:r>
      <w:r w:rsidRPr="00A60F7B">
        <w:t xml:space="preserve">intérêt du commerce mondial de créer une nouvelle rubrique ONU intitulée </w:t>
      </w:r>
      <w:r>
        <w:t>« </w:t>
      </w:r>
      <w:r w:rsidRPr="00A60F7B">
        <w:t xml:space="preserve">appareil </w:t>
      </w:r>
      <w:r>
        <w:t>d</w:t>
      </w:r>
      <w:r w:rsidR="00EF7D6C">
        <w:t>’</w:t>
      </w:r>
      <w:r>
        <w:t>extinction d</w:t>
      </w:r>
      <w:r w:rsidR="00EF7D6C">
        <w:t>’</w:t>
      </w:r>
      <w:r>
        <w:t xml:space="preserve">incendie par diffusion </w:t>
      </w:r>
      <w:r w:rsidRPr="00A60F7B">
        <w:t>d</w:t>
      </w:r>
      <w:r w:rsidR="00EF7D6C">
        <w:t>’</w:t>
      </w:r>
      <w:r w:rsidRPr="00A60F7B">
        <w:t>aérosol</w:t>
      </w:r>
      <w:r>
        <w:t>s », et qu</w:t>
      </w:r>
      <w:r w:rsidR="00EF7D6C">
        <w:t>’</w:t>
      </w:r>
      <w:r>
        <w:t xml:space="preserve">une telle rubrique réduirait la confusion et améliorerait la sécurité générale. La </w:t>
      </w:r>
      <w:r w:rsidRPr="009656D4">
        <w:t xml:space="preserve">conception </w:t>
      </w:r>
      <w:r>
        <w:t>de l</w:t>
      </w:r>
      <w:r w:rsidR="00EF7D6C">
        <w:t>’</w:t>
      </w:r>
      <w:r>
        <w:t xml:space="preserve">appareil et </w:t>
      </w:r>
      <w:r w:rsidRPr="009656D4">
        <w:t>l</w:t>
      </w:r>
      <w:r w:rsidR="00EF7D6C">
        <w:t>’</w:t>
      </w:r>
      <w:r w:rsidRPr="009656D4">
        <w:t>expérience d</w:t>
      </w:r>
      <w:r w:rsidR="00EF7D6C">
        <w:t>’</w:t>
      </w:r>
      <w:r w:rsidRPr="009656D4">
        <w:t>années de transports dans le monde entier</w:t>
      </w:r>
      <w:r>
        <w:t xml:space="preserve"> écartent le </w:t>
      </w:r>
      <w:r w:rsidRPr="00384294">
        <w:t>risque d</w:t>
      </w:r>
      <w:r w:rsidR="00EF7D6C">
        <w:t>’</w:t>
      </w:r>
      <w:r w:rsidRPr="00384294">
        <w:t>explosion intempestive pendant le transport</w:t>
      </w:r>
      <w:r w:rsidRPr="00A60F7B">
        <w:t xml:space="preserve">. </w:t>
      </w:r>
      <w:r w:rsidRPr="006B637C">
        <w:t>En s</w:t>
      </w:r>
      <w:r w:rsidR="00EF7D6C">
        <w:t>’</w:t>
      </w:r>
      <w:r w:rsidRPr="006B637C">
        <w:t>appuyant sur l</w:t>
      </w:r>
      <w:r w:rsidR="00EF7D6C">
        <w:t>’</w:t>
      </w:r>
      <w:r w:rsidRPr="006B637C">
        <w:t xml:space="preserve">historique </w:t>
      </w:r>
      <w:r>
        <w:t xml:space="preserve">de la sécurité des appareils pendant le transport </w:t>
      </w:r>
      <w:r w:rsidRPr="006B637C">
        <w:t>et sur le permis spécial 20600 du Département des transports des États-Unis,</w:t>
      </w:r>
      <w:r>
        <w:t xml:space="preserve"> le </w:t>
      </w:r>
      <w:r w:rsidRPr="006B637C">
        <w:t xml:space="preserve">COSTHA </w:t>
      </w:r>
      <w:r>
        <w:t>demande l</w:t>
      </w:r>
      <w:r w:rsidR="00EF7D6C">
        <w:t>’</w:t>
      </w:r>
      <w:r>
        <w:t>inclusion d</w:t>
      </w:r>
      <w:r w:rsidR="00EF7D6C">
        <w:t>’</w:t>
      </w:r>
      <w:r>
        <w:t>une nouvelle rubrique dans la Liste des marchandises dangereuses et dans l</w:t>
      </w:r>
      <w:r w:rsidR="00EF7D6C">
        <w:t>’</w:t>
      </w:r>
      <w:r>
        <w:t>Index, à laquelle serait associée une nouvelle disposition spéciale semblable à la disposition spéciale 280, mais adaptée à ces appareils</w:t>
      </w:r>
      <w:r w:rsidRPr="006B637C">
        <w:t xml:space="preserve">.  </w:t>
      </w:r>
    </w:p>
    <w:p w14:paraId="60A5AE80" w14:textId="77777777" w:rsidR="00646378" w:rsidRPr="00F51419" w:rsidRDefault="00646378" w:rsidP="007F6B0D">
      <w:pPr>
        <w:pStyle w:val="HChG"/>
      </w:pPr>
      <w:r w:rsidRPr="006B637C">
        <w:tab/>
      </w:r>
      <w:r w:rsidRPr="006B637C">
        <w:tab/>
      </w:r>
      <w:r w:rsidRPr="00F51419">
        <w:t>Proposition</w:t>
      </w:r>
    </w:p>
    <w:p w14:paraId="4F244FCC" w14:textId="77777777" w:rsidR="00646378" w:rsidRPr="00F51419" w:rsidRDefault="00646378" w:rsidP="007F6B0D">
      <w:pPr>
        <w:pStyle w:val="SingleTxtG"/>
      </w:pPr>
      <w:r w:rsidRPr="00F51419">
        <w:t>7.</w:t>
      </w:r>
      <w:r w:rsidRPr="00F51419">
        <w:tab/>
        <w:t>Il est proposé d</w:t>
      </w:r>
      <w:r w:rsidR="00EF7D6C">
        <w:t>’</w:t>
      </w:r>
      <w:r w:rsidRPr="00F51419">
        <w:t xml:space="preserve">ajouter une nouvelle rubrique </w:t>
      </w:r>
      <w:r>
        <w:t>à</w:t>
      </w:r>
      <w:r w:rsidRPr="00F51419">
        <w:t xml:space="preserve"> la Liste des marchandises dangereuses</w:t>
      </w:r>
      <w:r>
        <w:t>,</w:t>
      </w:r>
      <w:r w:rsidRPr="00F51419">
        <w:t xml:space="preserve"> comme suit</w:t>
      </w:r>
      <w:r w:rsidR="007F6B0D">
        <w:t> </w:t>
      </w:r>
      <w:r w:rsidRPr="00F51419">
        <w:t>:</w:t>
      </w:r>
    </w:p>
    <w:tbl>
      <w:tblPr>
        <w:tblW w:w="0" w:type="auto"/>
        <w:jc w:val="center"/>
        <w:tblLayout w:type="fixed"/>
        <w:tblCellMar>
          <w:left w:w="0" w:type="dxa"/>
          <w:right w:w="0" w:type="dxa"/>
        </w:tblCellMar>
        <w:tblLook w:val="0000" w:firstRow="0" w:lastRow="0" w:firstColumn="0" w:lastColumn="0" w:noHBand="0" w:noVBand="0"/>
      </w:tblPr>
      <w:tblGrid>
        <w:gridCol w:w="710"/>
        <w:gridCol w:w="2069"/>
        <w:gridCol w:w="623"/>
        <w:gridCol w:w="567"/>
        <w:gridCol w:w="680"/>
        <w:gridCol w:w="680"/>
        <w:gridCol w:w="454"/>
        <w:gridCol w:w="454"/>
        <w:gridCol w:w="907"/>
        <w:gridCol w:w="907"/>
        <w:gridCol w:w="851"/>
        <w:gridCol w:w="737"/>
      </w:tblGrid>
      <w:tr w:rsidR="00A81258" w14:paraId="22B52B31" w14:textId="77777777" w:rsidTr="00A81258">
        <w:trPr>
          <w:trHeight w:val="20"/>
          <w:tblHeader/>
          <w:jc w:val="center"/>
        </w:trPr>
        <w:tc>
          <w:tcPr>
            <w:tcW w:w="71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F162325"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N° ONU</w:t>
            </w:r>
          </w:p>
        </w:tc>
        <w:tc>
          <w:tcPr>
            <w:tcW w:w="2069" w:type="dxa"/>
            <w:vMerge w:val="restart"/>
            <w:tcBorders>
              <w:top w:val="single" w:sz="4" w:space="0" w:color="auto"/>
              <w:left w:val="nil"/>
              <w:right w:val="single" w:sz="4" w:space="0" w:color="auto"/>
            </w:tcBorders>
            <w:tcMar>
              <w:top w:w="0" w:type="dxa"/>
              <w:left w:w="28" w:type="dxa"/>
              <w:bottom w:w="0" w:type="dxa"/>
              <w:right w:w="28" w:type="dxa"/>
            </w:tcMar>
            <w:vAlign w:val="center"/>
          </w:tcPr>
          <w:p w14:paraId="4F4F1AB5"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Nom et description</w:t>
            </w:r>
          </w:p>
        </w:tc>
        <w:tc>
          <w:tcPr>
            <w:tcW w:w="623" w:type="dxa"/>
            <w:vMerge w:val="restart"/>
            <w:tcBorders>
              <w:top w:val="single" w:sz="4" w:space="0" w:color="auto"/>
              <w:left w:val="nil"/>
              <w:right w:val="single" w:sz="4" w:space="0" w:color="auto"/>
            </w:tcBorders>
            <w:tcMar>
              <w:top w:w="0" w:type="dxa"/>
              <w:left w:w="28" w:type="dxa"/>
              <w:bottom w:w="0" w:type="dxa"/>
              <w:right w:w="28" w:type="dxa"/>
            </w:tcMar>
            <w:vAlign w:val="center"/>
          </w:tcPr>
          <w:p w14:paraId="28C06A8C"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Classe ou division</w:t>
            </w:r>
          </w:p>
        </w:tc>
        <w:tc>
          <w:tcPr>
            <w:tcW w:w="567" w:type="dxa"/>
            <w:vMerge w:val="restart"/>
            <w:tcBorders>
              <w:top w:val="single" w:sz="4" w:space="0" w:color="auto"/>
              <w:left w:val="nil"/>
              <w:right w:val="single" w:sz="4" w:space="0" w:color="auto"/>
            </w:tcBorders>
            <w:tcMar>
              <w:top w:w="0" w:type="dxa"/>
              <w:left w:w="28" w:type="dxa"/>
              <w:bottom w:w="0" w:type="dxa"/>
              <w:right w:w="28" w:type="dxa"/>
            </w:tcMar>
            <w:vAlign w:val="center"/>
          </w:tcPr>
          <w:p w14:paraId="78C439B3"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Risque subsi-diaire</w:t>
            </w:r>
          </w:p>
        </w:tc>
        <w:tc>
          <w:tcPr>
            <w:tcW w:w="680" w:type="dxa"/>
            <w:vMerge w:val="restart"/>
            <w:tcBorders>
              <w:top w:val="single" w:sz="4" w:space="0" w:color="auto"/>
              <w:left w:val="nil"/>
              <w:right w:val="single" w:sz="4" w:space="0" w:color="auto"/>
            </w:tcBorders>
            <w:tcMar>
              <w:top w:w="0" w:type="dxa"/>
              <w:left w:w="28" w:type="dxa"/>
              <w:bottom w:w="0" w:type="dxa"/>
              <w:right w:w="28" w:type="dxa"/>
            </w:tcMar>
            <w:vAlign w:val="center"/>
          </w:tcPr>
          <w:p w14:paraId="1AE674C0"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Groupe d</w:t>
            </w:r>
            <w:r w:rsidR="00EF7D6C">
              <w:rPr>
                <w:b/>
                <w:bCs/>
                <w:color w:val="000000"/>
                <w:sz w:val="16"/>
                <w:szCs w:val="16"/>
                <w:lang w:val="fr-FR"/>
              </w:rPr>
              <w:t>’</w:t>
            </w:r>
            <w:proofErr w:type="spellStart"/>
            <w:r>
              <w:rPr>
                <w:b/>
                <w:bCs/>
                <w:color w:val="000000"/>
                <w:sz w:val="16"/>
                <w:szCs w:val="16"/>
                <w:lang w:val="fr-FR"/>
              </w:rPr>
              <w:t>embal-lage</w:t>
            </w:r>
            <w:proofErr w:type="spellEnd"/>
          </w:p>
        </w:tc>
        <w:tc>
          <w:tcPr>
            <w:tcW w:w="680" w:type="dxa"/>
            <w:vMerge w:val="restart"/>
            <w:tcBorders>
              <w:top w:val="single" w:sz="4" w:space="0" w:color="auto"/>
              <w:left w:val="nil"/>
              <w:right w:val="single" w:sz="4" w:space="0" w:color="auto"/>
            </w:tcBorders>
            <w:tcMar>
              <w:top w:w="0" w:type="dxa"/>
              <w:left w:w="28" w:type="dxa"/>
              <w:bottom w:w="0" w:type="dxa"/>
              <w:right w:w="28" w:type="dxa"/>
            </w:tcMar>
            <w:vAlign w:val="center"/>
          </w:tcPr>
          <w:p w14:paraId="1619B2CF"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Dispo-sitions spéciales</w:t>
            </w:r>
          </w:p>
        </w:tc>
        <w:tc>
          <w:tcPr>
            <w:tcW w:w="908" w:type="dxa"/>
            <w:gridSpan w:val="2"/>
            <w:vMerge w:val="restart"/>
            <w:tcBorders>
              <w:top w:val="single" w:sz="4" w:space="0" w:color="auto"/>
              <w:left w:val="nil"/>
              <w:right w:val="single" w:sz="4" w:space="0" w:color="auto"/>
            </w:tcBorders>
            <w:tcMar>
              <w:top w:w="0" w:type="dxa"/>
              <w:left w:w="28" w:type="dxa"/>
              <w:bottom w:w="0" w:type="dxa"/>
              <w:right w:w="28" w:type="dxa"/>
            </w:tcMar>
            <w:vAlign w:val="center"/>
          </w:tcPr>
          <w:p w14:paraId="72ED667E" w14:textId="77777777" w:rsidR="00A81258" w:rsidRDefault="00A81258" w:rsidP="009F6100">
            <w:pPr>
              <w:spacing w:before="60" w:after="60" w:line="200" w:lineRule="exact"/>
              <w:jc w:val="center"/>
              <w:rPr>
                <w:sz w:val="16"/>
                <w:szCs w:val="16"/>
                <w:lang w:val="fr-FR"/>
              </w:rPr>
            </w:pPr>
            <w:r>
              <w:rPr>
                <w:b/>
                <w:bCs/>
                <w:color w:val="000000"/>
                <w:sz w:val="16"/>
                <w:szCs w:val="16"/>
                <w:lang w:val="fr-FR"/>
              </w:rPr>
              <w:t>Quantités limitées et quantités exceptées</w:t>
            </w:r>
          </w:p>
        </w:tc>
        <w:tc>
          <w:tcPr>
            <w:tcW w:w="1814"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881F1ED"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Emballages et GRV</w:t>
            </w:r>
          </w:p>
        </w:tc>
        <w:tc>
          <w:tcPr>
            <w:tcW w:w="1588"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tcPr>
          <w:p w14:paraId="4C2AD834" w14:textId="77777777" w:rsidR="00A81258" w:rsidRDefault="00A81258" w:rsidP="009F6100">
            <w:pPr>
              <w:spacing w:before="60" w:after="60" w:line="200" w:lineRule="exact"/>
              <w:ind w:right="-52"/>
              <w:jc w:val="center"/>
              <w:rPr>
                <w:b/>
                <w:bCs/>
                <w:color w:val="000000"/>
                <w:sz w:val="16"/>
                <w:szCs w:val="16"/>
                <w:lang w:val="fr-FR"/>
              </w:rPr>
            </w:pPr>
            <w:r>
              <w:rPr>
                <w:b/>
                <w:bCs/>
                <w:color w:val="000000"/>
                <w:sz w:val="16"/>
                <w:szCs w:val="16"/>
                <w:lang w:val="fr-FR"/>
              </w:rPr>
              <w:t>Citernes mobiles et conteneurs pour vrac</w:t>
            </w:r>
          </w:p>
        </w:tc>
      </w:tr>
      <w:tr w:rsidR="00A81258" w14:paraId="33E0A53F" w14:textId="77777777" w:rsidTr="00A81258">
        <w:trPr>
          <w:trHeight w:val="20"/>
          <w:tblHeader/>
          <w:jc w:val="center"/>
        </w:trPr>
        <w:tc>
          <w:tcPr>
            <w:tcW w:w="71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B46CAA6" w14:textId="77777777" w:rsidR="00A81258" w:rsidRDefault="00A81258" w:rsidP="009F6100">
            <w:pPr>
              <w:spacing w:before="60" w:after="60" w:line="200" w:lineRule="exact"/>
              <w:jc w:val="center"/>
              <w:rPr>
                <w:b/>
                <w:bCs/>
                <w:color w:val="000000"/>
                <w:sz w:val="16"/>
                <w:szCs w:val="16"/>
                <w:lang w:val="fr-FR"/>
              </w:rPr>
            </w:pPr>
          </w:p>
        </w:tc>
        <w:tc>
          <w:tcPr>
            <w:tcW w:w="2069" w:type="dxa"/>
            <w:vMerge/>
            <w:tcBorders>
              <w:left w:val="nil"/>
              <w:bottom w:val="single" w:sz="4" w:space="0" w:color="auto"/>
              <w:right w:val="single" w:sz="4" w:space="0" w:color="auto"/>
            </w:tcBorders>
            <w:tcMar>
              <w:top w:w="0" w:type="dxa"/>
              <w:left w:w="28" w:type="dxa"/>
              <w:bottom w:w="0" w:type="dxa"/>
              <w:right w:w="28" w:type="dxa"/>
            </w:tcMar>
            <w:vAlign w:val="center"/>
          </w:tcPr>
          <w:p w14:paraId="05D8FF9A" w14:textId="77777777" w:rsidR="00A81258" w:rsidRDefault="00A81258" w:rsidP="009F6100">
            <w:pPr>
              <w:spacing w:before="60" w:after="60" w:line="200" w:lineRule="exact"/>
              <w:jc w:val="center"/>
              <w:rPr>
                <w:b/>
                <w:bCs/>
                <w:color w:val="000000"/>
                <w:sz w:val="16"/>
                <w:szCs w:val="16"/>
                <w:lang w:val="fr-FR"/>
              </w:rPr>
            </w:pPr>
          </w:p>
        </w:tc>
        <w:tc>
          <w:tcPr>
            <w:tcW w:w="623" w:type="dxa"/>
            <w:vMerge/>
            <w:tcBorders>
              <w:left w:val="nil"/>
              <w:bottom w:val="single" w:sz="4" w:space="0" w:color="auto"/>
              <w:right w:val="single" w:sz="4" w:space="0" w:color="auto"/>
            </w:tcBorders>
            <w:tcMar>
              <w:top w:w="0" w:type="dxa"/>
              <w:left w:w="28" w:type="dxa"/>
              <w:bottom w:w="0" w:type="dxa"/>
              <w:right w:w="28" w:type="dxa"/>
            </w:tcMar>
            <w:vAlign w:val="center"/>
          </w:tcPr>
          <w:p w14:paraId="70D25A62" w14:textId="77777777" w:rsidR="00A81258" w:rsidRDefault="00A81258" w:rsidP="009F6100">
            <w:pPr>
              <w:spacing w:before="60" w:after="60" w:line="200" w:lineRule="exact"/>
              <w:jc w:val="center"/>
              <w:rPr>
                <w:b/>
                <w:bCs/>
                <w:color w:val="000000"/>
                <w:sz w:val="16"/>
                <w:szCs w:val="16"/>
                <w:lang w:val="fr-FR"/>
              </w:rPr>
            </w:pPr>
          </w:p>
        </w:tc>
        <w:tc>
          <w:tcPr>
            <w:tcW w:w="567" w:type="dxa"/>
            <w:vMerge/>
            <w:tcBorders>
              <w:left w:val="nil"/>
              <w:bottom w:val="single" w:sz="4" w:space="0" w:color="auto"/>
              <w:right w:val="single" w:sz="4" w:space="0" w:color="auto"/>
            </w:tcBorders>
            <w:tcMar>
              <w:top w:w="0" w:type="dxa"/>
              <w:left w:w="28" w:type="dxa"/>
              <w:bottom w:w="0" w:type="dxa"/>
              <w:right w:w="28" w:type="dxa"/>
            </w:tcMar>
            <w:vAlign w:val="center"/>
          </w:tcPr>
          <w:p w14:paraId="50E25E95" w14:textId="77777777" w:rsidR="00A81258" w:rsidRDefault="00A81258" w:rsidP="009F6100">
            <w:pPr>
              <w:spacing w:before="60" w:after="60" w:line="200" w:lineRule="exact"/>
              <w:jc w:val="center"/>
              <w:rPr>
                <w:b/>
                <w:bCs/>
                <w:color w:val="000000"/>
                <w:sz w:val="16"/>
                <w:szCs w:val="16"/>
                <w:lang w:val="fr-FR"/>
              </w:rPr>
            </w:pPr>
          </w:p>
        </w:tc>
        <w:tc>
          <w:tcPr>
            <w:tcW w:w="680" w:type="dxa"/>
            <w:vMerge/>
            <w:tcBorders>
              <w:left w:val="nil"/>
              <w:bottom w:val="single" w:sz="4" w:space="0" w:color="auto"/>
              <w:right w:val="single" w:sz="4" w:space="0" w:color="auto"/>
            </w:tcBorders>
            <w:tcMar>
              <w:top w:w="0" w:type="dxa"/>
              <w:left w:w="28" w:type="dxa"/>
              <w:bottom w:w="0" w:type="dxa"/>
              <w:right w:w="28" w:type="dxa"/>
            </w:tcMar>
            <w:vAlign w:val="center"/>
          </w:tcPr>
          <w:p w14:paraId="17535312" w14:textId="77777777" w:rsidR="00A81258" w:rsidRDefault="00A81258" w:rsidP="009F6100">
            <w:pPr>
              <w:spacing w:before="60" w:after="60" w:line="200" w:lineRule="exact"/>
              <w:jc w:val="center"/>
              <w:rPr>
                <w:b/>
                <w:bCs/>
                <w:color w:val="000000"/>
                <w:sz w:val="16"/>
                <w:szCs w:val="16"/>
                <w:lang w:val="fr-FR"/>
              </w:rPr>
            </w:pPr>
          </w:p>
        </w:tc>
        <w:tc>
          <w:tcPr>
            <w:tcW w:w="680" w:type="dxa"/>
            <w:vMerge/>
            <w:tcBorders>
              <w:left w:val="nil"/>
              <w:bottom w:val="single" w:sz="4" w:space="0" w:color="auto"/>
              <w:right w:val="single" w:sz="4" w:space="0" w:color="auto"/>
            </w:tcBorders>
            <w:tcMar>
              <w:top w:w="0" w:type="dxa"/>
              <w:left w:w="28" w:type="dxa"/>
              <w:bottom w:w="0" w:type="dxa"/>
              <w:right w:w="28" w:type="dxa"/>
            </w:tcMar>
            <w:vAlign w:val="center"/>
          </w:tcPr>
          <w:p w14:paraId="72A6A451" w14:textId="77777777" w:rsidR="00A81258" w:rsidRDefault="00A81258" w:rsidP="009F6100">
            <w:pPr>
              <w:spacing w:before="60" w:after="60" w:line="200" w:lineRule="exact"/>
              <w:jc w:val="center"/>
              <w:rPr>
                <w:b/>
                <w:bCs/>
                <w:color w:val="000000"/>
                <w:sz w:val="16"/>
                <w:szCs w:val="16"/>
                <w:lang w:val="fr-FR"/>
              </w:rPr>
            </w:pPr>
          </w:p>
        </w:tc>
        <w:tc>
          <w:tcPr>
            <w:tcW w:w="908" w:type="dxa"/>
            <w:gridSpan w:val="2"/>
            <w:vMerge/>
            <w:tcBorders>
              <w:left w:val="nil"/>
              <w:bottom w:val="single" w:sz="4" w:space="0" w:color="auto"/>
              <w:right w:val="single" w:sz="4" w:space="0" w:color="auto"/>
            </w:tcBorders>
            <w:tcMar>
              <w:top w:w="0" w:type="dxa"/>
              <w:left w:w="28" w:type="dxa"/>
              <w:bottom w:w="0" w:type="dxa"/>
              <w:right w:w="28" w:type="dxa"/>
            </w:tcMar>
            <w:vAlign w:val="center"/>
          </w:tcPr>
          <w:p w14:paraId="7DFA9BE7" w14:textId="77777777" w:rsidR="00A81258" w:rsidRDefault="00A81258" w:rsidP="009F6100">
            <w:pPr>
              <w:spacing w:before="60" w:after="60" w:line="200" w:lineRule="exact"/>
              <w:jc w:val="center"/>
              <w:rPr>
                <w:sz w:val="16"/>
                <w:szCs w:val="16"/>
                <w:lang w:val="fr-FR"/>
              </w:rPr>
            </w:pPr>
          </w:p>
        </w:tc>
        <w:tc>
          <w:tcPr>
            <w:tcW w:w="907"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23BDD17"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Instructions d</w:t>
            </w:r>
            <w:r w:rsidR="00EF7D6C">
              <w:rPr>
                <w:b/>
                <w:bCs/>
                <w:color w:val="000000"/>
                <w:sz w:val="16"/>
                <w:szCs w:val="16"/>
                <w:lang w:val="fr-FR"/>
              </w:rPr>
              <w:t>’</w:t>
            </w:r>
            <w:r>
              <w:rPr>
                <w:b/>
                <w:bCs/>
                <w:color w:val="000000"/>
                <w:sz w:val="16"/>
                <w:szCs w:val="16"/>
                <w:lang w:val="fr-FR"/>
              </w:rPr>
              <w:t>emballage</w:t>
            </w:r>
          </w:p>
        </w:tc>
        <w:tc>
          <w:tcPr>
            <w:tcW w:w="907"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D9D6BB0" w14:textId="77777777" w:rsidR="00A81258" w:rsidRDefault="00A81258" w:rsidP="009F6100">
            <w:pPr>
              <w:spacing w:before="60" w:after="60" w:line="200" w:lineRule="exact"/>
              <w:ind w:left="-76" w:right="-76"/>
              <w:jc w:val="center"/>
              <w:rPr>
                <w:b/>
                <w:bCs/>
                <w:color w:val="000000"/>
                <w:sz w:val="16"/>
                <w:szCs w:val="16"/>
                <w:lang w:val="fr-FR"/>
              </w:rPr>
            </w:pPr>
            <w:r>
              <w:rPr>
                <w:b/>
                <w:bCs/>
                <w:color w:val="000000"/>
                <w:sz w:val="16"/>
                <w:szCs w:val="16"/>
                <w:lang w:val="fr-FR"/>
              </w:rPr>
              <w:t>Dispositions spéciales d</w:t>
            </w:r>
            <w:r w:rsidR="00EF7D6C">
              <w:rPr>
                <w:b/>
                <w:bCs/>
                <w:color w:val="000000"/>
                <w:sz w:val="16"/>
                <w:szCs w:val="16"/>
                <w:lang w:val="fr-FR"/>
              </w:rPr>
              <w:t>’</w:t>
            </w:r>
            <w:r>
              <w:rPr>
                <w:b/>
                <w:bCs/>
                <w:color w:val="000000"/>
                <w:sz w:val="16"/>
                <w:szCs w:val="16"/>
                <w:lang w:val="fr-FR"/>
              </w:rPr>
              <w:t>emballage</w:t>
            </w:r>
          </w:p>
        </w:tc>
        <w:tc>
          <w:tcPr>
            <w:tcW w:w="85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B38F87C"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Instruc-tions</w:t>
            </w:r>
          </w:p>
        </w:tc>
        <w:tc>
          <w:tcPr>
            <w:tcW w:w="737"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3A173B5" w14:textId="77777777" w:rsidR="00A81258" w:rsidRDefault="00A81258" w:rsidP="009F6100">
            <w:pPr>
              <w:spacing w:before="60" w:after="60" w:line="200" w:lineRule="exact"/>
              <w:jc w:val="center"/>
              <w:rPr>
                <w:b/>
                <w:bCs/>
                <w:color w:val="000000"/>
                <w:sz w:val="16"/>
                <w:szCs w:val="16"/>
                <w:lang w:val="fr-FR"/>
              </w:rPr>
            </w:pPr>
            <w:r>
              <w:rPr>
                <w:b/>
                <w:bCs/>
                <w:color w:val="000000"/>
                <w:sz w:val="16"/>
                <w:szCs w:val="16"/>
                <w:lang w:val="fr-FR"/>
              </w:rPr>
              <w:t>Disposi-tions spéciales</w:t>
            </w:r>
          </w:p>
        </w:tc>
      </w:tr>
      <w:tr w:rsidR="00A81258" w14:paraId="6D78D89C" w14:textId="77777777" w:rsidTr="00A81258">
        <w:trPr>
          <w:trHeight w:val="20"/>
          <w:jc w:val="center"/>
        </w:trPr>
        <w:tc>
          <w:tcPr>
            <w:tcW w:w="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C302818" w14:textId="77777777" w:rsidR="00A81258" w:rsidRDefault="00A81258" w:rsidP="009F6100">
            <w:pPr>
              <w:spacing w:before="60" w:after="60" w:line="200" w:lineRule="atLeast"/>
              <w:jc w:val="center"/>
              <w:rPr>
                <w:sz w:val="16"/>
                <w:szCs w:val="16"/>
                <w:lang w:val="fr-FR"/>
              </w:rPr>
            </w:pPr>
            <w:r>
              <w:rPr>
                <w:sz w:val="16"/>
                <w:szCs w:val="16"/>
                <w:lang w:val="fr-FR"/>
              </w:rPr>
              <w:t>35XXX</w:t>
            </w:r>
          </w:p>
        </w:tc>
        <w:tc>
          <w:tcPr>
            <w:tcW w:w="2069"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6E7F021F" w14:textId="77777777" w:rsidR="00A81258" w:rsidRDefault="00A81258" w:rsidP="009F6100">
            <w:pPr>
              <w:spacing w:before="60" w:after="60" w:line="200" w:lineRule="atLeast"/>
              <w:rPr>
                <w:sz w:val="16"/>
                <w:szCs w:val="16"/>
                <w:lang w:val="fr-FR"/>
              </w:rPr>
            </w:pPr>
            <w:r w:rsidRPr="00A81258">
              <w:rPr>
                <w:sz w:val="16"/>
                <w:szCs w:val="16"/>
              </w:rPr>
              <w:t>Appareil d</w:t>
            </w:r>
            <w:r w:rsidR="00EF7D6C">
              <w:rPr>
                <w:sz w:val="16"/>
                <w:szCs w:val="16"/>
              </w:rPr>
              <w:t>’</w:t>
            </w:r>
            <w:r w:rsidRPr="00A81258">
              <w:rPr>
                <w:sz w:val="16"/>
                <w:szCs w:val="16"/>
              </w:rPr>
              <w:t>extinction d</w:t>
            </w:r>
            <w:r w:rsidR="00EF7D6C">
              <w:rPr>
                <w:sz w:val="16"/>
                <w:szCs w:val="16"/>
              </w:rPr>
              <w:t>’</w:t>
            </w:r>
            <w:r w:rsidRPr="00A81258">
              <w:rPr>
                <w:sz w:val="16"/>
                <w:szCs w:val="16"/>
              </w:rPr>
              <w:t>incendie par diffusion d</w:t>
            </w:r>
            <w:r w:rsidR="00EF7D6C">
              <w:rPr>
                <w:sz w:val="16"/>
                <w:szCs w:val="16"/>
              </w:rPr>
              <w:t>’</w:t>
            </w:r>
            <w:r w:rsidRPr="00A81258">
              <w:rPr>
                <w:sz w:val="16"/>
                <w:szCs w:val="16"/>
              </w:rPr>
              <w:t>aérosols</w:t>
            </w:r>
          </w:p>
        </w:tc>
        <w:tc>
          <w:tcPr>
            <w:tcW w:w="623"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19816490" w14:textId="77777777" w:rsidR="00A81258" w:rsidRDefault="00A81258" w:rsidP="009F6100">
            <w:pPr>
              <w:spacing w:before="60" w:after="60" w:line="200" w:lineRule="atLeast"/>
              <w:jc w:val="center"/>
              <w:rPr>
                <w:sz w:val="16"/>
                <w:szCs w:val="16"/>
                <w:lang w:val="fr-FR"/>
              </w:rPr>
            </w:pPr>
            <w:r>
              <w:rPr>
                <w:sz w:val="16"/>
                <w:szCs w:val="16"/>
                <w:lang w:val="fr-FR"/>
              </w:rPr>
              <w:t>9</w:t>
            </w:r>
          </w:p>
        </w:tc>
        <w:tc>
          <w:tcPr>
            <w:tcW w:w="567"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13FBA130" w14:textId="77777777" w:rsidR="00A81258" w:rsidRDefault="00A81258" w:rsidP="009F6100">
            <w:pPr>
              <w:spacing w:before="60" w:after="60" w:line="200" w:lineRule="atLeast"/>
              <w:jc w:val="center"/>
              <w:rPr>
                <w:sz w:val="16"/>
                <w:szCs w:val="16"/>
                <w:lang w:val="fr-FR"/>
              </w:rPr>
            </w:pPr>
            <w:r>
              <w:rPr>
                <w:sz w:val="16"/>
                <w:szCs w:val="16"/>
                <w:lang w:val="fr-FR"/>
              </w:rPr>
              <w:t> </w:t>
            </w:r>
          </w:p>
        </w:tc>
        <w:tc>
          <w:tcPr>
            <w:tcW w:w="680"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37635CBE" w14:textId="77777777" w:rsidR="00A81258" w:rsidRDefault="00A81258" w:rsidP="009F6100">
            <w:pPr>
              <w:spacing w:before="60" w:after="60" w:line="200" w:lineRule="atLeast"/>
              <w:jc w:val="center"/>
              <w:rPr>
                <w:sz w:val="16"/>
                <w:szCs w:val="16"/>
                <w:lang w:val="fr-FR"/>
              </w:rPr>
            </w:pPr>
            <w:r>
              <w:rPr>
                <w:sz w:val="16"/>
                <w:szCs w:val="16"/>
                <w:lang w:val="fr-FR"/>
              </w:rPr>
              <w:t> </w:t>
            </w:r>
          </w:p>
        </w:tc>
        <w:tc>
          <w:tcPr>
            <w:tcW w:w="680"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79E9C89A" w14:textId="77777777" w:rsidR="00A81258" w:rsidRDefault="00A81258" w:rsidP="009F6100">
            <w:pPr>
              <w:spacing w:before="60" w:after="60" w:line="200" w:lineRule="atLeast"/>
              <w:jc w:val="center"/>
              <w:rPr>
                <w:sz w:val="16"/>
                <w:szCs w:val="16"/>
                <w:lang w:val="fr-FR"/>
              </w:rPr>
            </w:pPr>
            <w:r>
              <w:rPr>
                <w:sz w:val="16"/>
                <w:szCs w:val="16"/>
                <w:lang w:val="fr-FR"/>
              </w:rPr>
              <w:t>XYZ</w:t>
            </w:r>
          </w:p>
        </w:tc>
        <w:tc>
          <w:tcPr>
            <w:tcW w:w="454"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18C1A526" w14:textId="77777777" w:rsidR="00A81258" w:rsidRDefault="00A81258" w:rsidP="009F6100">
            <w:pPr>
              <w:spacing w:before="60" w:after="60" w:line="200" w:lineRule="atLeast"/>
              <w:jc w:val="center"/>
              <w:rPr>
                <w:sz w:val="16"/>
                <w:szCs w:val="16"/>
                <w:lang w:val="fr-FR"/>
              </w:rPr>
            </w:pPr>
            <w:r>
              <w:rPr>
                <w:sz w:val="16"/>
                <w:szCs w:val="16"/>
                <w:lang w:val="fr-FR"/>
              </w:rPr>
              <w:t>0</w:t>
            </w:r>
          </w:p>
        </w:tc>
        <w:tc>
          <w:tcPr>
            <w:tcW w:w="454"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57E9572E" w14:textId="77777777" w:rsidR="00A81258" w:rsidRDefault="00A81258" w:rsidP="009F6100">
            <w:pPr>
              <w:spacing w:before="60" w:after="60" w:line="200" w:lineRule="atLeast"/>
              <w:jc w:val="center"/>
              <w:rPr>
                <w:sz w:val="16"/>
                <w:szCs w:val="16"/>
                <w:lang w:val="fr-FR"/>
              </w:rPr>
            </w:pPr>
            <w:r>
              <w:rPr>
                <w:sz w:val="16"/>
                <w:szCs w:val="16"/>
                <w:lang w:val="fr-FR"/>
              </w:rPr>
              <w:t>E0</w:t>
            </w:r>
          </w:p>
        </w:tc>
        <w:tc>
          <w:tcPr>
            <w:tcW w:w="907"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2DC25847" w14:textId="77777777" w:rsidR="00A81258" w:rsidRDefault="00A81258" w:rsidP="009F6100">
            <w:pPr>
              <w:spacing w:before="60" w:after="60" w:line="200" w:lineRule="atLeast"/>
              <w:jc w:val="center"/>
              <w:rPr>
                <w:sz w:val="16"/>
                <w:szCs w:val="16"/>
                <w:lang w:val="fr-FR"/>
              </w:rPr>
            </w:pPr>
            <w:r>
              <w:rPr>
                <w:sz w:val="16"/>
                <w:szCs w:val="16"/>
                <w:lang w:val="fr-FR"/>
              </w:rPr>
              <w:t>P003</w:t>
            </w:r>
          </w:p>
        </w:tc>
        <w:tc>
          <w:tcPr>
            <w:tcW w:w="907"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13C16A19" w14:textId="77777777" w:rsidR="00A81258" w:rsidRDefault="00A81258" w:rsidP="009F6100">
            <w:pPr>
              <w:spacing w:before="60" w:after="60" w:line="200" w:lineRule="atLeast"/>
              <w:jc w:val="center"/>
              <w:rPr>
                <w:sz w:val="16"/>
                <w:szCs w:val="16"/>
                <w:lang w:val="fr-FR"/>
              </w:rPr>
            </w:pPr>
          </w:p>
        </w:tc>
        <w:tc>
          <w:tcPr>
            <w:tcW w:w="851"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7E0FED70" w14:textId="77777777" w:rsidR="00A81258" w:rsidRDefault="00A81258" w:rsidP="009F6100">
            <w:pPr>
              <w:spacing w:before="60" w:after="60" w:line="200" w:lineRule="atLeast"/>
              <w:jc w:val="center"/>
              <w:rPr>
                <w:sz w:val="16"/>
                <w:szCs w:val="16"/>
                <w:lang w:val="fr-FR"/>
              </w:rPr>
            </w:pPr>
            <w:r>
              <w:rPr>
                <w:sz w:val="16"/>
                <w:szCs w:val="16"/>
                <w:lang w:val="fr-FR"/>
              </w:rPr>
              <w:t> </w:t>
            </w:r>
          </w:p>
        </w:tc>
        <w:tc>
          <w:tcPr>
            <w:tcW w:w="737" w:type="dxa"/>
            <w:tcBorders>
              <w:top w:val="single" w:sz="4" w:space="0" w:color="auto"/>
              <w:left w:val="nil"/>
              <w:bottom w:val="single" w:sz="4" w:space="0" w:color="auto"/>
              <w:right w:val="single" w:sz="4" w:space="0" w:color="auto"/>
            </w:tcBorders>
            <w:tcMar>
              <w:top w:w="0" w:type="dxa"/>
              <w:left w:w="28" w:type="dxa"/>
              <w:bottom w:w="0" w:type="dxa"/>
              <w:right w:w="28" w:type="dxa"/>
            </w:tcMar>
          </w:tcPr>
          <w:p w14:paraId="4414CFE8" w14:textId="77777777" w:rsidR="00A81258" w:rsidRDefault="00A81258" w:rsidP="009F6100">
            <w:pPr>
              <w:spacing w:before="60" w:after="60" w:line="200" w:lineRule="atLeast"/>
              <w:jc w:val="center"/>
              <w:rPr>
                <w:sz w:val="16"/>
                <w:szCs w:val="16"/>
                <w:lang w:val="fr-FR"/>
              </w:rPr>
            </w:pPr>
            <w:r>
              <w:rPr>
                <w:sz w:val="16"/>
                <w:szCs w:val="16"/>
                <w:lang w:val="fr-FR"/>
              </w:rPr>
              <w:t> </w:t>
            </w:r>
          </w:p>
        </w:tc>
      </w:tr>
    </w:tbl>
    <w:p w14:paraId="501AD700" w14:textId="77777777" w:rsidR="00646378" w:rsidRPr="0035189A" w:rsidRDefault="00646378" w:rsidP="00A81258">
      <w:pPr>
        <w:pStyle w:val="SingleTxtG"/>
        <w:spacing w:before="120"/>
      </w:pPr>
      <w:r w:rsidRPr="0035189A">
        <w:t xml:space="preserve">Une nouvelle disposition spéciale XYZ est </w:t>
      </w:r>
      <w:r>
        <w:t>proposée, libellée comme suit</w:t>
      </w:r>
      <w:r w:rsidR="00A81258">
        <w:t> </w:t>
      </w:r>
      <w:r w:rsidRPr="0035189A">
        <w:t>:</w:t>
      </w:r>
    </w:p>
    <w:p w14:paraId="30B6FE6E" w14:textId="77777777" w:rsidR="00646378" w:rsidRPr="007F6B0D" w:rsidRDefault="00646378" w:rsidP="00A81258">
      <w:pPr>
        <w:pStyle w:val="SingleTxtG"/>
      </w:pPr>
      <w:r w:rsidRPr="005A0F86">
        <w:t>« </w:t>
      </w:r>
      <w:r w:rsidRPr="00384294">
        <w:t xml:space="preserve">XYZ </w:t>
      </w:r>
      <w:r w:rsidRPr="005A0F86">
        <w:t xml:space="preserve">Les </w:t>
      </w:r>
      <w:r w:rsidRPr="00384294">
        <w:t>appareil</w:t>
      </w:r>
      <w:r>
        <w:t>s</w:t>
      </w:r>
      <w:r w:rsidRPr="00384294">
        <w:t xml:space="preserve"> d</w:t>
      </w:r>
      <w:r w:rsidR="00EF7D6C">
        <w:t>’</w:t>
      </w:r>
      <w:r w:rsidRPr="00384294">
        <w:t>extinction d</w:t>
      </w:r>
      <w:r w:rsidR="00EF7D6C">
        <w:t>’</w:t>
      </w:r>
      <w:r w:rsidRPr="00384294">
        <w:t>incendie par diffusion d</w:t>
      </w:r>
      <w:r w:rsidR="00EF7D6C">
        <w:t>’</w:t>
      </w:r>
      <w:r w:rsidRPr="00384294">
        <w:t xml:space="preserve">aérosols </w:t>
      </w:r>
      <w:r w:rsidRPr="005A0F86">
        <w:t xml:space="preserve">sont conçus pour apporter </w:t>
      </w:r>
      <w:r>
        <w:t>un gain</w:t>
      </w:r>
      <w:r w:rsidRPr="005A0F86">
        <w:t xml:space="preserve"> </w:t>
      </w:r>
      <w:r>
        <w:t>de sécurité grâce à leur capacité à éteindre les flammes en dispersant des microparticules solides qui, au contact du feu ou de la flamme, déclenchent un système d</w:t>
      </w:r>
      <w:r w:rsidR="00EF7D6C">
        <w:t>’</w:t>
      </w:r>
      <w:r>
        <w:t xml:space="preserve">extinction par saturation. </w:t>
      </w:r>
      <w:r w:rsidRPr="009D0FFD">
        <w:t xml:space="preserve">Les </w:t>
      </w:r>
      <w:r>
        <w:t>appareils</w:t>
      </w:r>
      <w:r w:rsidRPr="009D0FFD">
        <w:t xml:space="preserve"> peuvent être soit activés électriquement soit activés thermiquement et doivent être conçus de manière à éviter toute activation accidentelle, soit en expédiant le composant de déclenchement séparément (la tête d</w:t>
      </w:r>
      <w:r w:rsidR="00EF7D6C">
        <w:t>’</w:t>
      </w:r>
      <w:r w:rsidRPr="009D0FFD">
        <w:t>activation thermique et l</w:t>
      </w:r>
      <w:r w:rsidR="00EF7D6C">
        <w:t>’</w:t>
      </w:r>
      <w:r w:rsidRPr="009D0FFD">
        <w:t>unité génératrice d</w:t>
      </w:r>
      <w:r w:rsidR="00EF7D6C">
        <w:t>’</w:t>
      </w:r>
      <w:r w:rsidRPr="009D0FFD">
        <w:t>aérosol</w:t>
      </w:r>
      <w:r>
        <w:t>s</w:t>
      </w:r>
      <w:r w:rsidRPr="009D0FFD">
        <w:t xml:space="preserve"> sont expédiées séparément)</w:t>
      </w:r>
      <w:r>
        <w:t>, soit en s</w:t>
      </w:r>
      <w:r w:rsidR="00EF7D6C">
        <w:t>’</w:t>
      </w:r>
      <w:r>
        <w:t>assurant que les dispositifs activés électriquement n</w:t>
      </w:r>
      <w:r w:rsidR="00EF7D6C">
        <w:t>’</w:t>
      </w:r>
      <w:r>
        <w:t>aient pas de connexion électrique et qu</w:t>
      </w:r>
      <w:r w:rsidR="00EF7D6C">
        <w:t>’</w:t>
      </w:r>
      <w:r>
        <w:t>il existe des moyens de protection secondaires pour éviter l</w:t>
      </w:r>
      <w:r w:rsidR="00EF7D6C">
        <w:t>’</w:t>
      </w:r>
      <w:r>
        <w:t xml:space="preserve">activation. </w:t>
      </w:r>
      <w:r w:rsidRPr="00F71D7E">
        <w:t xml:space="preserve">Les appareils peuvent contenir des marchandises dangereuses de la Division 1.4 </w:t>
      </w:r>
      <w:r>
        <w:t>s</w:t>
      </w:r>
      <w:r w:rsidR="00EF7D6C">
        <w:t>’</w:t>
      </w:r>
      <w:r>
        <w:t xml:space="preserve">ils </w:t>
      </w:r>
      <w:r w:rsidRPr="00F71D7E">
        <w:t>ont été éprouvés conformément à la série d</w:t>
      </w:r>
      <w:r w:rsidR="00EF7D6C">
        <w:t>’</w:t>
      </w:r>
      <w:r w:rsidRPr="00F71D7E">
        <w:t xml:space="preserve">épreuve 6 c) de la première partie </w:t>
      </w:r>
      <w:bookmarkStart w:id="3" w:name="_Hlk21098237"/>
      <w:r w:rsidRPr="00F71D7E">
        <w:t>du Manuel d</w:t>
      </w:r>
      <w:r w:rsidR="00EF7D6C">
        <w:t>’</w:t>
      </w:r>
      <w:r w:rsidRPr="00F71D7E">
        <w:t>épreuves et de critères</w:t>
      </w:r>
      <w:bookmarkEnd w:id="3"/>
      <w:r w:rsidRPr="00F71D7E">
        <w:t>, sans qu</w:t>
      </w:r>
      <w:r w:rsidR="00EF7D6C">
        <w:t>’</w:t>
      </w:r>
      <w:r w:rsidRPr="00F71D7E">
        <w:t>il soit observé d</w:t>
      </w:r>
      <w:r w:rsidR="00EF7D6C">
        <w:t>’</w:t>
      </w:r>
      <w:r w:rsidRPr="00F71D7E">
        <w:t>explosion du dispositif, de fragmentation de l</w:t>
      </w:r>
      <w:r w:rsidR="00EF7D6C">
        <w:t>’</w:t>
      </w:r>
      <w:r w:rsidRPr="00F71D7E">
        <w:t>enveloppe du dispositif ou du récipient à pression, ni de risque de projection ou d</w:t>
      </w:r>
      <w:r w:rsidR="00EF7D6C">
        <w:t>’</w:t>
      </w:r>
      <w:r w:rsidRPr="00F71D7E">
        <w:t>effet thermique qui puissent entraver notablement les activités de lutte contre l</w:t>
      </w:r>
      <w:r w:rsidR="00EF7D6C">
        <w:t>’</w:t>
      </w:r>
      <w:r w:rsidRPr="00F71D7E">
        <w:t>incendie ou autres interventions d</w:t>
      </w:r>
      <w:r w:rsidR="00EF7D6C">
        <w:t>’</w:t>
      </w:r>
      <w:r w:rsidRPr="00F71D7E">
        <w:t xml:space="preserve">urgence au voisinage immédiat </w:t>
      </w:r>
      <w:r>
        <w:t>à l</w:t>
      </w:r>
      <w:r w:rsidR="00EF7D6C">
        <w:t>’</w:t>
      </w:r>
      <w:r>
        <w:t>exception de la génération intentionnelle d</w:t>
      </w:r>
      <w:r w:rsidR="00EF7D6C">
        <w:t>’</w:t>
      </w:r>
      <w:r>
        <w:t>un nuage dense de particules visant à éteindre le feu qui sont dispersées par l</w:t>
      </w:r>
      <w:r w:rsidR="00EF7D6C">
        <w:t>’</w:t>
      </w:r>
      <w:r>
        <w:t xml:space="preserve">appareil et ne sont pas de la </w:t>
      </w:r>
      <w:r w:rsidR="00EF7D6C">
        <w:t>“</w:t>
      </w:r>
      <w:r>
        <w:t>fumée</w:t>
      </w:r>
      <w:r w:rsidR="00EF7D6C">
        <w:t>”</w:t>
      </w:r>
      <w:r>
        <w:t xml:space="preserve"> combustible ou un combustible produit par une combustion ou une explosion pyrotechnique classique</w:t>
      </w:r>
      <w:r w:rsidRPr="00F71D7E">
        <w:t>. »</w:t>
      </w:r>
      <w:r w:rsidR="00A81258">
        <w:t>.</w:t>
      </w:r>
    </w:p>
    <w:p w14:paraId="774B9D38" w14:textId="77777777" w:rsidR="00646378" w:rsidRPr="00402119" w:rsidRDefault="00646378" w:rsidP="0066633E">
      <w:pPr>
        <w:pStyle w:val="SingleTxtG"/>
        <w:keepNext/>
      </w:pPr>
      <w:r w:rsidRPr="00402119">
        <w:lastRenderedPageBreak/>
        <w:t>Ajouter ce qui suit dans l</w:t>
      </w:r>
      <w:r w:rsidR="00EF7D6C">
        <w:t>’</w:t>
      </w:r>
      <w:r w:rsidRPr="00402119">
        <w:t>Index</w:t>
      </w:r>
      <w:r w:rsidR="007F6B0D">
        <w:t> </w:t>
      </w:r>
      <w:r w:rsidRPr="00402119">
        <w:t>:</w:t>
      </w:r>
    </w:p>
    <w:tbl>
      <w:tblPr>
        <w:tblStyle w:val="TableGrid"/>
        <w:tblW w:w="0" w:type="auto"/>
        <w:tblInd w:w="1139" w:type="dxa"/>
        <w:tblLook w:val="04A0" w:firstRow="1" w:lastRow="0" w:firstColumn="1" w:lastColumn="0" w:noHBand="0" w:noVBand="1"/>
      </w:tblPr>
      <w:tblGrid>
        <w:gridCol w:w="4072"/>
        <w:gridCol w:w="1730"/>
        <w:gridCol w:w="1559"/>
      </w:tblGrid>
      <w:tr w:rsidR="00646378" w:rsidRPr="005F038C" w14:paraId="751461F6" w14:textId="77777777" w:rsidTr="00A81258">
        <w:tc>
          <w:tcPr>
            <w:tcW w:w="4072" w:type="dxa"/>
          </w:tcPr>
          <w:p w14:paraId="2ADB76B0" w14:textId="77777777" w:rsidR="00646378" w:rsidRPr="005F038C" w:rsidRDefault="00646378" w:rsidP="0066633E">
            <w:pPr>
              <w:keepNext/>
              <w:ind w:left="57"/>
              <w:rPr>
                <w:b/>
                <w:bCs/>
                <w:szCs w:val="24"/>
              </w:rPr>
            </w:pPr>
            <w:r>
              <w:rPr>
                <w:b/>
                <w:bCs/>
                <w:szCs w:val="24"/>
              </w:rPr>
              <w:t>Nom et</w:t>
            </w:r>
            <w:r w:rsidRPr="005F038C">
              <w:rPr>
                <w:b/>
                <w:bCs/>
                <w:szCs w:val="24"/>
              </w:rPr>
              <w:t xml:space="preserve"> description</w:t>
            </w:r>
          </w:p>
        </w:tc>
        <w:tc>
          <w:tcPr>
            <w:tcW w:w="1730" w:type="dxa"/>
          </w:tcPr>
          <w:p w14:paraId="406515D4" w14:textId="77777777" w:rsidR="00646378" w:rsidRPr="005F038C" w:rsidRDefault="00646378" w:rsidP="0066633E">
            <w:pPr>
              <w:keepNext/>
              <w:ind w:left="57"/>
              <w:rPr>
                <w:b/>
                <w:bCs/>
                <w:szCs w:val="24"/>
              </w:rPr>
            </w:pPr>
            <w:r w:rsidRPr="00A81258">
              <w:rPr>
                <w:b/>
                <w:bCs/>
                <w:szCs w:val="24"/>
              </w:rPr>
              <w:t>Classe</w:t>
            </w:r>
          </w:p>
        </w:tc>
        <w:tc>
          <w:tcPr>
            <w:tcW w:w="1559" w:type="dxa"/>
          </w:tcPr>
          <w:p w14:paraId="01034255" w14:textId="77777777" w:rsidR="00646378" w:rsidRPr="005F038C" w:rsidRDefault="00646378" w:rsidP="0066633E">
            <w:pPr>
              <w:keepNext/>
              <w:ind w:left="57"/>
              <w:rPr>
                <w:b/>
                <w:bCs/>
                <w:szCs w:val="24"/>
              </w:rPr>
            </w:pPr>
            <w:r>
              <w:rPr>
                <w:b/>
                <w:bCs/>
                <w:szCs w:val="24"/>
              </w:rPr>
              <w:t>N</w:t>
            </w:r>
            <w:r w:rsidR="00EF7D6C">
              <w:rPr>
                <w:b/>
                <w:bCs/>
                <w:szCs w:val="24"/>
              </w:rPr>
              <w:t>uméro</w:t>
            </w:r>
            <w:r>
              <w:rPr>
                <w:b/>
                <w:bCs/>
                <w:szCs w:val="24"/>
              </w:rPr>
              <w:t xml:space="preserve"> ONU</w:t>
            </w:r>
          </w:p>
        </w:tc>
      </w:tr>
      <w:tr w:rsidR="00646378" w:rsidRPr="005F038C" w14:paraId="5DA739D3" w14:textId="77777777" w:rsidTr="00A81258">
        <w:tc>
          <w:tcPr>
            <w:tcW w:w="4072" w:type="dxa"/>
          </w:tcPr>
          <w:p w14:paraId="29FF0538" w14:textId="77777777" w:rsidR="00646378" w:rsidRPr="00402119" w:rsidRDefault="00646378" w:rsidP="0066633E">
            <w:pPr>
              <w:keepNext/>
              <w:ind w:left="57"/>
              <w:rPr>
                <w:szCs w:val="24"/>
              </w:rPr>
            </w:pPr>
            <w:r w:rsidRPr="0066633E">
              <w:rPr>
                <w:b/>
                <w:szCs w:val="24"/>
              </w:rPr>
              <w:t xml:space="preserve">Appareil </w:t>
            </w:r>
            <w:r w:rsidRPr="0066633E">
              <w:rPr>
                <w:b/>
                <w:bCs/>
                <w:szCs w:val="24"/>
              </w:rPr>
              <w:t>d</w:t>
            </w:r>
            <w:r w:rsidR="00EF7D6C">
              <w:rPr>
                <w:b/>
                <w:bCs/>
                <w:szCs w:val="24"/>
              </w:rPr>
              <w:t>’</w:t>
            </w:r>
            <w:r w:rsidRPr="0066633E">
              <w:rPr>
                <w:b/>
                <w:bCs/>
                <w:szCs w:val="24"/>
              </w:rPr>
              <w:t>extinction</w:t>
            </w:r>
            <w:r w:rsidRPr="0066633E">
              <w:rPr>
                <w:b/>
                <w:szCs w:val="24"/>
              </w:rPr>
              <w:t xml:space="preserve"> d</w:t>
            </w:r>
            <w:r w:rsidR="00EF7D6C">
              <w:rPr>
                <w:b/>
                <w:szCs w:val="24"/>
              </w:rPr>
              <w:t>’</w:t>
            </w:r>
            <w:r w:rsidRPr="0066633E">
              <w:rPr>
                <w:b/>
                <w:szCs w:val="24"/>
              </w:rPr>
              <w:t>incendie</w:t>
            </w:r>
            <w:r w:rsidRPr="00384294">
              <w:rPr>
                <w:szCs w:val="24"/>
              </w:rPr>
              <w:t xml:space="preserve"> par diffusion d</w:t>
            </w:r>
            <w:r w:rsidR="00EF7D6C">
              <w:rPr>
                <w:szCs w:val="24"/>
              </w:rPr>
              <w:t>’</w:t>
            </w:r>
            <w:r w:rsidRPr="00384294">
              <w:rPr>
                <w:szCs w:val="24"/>
              </w:rPr>
              <w:t>aérosols</w:t>
            </w:r>
          </w:p>
        </w:tc>
        <w:tc>
          <w:tcPr>
            <w:tcW w:w="1730" w:type="dxa"/>
          </w:tcPr>
          <w:p w14:paraId="3777F51C" w14:textId="77777777" w:rsidR="00646378" w:rsidRPr="005F038C" w:rsidRDefault="00646378" w:rsidP="0066633E">
            <w:pPr>
              <w:keepNext/>
              <w:ind w:left="57"/>
              <w:rPr>
                <w:szCs w:val="24"/>
              </w:rPr>
            </w:pPr>
            <w:r w:rsidRPr="005F038C">
              <w:rPr>
                <w:szCs w:val="24"/>
              </w:rPr>
              <w:t>9</w:t>
            </w:r>
          </w:p>
        </w:tc>
        <w:tc>
          <w:tcPr>
            <w:tcW w:w="1559" w:type="dxa"/>
          </w:tcPr>
          <w:p w14:paraId="1002FCC1" w14:textId="77777777" w:rsidR="00646378" w:rsidRPr="005F038C" w:rsidRDefault="00646378" w:rsidP="0066633E">
            <w:pPr>
              <w:keepNext/>
              <w:ind w:left="57"/>
              <w:rPr>
                <w:szCs w:val="24"/>
              </w:rPr>
            </w:pPr>
            <w:r w:rsidRPr="005F038C">
              <w:rPr>
                <w:szCs w:val="24"/>
              </w:rPr>
              <w:t>35XX</w:t>
            </w:r>
          </w:p>
        </w:tc>
      </w:tr>
    </w:tbl>
    <w:p w14:paraId="736238F4" w14:textId="77777777" w:rsidR="00646378" w:rsidRPr="007F6B0D" w:rsidRDefault="007F6B0D" w:rsidP="0066633E">
      <w:pPr>
        <w:pStyle w:val="SingleTxtG"/>
        <w:keepNext/>
        <w:spacing w:before="240" w:after="0"/>
        <w:jc w:val="center"/>
        <w:rPr>
          <w:u w:val="single"/>
        </w:rPr>
      </w:pPr>
      <w:r>
        <w:rPr>
          <w:u w:val="single"/>
        </w:rPr>
        <w:tab/>
      </w:r>
      <w:r>
        <w:rPr>
          <w:u w:val="single"/>
        </w:rPr>
        <w:tab/>
      </w:r>
      <w:r>
        <w:rPr>
          <w:u w:val="single"/>
        </w:rPr>
        <w:tab/>
      </w:r>
    </w:p>
    <w:sectPr w:rsidR="00646378" w:rsidRPr="007F6B0D" w:rsidSect="00646378">
      <w:headerReference w:type="even" r:id="rId17"/>
      <w:headerReference w:type="default" r:id="rId18"/>
      <w:footerReference w:type="even" r:id="rId19"/>
      <w:footerReference w:type="default" r:id="rId20"/>
      <w:footerReference w:type="first" r:id="rId2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B4321" w14:textId="77777777" w:rsidR="006853AD" w:rsidRDefault="006853AD" w:rsidP="00F95C08">
      <w:pPr>
        <w:spacing w:line="240" w:lineRule="auto"/>
      </w:pPr>
    </w:p>
  </w:endnote>
  <w:endnote w:type="continuationSeparator" w:id="0">
    <w:p w14:paraId="5E888602" w14:textId="77777777" w:rsidR="006853AD" w:rsidRPr="00AC3823" w:rsidRDefault="006853AD" w:rsidP="00AC3823">
      <w:pPr>
        <w:pStyle w:val="Footer"/>
      </w:pPr>
    </w:p>
  </w:endnote>
  <w:endnote w:type="continuationNotice" w:id="1">
    <w:p w14:paraId="63C5ECA7" w14:textId="77777777" w:rsidR="006853AD" w:rsidRDefault="006853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DCB27" w14:textId="77777777" w:rsidR="00646378" w:rsidRPr="00646378" w:rsidRDefault="00646378" w:rsidP="00646378">
    <w:pPr>
      <w:pStyle w:val="Footer"/>
      <w:tabs>
        <w:tab w:val="right" w:pos="9638"/>
      </w:tabs>
    </w:pPr>
    <w:r w:rsidRPr="00646378">
      <w:rPr>
        <w:b/>
        <w:sz w:val="18"/>
      </w:rPr>
      <w:fldChar w:fldCharType="begin"/>
    </w:r>
    <w:r w:rsidRPr="00646378">
      <w:rPr>
        <w:b/>
        <w:sz w:val="18"/>
      </w:rPr>
      <w:instrText xml:space="preserve"> PAGE  \* MERGEFORMAT </w:instrText>
    </w:r>
    <w:r w:rsidRPr="00646378">
      <w:rPr>
        <w:b/>
        <w:sz w:val="18"/>
      </w:rPr>
      <w:fldChar w:fldCharType="separate"/>
    </w:r>
    <w:r w:rsidRPr="00646378">
      <w:rPr>
        <w:b/>
        <w:noProof/>
        <w:sz w:val="18"/>
      </w:rPr>
      <w:t>2</w:t>
    </w:r>
    <w:r w:rsidRPr="00646378">
      <w:rPr>
        <w:b/>
        <w:sz w:val="18"/>
      </w:rPr>
      <w:fldChar w:fldCharType="end"/>
    </w:r>
    <w:r>
      <w:rPr>
        <w:b/>
        <w:sz w:val="18"/>
      </w:rPr>
      <w:tab/>
    </w:r>
    <w:r>
      <w:t>GE.19-15462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B1495" w14:textId="77777777" w:rsidR="00646378" w:rsidRPr="00646378" w:rsidRDefault="00646378" w:rsidP="00646378">
    <w:pPr>
      <w:pStyle w:val="Footer"/>
      <w:tabs>
        <w:tab w:val="right" w:pos="9638"/>
      </w:tabs>
      <w:rPr>
        <w:b/>
        <w:sz w:val="18"/>
      </w:rPr>
    </w:pPr>
    <w:r>
      <w:t>GE.19-15462</w:t>
    </w:r>
    <w:r>
      <w:tab/>
    </w:r>
    <w:r w:rsidRPr="00646378">
      <w:rPr>
        <w:b/>
        <w:sz w:val="18"/>
      </w:rPr>
      <w:fldChar w:fldCharType="begin"/>
    </w:r>
    <w:r w:rsidRPr="00646378">
      <w:rPr>
        <w:b/>
        <w:sz w:val="18"/>
      </w:rPr>
      <w:instrText xml:space="preserve"> PAGE  \* MERGEFORMAT </w:instrText>
    </w:r>
    <w:r w:rsidRPr="00646378">
      <w:rPr>
        <w:b/>
        <w:sz w:val="18"/>
      </w:rPr>
      <w:fldChar w:fldCharType="separate"/>
    </w:r>
    <w:r w:rsidRPr="00646378">
      <w:rPr>
        <w:b/>
        <w:noProof/>
        <w:sz w:val="18"/>
      </w:rPr>
      <w:t>3</w:t>
    </w:r>
    <w:r w:rsidRPr="0064637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7C23E" w14:textId="77777777" w:rsidR="0068456F" w:rsidRPr="00646378" w:rsidRDefault="00646378" w:rsidP="00646378">
    <w:pPr>
      <w:pStyle w:val="Footer"/>
      <w:spacing w:before="120"/>
      <w:rPr>
        <w:sz w:val="20"/>
      </w:rPr>
    </w:pPr>
    <w:r>
      <w:rPr>
        <w:sz w:val="20"/>
      </w:rPr>
      <w:t>GE.</w:t>
    </w:r>
    <w:r w:rsidR="0068456F">
      <w:rPr>
        <w:noProof/>
        <w:lang w:eastAsia="fr-CH"/>
      </w:rPr>
      <w:drawing>
        <wp:anchor distT="0" distB="0" distL="114300" distR="114300" simplePos="0" relativeHeight="251657216" behindDoc="0" locked="0" layoutInCell="1" allowOverlap="0" wp14:anchorId="1A47668D" wp14:editId="4035FAFA">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w:t>
    </w:r>
    <w:proofErr w:type="gramStart"/>
    <w:r>
      <w:rPr>
        <w:sz w:val="20"/>
      </w:rPr>
      <w:t>15462  (</w:t>
    </w:r>
    <w:proofErr w:type="gramEnd"/>
    <w:r>
      <w:rPr>
        <w:sz w:val="20"/>
      </w:rPr>
      <w:t>F)    111019    111019</w:t>
    </w:r>
    <w:r>
      <w:rPr>
        <w:sz w:val="20"/>
      </w:rPr>
      <w:br/>
    </w:r>
    <w:r w:rsidRPr="00646378">
      <w:rPr>
        <w:rFonts w:ascii="C39T30Lfz" w:hAnsi="C39T30Lfz"/>
        <w:sz w:val="56"/>
      </w:rPr>
      <w:t></w:t>
    </w:r>
    <w:r w:rsidRPr="00646378">
      <w:rPr>
        <w:rFonts w:ascii="C39T30Lfz" w:hAnsi="C39T30Lfz"/>
        <w:sz w:val="56"/>
      </w:rPr>
      <w:t></w:t>
    </w:r>
    <w:r w:rsidRPr="00646378">
      <w:rPr>
        <w:rFonts w:ascii="C39T30Lfz" w:hAnsi="C39T30Lfz"/>
        <w:sz w:val="56"/>
      </w:rPr>
      <w:t></w:t>
    </w:r>
    <w:r w:rsidRPr="00646378">
      <w:rPr>
        <w:rFonts w:ascii="C39T30Lfz" w:hAnsi="C39T30Lfz"/>
        <w:sz w:val="56"/>
      </w:rPr>
      <w:t></w:t>
    </w:r>
    <w:r w:rsidRPr="00646378">
      <w:rPr>
        <w:rFonts w:ascii="C39T30Lfz" w:hAnsi="C39T30Lfz"/>
        <w:sz w:val="56"/>
      </w:rPr>
      <w:t></w:t>
    </w:r>
    <w:r w:rsidRPr="00646378">
      <w:rPr>
        <w:rFonts w:ascii="C39T30Lfz" w:hAnsi="C39T30Lfz"/>
        <w:sz w:val="56"/>
      </w:rPr>
      <w:t></w:t>
    </w:r>
    <w:r w:rsidRPr="00646378">
      <w:rPr>
        <w:rFonts w:ascii="C39T30Lfz" w:hAnsi="C39T30Lfz"/>
        <w:sz w:val="56"/>
      </w:rPr>
      <w:t></w:t>
    </w:r>
    <w:r w:rsidRPr="00646378">
      <w:rPr>
        <w:rFonts w:ascii="C39T30Lfz" w:hAnsi="C39T30Lfz"/>
        <w:sz w:val="56"/>
      </w:rPr>
      <w:t></w:t>
    </w:r>
    <w:r w:rsidRPr="00646378">
      <w:rPr>
        <w:rFonts w:ascii="C39T30Lfz" w:hAnsi="C39T30Lfz"/>
        <w:sz w:val="56"/>
      </w:rPr>
      <w:t></w:t>
    </w:r>
    <w:r>
      <w:rPr>
        <w:noProof/>
        <w:sz w:val="20"/>
      </w:rPr>
      <w:drawing>
        <wp:anchor distT="0" distB="0" distL="114300" distR="114300" simplePos="0" relativeHeight="251658240" behindDoc="0" locked="0" layoutInCell="1" allowOverlap="1" wp14:anchorId="71EA14CB" wp14:editId="3C2CB6FE">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ST/SG/AC.10/C.3/2019/6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19/6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393B2" w14:textId="77777777" w:rsidR="006853AD" w:rsidRPr="00AC3823" w:rsidRDefault="006853AD" w:rsidP="00AC3823">
      <w:pPr>
        <w:pStyle w:val="Footer"/>
        <w:tabs>
          <w:tab w:val="right" w:pos="2155"/>
        </w:tabs>
        <w:spacing w:after="80" w:line="240" w:lineRule="atLeast"/>
        <w:ind w:left="680"/>
        <w:rPr>
          <w:u w:val="single"/>
        </w:rPr>
      </w:pPr>
      <w:r>
        <w:rPr>
          <w:u w:val="single"/>
        </w:rPr>
        <w:tab/>
      </w:r>
    </w:p>
  </w:footnote>
  <w:footnote w:type="continuationSeparator" w:id="0">
    <w:p w14:paraId="4069EB90" w14:textId="77777777" w:rsidR="006853AD" w:rsidRPr="00AC3823" w:rsidRDefault="006853AD" w:rsidP="00AC3823">
      <w:pPr>
        <w:pStyle w:val="Footer"/>
        <w:tabs>
          <w:tab w:val="right" w:pos="2155"/>
        </w:tabs>
        <w:spacing w:after="80" w:line="240" w:lineRule="atLeast"/>
        <w:ind w:left="680"/>
        <w:rPr>
          <w:u w:val="single"/>
        </w:rPr>
      </w:pPr>
      <w:r>
        <w:rPr>
          <w:u w:val="single"/>
        </w:rPr>
        <w:tab/>
      </w:r>
    </w:p>
  </w:footnote>
  <w:footnote w:type="continuationNotice" w:id="1">
    <w:p w14:paraId="2D718444" w14:textId="77777777" w:rsidR="006853AD" w:rsidRPr="00AC3823" w:rsidRDefault="006853AD">
      <w:pPr>
        <w:spacing w:line="240" w:lineRule="auto"/>
        <w:rPr>
          <w:sz w:val="2"/>
          <w:szCs w:val="2"/>
        </w:rPr>
      </w:pPr>
    </w:p>
  </w:footnote>
  <w:footnote w:id="2">
    <w:p w14:paraId="1A7502DF" w14:textId="77777777" w:rsidR="00646378" w:rsidRPr="00646378" w:rsidRDefault="00646378" w:rsidP="00646378">
      <w:pPr>
        <w:pStyle w:val="FootnoteText"/>
      </w:pPr>
      <w:r>
        <w:rPr>
          <w:rStyle w:val="FootnoteReference"/>
        </w:rPr>
        <w:tab/>
      </w:r>
      <w:r w:rsidRPr="00646378">
        <w:rPr>
          <w:rStyle w:val="FootnoteReference"/>
          <w:sz w:val="20"/>
          <w:vertAlign w:val="baseline"/>
        </w:rPr>
        <w:t>*</w:t>
      </w:r>
      <w:r>
        <w:rPr>
          <w:rStyle w:val="FootnoteReference"/>
          <w:sz w:val="20"/>
          <w:vertAlign w:val="baseline"/>
        </w:rPr>
        <w:tab/>
      </w:r>
      <w:r w:rsidRPr="00B86C19">
        <w:rPr>
          <w:color w:val="000000"/>
        </w:rPr>
        <w:t>Conformément au programme de travail du Sous-Comité pour la période 2019-2020, approuvé par le Comité à sa neuvième session (voir ST/SG/AC.10/C.3/108, par.</w:t>
      </w:r>
      <w:r>
        <w:rPr>
          <w:color w:val="000000"/>
        </w:rPr>
        <w:t> </w:t>
      </w:r>
      <w:r w:rsidRPr="00B86C19">
        <w:rPr>
          <w:color w:val="000000"/>
        </w:rPr>
        <w:t>141</w:t>
      </w:r>
      <w:r w:rsidR="00645766">
        <w:rPr>
          <w:color w:val="000000"/>
        </w:rPr>
        <w:t>,</w:t>
      </w:r>
      <w:r w:rsidRPr="00B86C19">
        <w:rPr>
          <w:color w:val="000000"/>
        </w:rPr>
        <w:t xml:space="preserve"> et ST/SG/AC.10/46, par.</w:t>
      </w:r>
      <w:r>
        <w:rPr>
          <w:color w:val="000000"/>
        </w:rPr>
        <w:t> </w:t>
      </w:r>
      <w:r w:rsidRPr="00B86C19">
        <w:rPr>
          <w:color w:val="000000"/>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92266" w14:textId="2EE71436" w:rsidR="00646378" w:rsidRPr="00646378" w:rsidRDefault="004236C0">
    <w:pPr>
      <w:pStyle w:val="Header"/>
    </w:pPr>
    <w:r>
      <w:fldChar w:fldCharType="begin"/>
    </w:r>
    <w:r>
      <w:instrText xml:space="preserve"> TITLE  \* MERGEFORMAT </w:instrText>
    </w:r>
    <w:r>
      <w:fldChar w:fldCharType="separate"/>
    </w:r>
    <w:r>
      <w:t>ST/SG/AC.10/C.3/2019/61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E5D6B" w14:textId="677BD21F" w:rsidR="00646378" w:rsidRPr="00646378" w:rsidRDefault="004236C0" w:rsidP="00646378">
    <w:pPr>
      <w:pStyle w:val="Header"/>
      <w:jc w:val="right"/>
    </w:pPr>
    <w:r>
      <w:fldChar w:fldCharType="begin"/>
    </w:r>
    <w:r>
      <w:instrText xml:space="preserve"> TITLE  \* MERGEFORMAT </w:instrText>
    </w:r>
    <w:r>
      <w:fldChar w:fldCharType="separate"/>
    </w:r>
    <w:r>
      <w:t>ST/SG/AC.10/C.3/2019/61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6930111"/>
    <w:multiLevelType w:val="hybridMultilevel"/>
    <w:tmpl w:val="35A0C62E"/>
    <w:lvl w:ilvl="0" w:tplc="6FE41944">
      <w:start w:val="1"/>
      <w:numFmt w:val="lowerLetter"/>
      <w:lvlText w:val="(%1)"/>
      <w:lvlJc w:val="left"/>
      <w:pPr>
        <w:ind w:left="2414" w:hanging="570"/>
      </w:pPr>
      <w:rPr>
        <w:rFonts w:hint="default"/>
        <w:lang w:val="fr-CH"/>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2"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3"/>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3"/>
  </w:num>
  <w:num w:numId="16">
    <w:abstractNumId w:val="10"/>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3AD"/>
    <w:rsid w:val="00002E03"/>
    <w:rsid w:val="00017F94"/>
    <w:rsid w:val="00023842"/>
    <w:rsid w:val="000305D3"/>
    <w:rsid w:val="000334F9"/>
    <w:rsid w:val="0005299E"/>
    <w:rsid w:val="0007796D"/>
    <w:rsid w:val="000B7790"/>
    <w:rsid w:val="000C3929"/>
    <w:rsid w:val="00111F2F"/>
    <w:rsid w:val="00132EA9"/>
    <w:rsid w:val="0014365E"/>
    <w:rsid w:val="00176178"/>
    <w:rsid w:val="00176FD9"/>
    <w:rsid w:val="001B7BE7"/>
    <w:rsid w:val="001F525A"/>
    <w:rsid w:val="00223272"/>
    <w:rsid w:val="0024779E"/>
    <w:rsid w:val="00283190"/>
    <w:rsid w:val="002832AC"/>
    <w:rsid w:val="002A6072"/>
    <w:rsid w:val="002D7C93"/>
    <w:rsid w:val="003B6059"/>
    <w:rsid w:val="0040240E"/>
    <w:rsid w:val="004236C0"/>
    <w:rsid w:val="00430B1D"/>
    <w:rsid w:val="00441C3B"/>
    <w:rsid w:val="00446FE5"/>
    <w:rsid w:val="00452396"/>
    <w:rsid w:val="004E468C"/>
    <w:rsid w:val="005505B7"/>
    <w:rsid w:val="00573BE5"/>
    <w:rsid w:val="00584DC4"/>
    <w:rsid w:val="00586ED3"/>
    <w:rsid w:val="00596AA9"/>
    <w:rsid w:val="00645766"/>
    <w:rsid w:val="00646378"/>
    <w:rsid w:val="0066633E"/>
    <w:rsid w:val="0068456F"/>
    <w:rsid w:val="006853AD"/>
    <w:rsid w:val="0071601D"/>
    <w:rsid w:val="007A62E6"/>
    <w:rsid w:val="007F6B0D"/>
    <w:rsid w:val="0080684C"/>
    <w:rsid w:val="00871C75"/>
    <w:rsid w:val="008776DC"/>
    <w:rsid w:val="008B40CD"/>
    <w:rsid w:val="00922C93"/>
    <w:rsid w:val="009705C8"/>
    <w:rsid w:val="00977603"/>
    <w:rsid w:val="009C1CF4"/>
    <w:rsid w:val="00A30353"/>
    <w:rsid w:val="00A81258"/>
    <w:rsid w:val="00AC3823"/>
    <w:rsid w:val="00AE323C"/>
    <w:rsid w:val="00B00181"/>
    <w:rsid w:val="00B00B0D"/>
    <w:rsid w:val="00B4139D"/>
    <w:rsid w:val="00B72A39"/>
    <w:rsid w:val="00B765F7"/>
    <w:rsid w:val="00BA0CA9"/>
    <w:rsid w:val="00C02897"/>
    <w:rsid w:val="00CF463F"/>
    <w:rsid w:val="00D3439C"/>
    <w:rsid w:val="00D47055"/>
    <w:rsid w:val="00DB1831"/>
    <w:rsid w:val="00DD3BFD"/>
    <w:rsid w:val="00DF6678"/>
    <w:rsid w:val="00EF2E22"/>
    <w:rsid w:val="00EF57EC"/>
    <w:rsid w:val="00EF7D6C"/>
    <w:rsid w:val="00F01738"/>
    <w:rsid w:val="00F23648"/>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45A0EC"/>
  <w15:docId w15:val="{AA8C2227-0314-4A40-BC25-AC70F3A7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uiPriority w:val="39"/>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paragraph" w:styleId="ListParagraph">
    <w:name w:val="List Paragraph"/>
    <w:basedOn w:val="Normal"/>
    <w:uiPriority w:val="34"/>
    <w:qFormat/>
    <w:rsid w:val="00646378"/>
    <w:pPr>
      <w:kinsoku/>
      <w:overflowPunct/>
      <w:autoSpaceDE/>
      <w:autoSpaceDN/>
      <w:adjustRightInd/>
      <w:snapToGrid/>
      <w:ind w:left="720"/>
      <w:contextualSpacing/>
    </w:pPr>
    <w:rPr>
      <w:rFonts w:eastAsia="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c0f62866-2c53-4d39-98c4-29308e534bc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tatx.com/testimonial/stat-x-protect-western-australia-mine-major-damag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5E82B-25EF-4B1A-9E47-D3E3A1A7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2284</Words>
  <Characters>13022</Characters>
  <Application>Microsoft Office Word</Application>
  <DocSecurity>0</DocSecurity>
  <Lines>108</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ST/SG/AC.10/C.3/2019/61</vt:lpstr>
      <vt:lpstr>ST/SG/AC.10/C.3/2019/61</vt:lpstr>
    </vt:vector>
  </TitlesOfParts>
  <Company>DCM</Company>
  <LinksUpToDate>false</LinksUpToDate>
  <CharactersWithSpaces>15276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ST/SG/AC.10/C.3/2019/61</dc:title>
  <dc:subject/>
  <dc:creator>Fabienne CRELIER</dc:creator>
  <cp:keywords/>
  <cp:lastModifiedBy>Laurence Berthet</cp:lastModifiedBy>
  <cp:revision>3</cp:revision>
  <cp:lastPrinted>2019-10-14T14:03:00Z</cp:lastPrinted>
  <dcterms:created xsi:type="dcterms:W3CDTF">2019-10-14T14:02:00Z</dcterms:created>
  <dcterms:modified xsi:type="dcterms:W3CDTF">2019-10-14T14:03:00Z</dcterms:modified>
</cp:coreProperties>
</file>